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Latvijas Atveseļošanas un noturības mehānisma plāna 2.4. reformu un investīciju virziena "Digitālās infrastruktūras transformācija" 2.4.1.1.i. investīcijas "Pasīvās infrastruktūras izbūve Via Baltica koridorā 5G pārklājuma nodrošināšanai" īstenošanas noteikumi</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Likuma par budžetu un finanšu vadību 19.</w:t>
      </w:r>
      <w:r w:rsidR="00000000" w:rsidRPr="00000000" w:rsidDel="00000000">
        <w:rPr>
          <w:rStyle w:val="paragraph"/>
          <w:i w:val="1"/>
          <w:vertAlign w:val="superscript"/>
          <w:rtl w:val="0"/>
        </w:rPr>
        <w:t xml:space="preserve">3</w:t>
      </w:r>
      <w:r w:rsidR="00000000" w:rsidRPr="00000000" w:rsidDel="00000000">
        <w:rPr>
          <w:rStyle w:val="paragraph"/>
          <w:i w:val="1"/>
          <w:rtl w:val="0"/>
        </w:rPr>
        <w:t xml:space="preserve"> panta otro daļu.</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w:t>
      </w:r>
      <w:r w:rsidR="00000000" w:rsidRPr="00000000" w:rsidDel="00000000">
        <w:rPr>
          <w:rtl w:val="0"/>
        </w:rPr>
        <w:t xml:space="preserve"> </w:t>
      </w:r>
      <w:r w:rsidR="00000000" w:rsidRPr="00000000" w:rsidDel="00000000">
        <w:rPr>
          <w:rStyle w:val="paragraph_header"/>
          <w:b w:val="1"/>
          <w:rtl w:val="0"/>
        </w:rPr>
        <w:t xml:space="preserve">Vispārīgie jautājumi</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Noteikumi nosaka: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Latvijas Atveseļošanas un noturības mehānisma (turpmāk - Atveseļošanas fonds) plāna 2.4. reformu un investīciju virziena "Digitālās infrastruktūras transformācija" 2.4.1.1.i. investīcijas "Pasīvās infrastruktūras izbūve Via Baltica koridorā 5G pārklājuma nodrošināšanai" (turpmāk - 2.4.1.1.i. investīcija) mērķus un atskaites punktu;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pieejamo finansējumu un maksājumu veikšanas kārtību;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2.4.1.1.i. investīcijas īstenošanas nosacījumus un kārtību;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atbalstāmās darbības un attiecināmās izmaksas;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atbildības sadalījumu starp iesaistītajām institūcijām un finansējuma saņēmēju;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vizuālās identitātes prasības;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dokumentu glabāšanas nosacījumus un ilgumu;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komercdarbības atbalsta nosacījumus un piemērojamo regulējumu.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Noteikumos lietoti šādi termini: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mobilo sakaru mezglu punkti – tornis, masts vai cita būve, kurā tiek izvietotas mobilo sakaru bāzes stacijas.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infrastruktūra jeb 5G koridors – pasīvā elektronisko sakaru infrastruktūra (optisko kabeļu tīkli, to pieslēgumi mobilo sakaru mezglu punktiem, mobilo sakaru mezglu punkti un energoapgādes tīkli) autoceļam Via Baltica.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Autoceļš Via Baltica – ir E67 autoceļš Latvijas teritorijā, kas sastāv no sekojošiem ceļa posmiem:</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A7 autoceļa (Rīga-Lietuvas robeža) posms: Grenctāles (Latvijas/Lietuvas robeža) caur Bauskas un Iecavas pilsētām līdz Rīgas apvedceļam Salaspils-Babīte (A5 – Ķekavas rotācijas aplis);</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A5 autoceļa (Rīgas apvedceļš, Salaspils-Babīte) posms: A5 un A7 autoceļu krustojums (rotācijas aplis pie Ķekavas) – A5 krustojums ar A6 autoceļu (Rīga-Daugavpils) pie Salaspils, (šķērsojot Rīgas hidroelektrostaciju);</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A6 autoceļa (Rīga-Daugavpils) posms: A6 autoceļa krustojums ar A5 autoceļu pie Salaspils – A6 autoceļa krustojums ar A4 autoceļu (Rīgas apvedceļš);</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A4 autoceļa (Rīgas apvedceļš) posms,  A4 autoceļa (Rīgas apvedceļš) krustojums ar A6 autoceļu (Rīga-Daugavpils) pie Salaspils – A4 krustojums ar A2 autoceļu (Rīga-Sigulda);</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A1 autoceļš (Baltezers-Igaunijas robeža (Ainaži)), A4 autoceļa (Rīgas apvedceļš) krustojums ar A2 autoceļu (Rīga-Sigulda) – Baltezers-Salacgrīva- Ainaži (Latvijas/Igaunijas robeža).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Optiskā tīkla pamattrase ir optiskā tīkla infrastruktūra, kas tiks izveidota autoceļa šo noteikumu </w:t>
      </w:r>
      <w:r w:rsidR="00000000" w:rsidRPr="00000000" w:rsidDel="00000000">
        <w:rPr>
          <w:rtl w:val="0"/>
        </w:rPr>
        <w:t xml:space="preserve">2.3. </w:t>
      </w:r>
      <w:r w:rsidR="00000000" w:rsidRPr="00000000" w:rsidDel="00000000">
        <w:rPr>
          <w:rtl w:val="0"/>
        </w:rPr>
        <w:t xml:space="preserve">apakšpunktā</w:t>
      </w:r>
      <w:r w:rsidR="00000000" w:rsidRPr="00000000" w:rsidDel="00000000">
        <w:rPr>
          <w:rtl w:val="0"/>
        </w:rPr>
        <w:t xml:space="preserve"> minētajos ceļa posmos.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Līgums par projekta īstenošanu – līgums starp atbalsta sniedzēju un finansējuma saņēmēju.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2.4.1.1.i. investīcijas ieviešanas teritorija ir autoceļš Via Baltica un tā pieguļošās teritorijas.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2.4.1.1.i. investīcijas ietvaros nozares ministrijas funkcijas pilda Satiksmes ministrija (turpmāk - nozares ministrija).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2.4.1.1.i. investīcijas atbalsta sniedzējs ir nozares ministrija.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2.4.1.1.i. investīcija tiks īstenota iepriekš noteikta pretendentu loka ietvaros un atbalsts tiek sniegts granta veidā.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2.4.1.1.i. investīcijas finansējuma saņēmējs un projekta īstenotājs ir valsts akciju sabiedrība "Latvijas Valsts radio un televīzijas centrs" (turpmāk - finansējuma saņēmējs).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2.4.1.1. investīcijas optisko kabeļu tīkli tiek ieviesti šo noteikumu </w:t>
      </w:r>
      <w:r w:rsidR="00000000" w:rsidRPr="00000000" w:rsidDel="00000000">
        <w:rPr>
          <w:rtl w:val="0"/>
        </w:rPr>
        <w:t xml:space="preserve">2.3. </w:t>
      </w:r>
      <w:r w:rsidR="00000000" w:rsidRPr="00000000" w:rsidDel="00000000">
        <w:rPr>
          <w:rtl w:val="0"/>
        </w:rPr>
        <w:t xml:space="preserve">apakšpunktā</w:t>
      </w:r>
      <w:r w:rsidR="00000000" w:rsidRPr="00000000" w:rsidDel="00000000">
        <w:rPr>
          <w:rtl w:val="0"/>
        </w:rPr>
        <w:t xml:space="preserve"> minētajos ceļa posmos, un mobilo sakaru mezglu punkti, optisko kabeļu tīkla pieslēgumi mobilo sakaru mezglu punktiem un energoapgādes tīkliem to pieguļošajās teritorijās.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2.4.1.1. investīcijai ir šāda sasaiste ar: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atklātas stratēģiskās autonomijas un drošības jautājumiem, ņemot vērā, ka 2.4.1.1. investīcija atbalstīs Eiropas Savienības digitālās suverenitātes mērķus;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pārrobežu un daudzvalstu projektiem, ņemot vērā, ka Latvija 2018. gada 28. septembrī ir noslēgusi saprašanās memorandu ar Igauniju un Lietuvu par savienotās un automatizētās braukšanas attīstību, kā arī 4G + un 5G tehnoloģiju izmantošanu Via Baltica koridorā, un 2.4.1.1. investīcija būs papildinoša Eiropas Savienības līmeņa "5G koridoru" iniciatīvai, sniedzot pozitīvu ietekmi ārpus Latvijas robežām.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digitālo dimensiju, ņemot vērā, ka 2.4.1.1. investīcija ir 100% vērsta uz digitālo mērķu sasniegšanu.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II.</w:t>
      </w:r>
      <w:r w:rsidR="00000000" w:rsidRPr="00000000" w:rsidDel="00000000">
        <w:rPr>
          <w:rtl w:val="0"/>
        </w:rPr>
        <w:t xml:space="preserve"> </w:t>
      </w:r>
      <w:r w:rsidR="00000000" w:rsidRPr="00000000" w:rsidDel="00000000">
        <w:rPr>
          <w:rStyle w:val="paragraph_header"/>
          <w:b w:val="1"/>
          <w:rtl w:val="0"/>
        </w:rPr>
        <w:t xml:space="preserve">2.4.1.1.i. investīcijas mērķis un rādītāji</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2.4.1.1.i. investīcijas mērķis ir 5G koridora ieviešana saskaņā ar Eiropas Komisijas 2016. gada 14. septembra paziņojumu Eiropas Parlamentam, Padomei, Eiropas Ekonomikas un Sociālo Lietu Komitejai un Reģionu Komitejai "5G Eiropai. Rīcības plāns", sākotnēji koncentrējoties uz Via Baltica kā izmēģinājuma projektu, lai nākotnē attīstītu citus ceļa posmus.  </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2.4.1.1.i. investīcijas mērķa grupa ir elektronisko sakaru komersanti.</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2.4.1.1.i.investīcijas ietvaros sasniedzamais atskaites punkts un mērķis:</w:t>
      </w:r>
    </w:p>
    <w:p w:rsidP="00000000" w:rsidRDefault="00000000" w:rsidR="00000000" w:rsidRPr="00000000" w:rsidDel="00000000">
      <w:pPr>
        <w:numPr>
          <w:ilvl w:val="1"/>
          <w:numId w:val="2"/>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Tehnisko prasību pieņemšana savienotai un automatizētai braukšanai, līdz 2021. gada 30. decembrim (atskaites punkts);</w:t>
      </w:r>
    </w:p>
    <w:p w:rsidP="00000000" w:rsidRDefault="00000000" w:rsidR="00000000" w:rsidRPr="00000000" w:rsidDel="00000000">
      <w:pPr>
        <w:numPr>
          <w:ilvl w:val="1"/>
          <w:numId w:val="2"/>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Optisko tīklu pieejamība Via Baltica trasē (100%) līdz 2025. gada 31. decembrim (mērķis).</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12.1. </w:t>
      </w:r>
      <w:r w:rsidR="00000000" w:rsidRPr="00000000" w:rsidDel="00000000">
        <w:rPr>
          <w:rtl w:val="0"/>
        </w:rPr>
        <w:t xml:space="preserve">apakšpunktā</w:t>
      </w:r>
      <w:r w:rsidR="00000000" w:rsidRPr="00000000" w:rsidDel="00000000">
        <w:rPr>
          <w:rtl w:val="0"/>
        </w:rPr>
        <w:t xml:space="preserve"> noteiktā atskaites punkta sasniegšanu pamatos dokuments, kurā aprakstīts, kā tika atbilstīgi izpildīts atskaites punkts (tostarp visi būtiskie elementi), iekļauj šādu dokumentāru pierādījumu: vienotās tehniskās prasības infrastruktūrai (attiecībā uz optisko tīklu, sakaru torņiem, energoapgādes tīkliem u.c.), lai atbalstītu savienoto un automatizēto braukšanu autoceļa Via Baltica Latvijas posmā. </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14.</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12.2. </w:t>
      </w:r>
      <w:r w:rsidR="00000000" w:rsidRPr="00000000" w:rsidDel="00000000">
        <w:rPr>
          <w:rtl w:val="0"/>
        </w:rPr>
        <w:t xml:space="preserve">apakšpunktā</w:t>
      </w:r>
      <w:r w:rsidR="00000000" w:rsidRPr="00000000" w:rsidDel="00000000">
        <w:rPr>
          <w:rtl w:val="0"/>
        </w:rPr>
        <w:t xml:space="preserve"> noteiktā mērķa sasniegšanu pamatos dokuments, kurā aprakstīts, kā tika atbilstīgi izpildīts mērķis (tostarp visi elementi), iekļauj šādus dokumentārus pierādījumus: izbūvētā optiskā tīkla pabeigšanas apliecinājumu kopiju (pieņemšanas un nodošanas akts), projekta īstenotāja apstiprinājumu par to, ka optiskie tīkli ir pieejami visā autoceļa Via Baltica trases garumā, un atbalsta sniedzēja apstiprinājumu un investīcijas kartējumu.</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III.</w:t>
      </w:r>
      <w:r w:rsidR="00000000" w:rsidRPr="00000000" w:rsidDel="00000000">
        <w:rPr>
          <w:rtl w:val="0"/>
        </w:rPr>
        <w:t xml:space="preserve"> </w:t>
      </w:r>
      <w:r w:rsidR="00000000" w:rsidRPr="00000000" w:rsidDel="00000000">
        <w:rPr>
          <w:rStyle w:val="paragraph_header"/>
          <w:b w:val="1"/>
          <w:rtl w:val="0"/>
        </w:rPr>
        <w:t xml:space="preserve">Pieejamais finansējums un maksājumu veikšanas kārtība</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15.</w:t>
      </w:r>
      <w:r w:rsidR="00000000" w:rsidRPr="00000000" w:rsidDel="00000000">
        <w:rPr>
          <w:rtl w:val="0"/>
        </w:rPr>
        <w:t xml:space="preserve"> </w:t>
      </w:r>
      <w:r w:rsidR="00000000" w:rsidRPr="00000000" w:rsidDel="00000000">
        <w:rPr>
          <w:rtl w:val="0"/>
        </w:rPr>
        <w:t xml:space="preserve">2.4.1.1.i. investīcijas īstenošanai pieejamais Atveseļošanas fonda finansējums ir 12 500 000 euro. </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16.</w:t>
      </w:r>
      <w:r w:rsidR="00000000" w:rsidRPr="00000000" w:rsidDel="00000000">
        <w:rPr>
          <w:rtl w:val="0"/>
        </w:rPr>
        <w:t xml:space="preserve"> </w:t>
      </w:r>
      <w:r w:rsidR="00000000" w:rsidRPr="00000000" w:rsidDel="00000000">
        <w:rPr>
          <w:rtl w:val="0"/>
        </w:rPr>
        <w:t xml:space="preserve">2.4.1.1.i. investīcijas projekta īstenošanas laikā finansējuma saņēmējs var saņemt:</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16.</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avansa maksājumu ne vairāk kā 30% no projektā paredzētā Atveseļošanas fonda finansējuma apmēra saskaņā ar projektā noslēgto pakalpojumu, preču piegādes vai būvdarbu līgumiem,  ko finansējuma saņēmējs apgūst sešu mēnešu laikā saimnieciskā gada ietvaros. Atbalsta sniedzējs avansu piešķir, pamatojoties uz finansējuma saņēmēja rakstisku avansa pieprasījumu un izvērtējot plānotā avansa apmēru, tā pamatojumu un spēju to apgūt sešu mēnešu laikā saimnieciskā gada ietvaros. Atbilstoši projekta finansēšanas plānam avansa maksājumu var piešķirt vairākos maksājumos.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16.</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starpposma maksājumus proporcionāli šo noteikumu </w:t>
      </w:r>
      <w:r w:rsidR="00000000" w:rsidRPr="00000000" w:rsidDel="00000000">
        <w:rPr>
          <w:rtl w:val="0"/>
        </w:rPr>
        <w:t xml:space="preserve">12.2. </w:t>
      </w:r>
      <w:r w:rsidR="00000000" w:rsidRPr="00000000" w:rsidDel="00000000">
        <w:rPr>
          <w:rtl w:val="0"/>
        </w:rPr>
        <w:t xml:space="preserve">apakšpunktā</w:t>
      </w:r>
      <w:r w:rsidR="00000000" w:rsidRPr="00000000" w:rsidDel="00000000">
        <w:rPr>
          <w:rtl w:val="0"/>
        </w:rPr>
        <w:t xml:space="preserve"> minētā investīcijas mērķa sasniegšanai ar nosacījumu, ka noteiktajā optiskā tīkla posmā pabeigti darbi, kas saistīti ar mobilo sakaru mezglu punktu pieslēgšanu optiskā tīkla pamattrasei, pamatojoties uz finansējuma saņēmēja iesniegto un atbalsta sniedzēja apstiprināto progresa ziņojumu Kohēzijas politikas fondu vadības informācijas sistēmā;</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16.</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noslēguma maksājumu, ievērojot, ka ir atbalstāma kumulatīvi 100% finansējuma atmaksa saskaņā ar šo noteikumu </w:t>
      </w:r>
      <w:r w:rsidR="00000000" w:rsidRPr="00000000" w:rsidDel="00000000">
        <w:rPr>
          <w:rtl w:val="0"/>
        </w:rPr>
        <w:t xml:space="preserve">12.2. </w:t>
      </w:r>
      <w:r w:rsidR="00000000" w:rsidRPr="00000000" w:rsidDel="00000000">
        <w:rPr>
          <w:rtl w:val="0"/>
        </w:rPr>
        <w:t xml:space="preserve">apakšpunktā</w:t>
      </w:r>
      <w:r w:rsidR="00000000" w:rsidRPr="00000000" w:rsidDel="00000000">
        <w:rPr>
          <w:rtl w:val="0"/>
        </w:rPr>
        <w:t xml:space="preserve"> minētā investīcijas mērķa sasniegšanu ar nosacījumu, ka pabeigti darbi, kas saistīti ar mobilo sakaru mezglu punktu pieslēgšanu optiskā tīkla pamattrasei.</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16.1.</w:t>
      </w:r>
      <w:r w:rsidR="00000000" w:rsidRPr="00000000" w:rsidDel="00000000">
        <w:rPr>
          <w:rtl w:val="0"/>
        </w:rPr>
        <w:t xml:space="preserve"> un </w:t>
      </w:r>
      <w:r w:rsidR="00000000" w:rsidRPr="00000000" w:rsidDel="00000000">
        <w:rPr>
          <w:rtl w:val="0"/>
        </w:rPr>
        <w:t xml:space="preserve">16.2. </w:t>
      </w:r>
      <w:r w:rsidR="00000000" w:rsidRPr="00000000" w:rsidDel="00000000">
        <w:rPr>
          <w:rtl w:val="0"/>
        </w:rPr>
        <w:t xml:space="preserve">apakšpunktā</w:t>
      </w:r>
      <w:r w:rsidR="00000000" w:rsidRPr="00000000" w:rsidDel="00000000">
        <w:rPr>
          <w:rtl w:val="0"/>
        </w:rPr>
        <w:t xml:space="preserve"> piešķirtā avansa un starpposma maksājumu summa nepārsniedz 90% no kopējā projekta finansējuma. Finansējuma saņēmējs starpposma maksājumu var saņemt pēc tam, kad iepriekšējais avansa maksājums vai starpposma maksājums ir ieguldīts pilnā apmērā.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IV.</w:t>
      </w:r>
      <w:r w:rsidR="00000000" w:rsidRPr="00000000" w:rsidDel="00000000">
        <w:rPr>
          <w:rtl w:val="0"/>
        </w:rPr>
        <w:t xml:space="preserve"> </w:t>
      </w:r>
      <w:r w:rsidR="00000000" w:rsidRPr="00000000" w:rsidDel="00000000">
        <w:rPr>
          <w:rStyle w:val="paragraph_header"/>
          <w:b w:val="1"/>
          <w:rtl w:val="0"/>
        </w:rPr>
        <w:t xml:space="preserve">Atbalstāmās darbības un attiecināmās izmaksas</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 </w:t>
      </w:r>
      <w:r w:rsidR="00000000" w:rsidRPr="00000000" w:rsidDel="00000000">
        <w:rPr>
          <w:rtl w:val="0"/>
        </w:rPr>
        <w:t xml:space="preserve">2.4.1.1.i. investīcijas atbalstāmās darbības ir:</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Optiskā tīkla pamattrases (atvilces maršrutēšanas tīkla) infrastruktūras izbūve visā autoceļa Via Baltica garumā;</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Optiskā tīkla infrastruktūras pieslēgumu izbūve no pamattrases līdz esošajiem mobilo sakaru mezgla punktiem;</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Jaunu sakaru torņu būvniecība ar pasīvās infrastruktūras pieslēgumu izveidi (tai skaitā pasīvās infrastruktūras darbības un piekļuves monitoringa infrastruktūra);</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Projekta vadība un optiskā tīkla un sakaru torņu infrastruktūras (tai skaitā energoapgādes tīkla) projektēšanas un būvniecības procesa vadības un kontroles nodrošināšana.</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 </w:t>
      </w:r>
      <w:r w:rsidR="00000000" w:rsidRPr="00000000" w:rsidDel="00000000">
        <w:rPr>
          <w:rtl w:val="0"/>
        </w:rPr>
        <w:t xml:space="preserve">2.4.1.1.i. investīcijas attiecināmās izmaksas ir:</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pasīvās infrastruktūras būvniecības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projektēšanas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autoruzraudzības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ekspertīžu un izpētes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būvmateriālu un būvdarbu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elektroapgādes sadales sistēmas operatora pieslēguma izveides, tai skaitā ierīkošanas būvprojekta izstrādes,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sakaru torņu un ar to saistītās infrastruktūras izveides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ar projekta darbībām tieši saistīto publicitātes un vizuālās identitātes pasākumu izmaksas, kas veiktas atbilstoši </w:t>
      </w:r>
      <w:r w:rsidR="00000000" w:rsidRPr="00000000" w:rsidDel="00000000">
        <w:rPr>
          <w:rtl w:val="0"/>
        </w:rPr>
        <w:t xml:space="preserve">Eiropas Parlamenta un Padomes 2021. gada 12. februāra regulas  2021/241, ar ko izveido Atveseļošanas un noturības mehānismu,</w:t>
      </w:r>
      <w:r w:rsidR="00000000" w:rsidRPr="00000000" w:rsidDel="00000000">
        <w:rPr>
          <w:rtl w:val="0"/>
        </w:rPr>
        <w:t xml:space="preserve">  34. panta 2. punkta prasībām.</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būvdarbu uzraudzības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pasīvās infrastruktūras testēšanas izmaksas, tostarp testēšanas dokumentācijas izstrādes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pasīvās infrastruktūras darbības un piekļuves kontroles iekārtu iegādes un uzstādīšanas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pasīvās infrastruktūras būvniecībai nepieciešamo zemes gabalu iegāde un ar to saistītās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projekta vadības un īstenošanas personāla izmaksas;</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 </w:t>
      </w:r>
      <w:r w:rsidR="00000000" w:rsidRPr="00000000" w:rsidDel="00000000">
        <w:rPr>
          <w:rtl w:val="0"/>
        </w:rPr>
        <w:t xml:space="preserve">Izmaksas ir attiecināmas, ja tās: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veiktas saskaņā ar normatīvajiem aktiem publisko iepirkumu jomā;</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veiktas, pamatojoties uz noslēgtu pakalpojuma, piegādes, būvdarba, uzņēmuma līgumu vai darba līgumu;</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faktiski veiktas, norādītas finansējuma saņēmēja grāmatvedības uzskaitē, identificējamas, nodalītas no pārējām izmaksām, pārbaudāmas, kā arī tās apliecina attiecīgi attaisnojuma dokumenti (oriģināli vai attiecīgo dokumentu normatīvajos aktos noteiktā kārtībā apliecinātas kopijas);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nepieciešamas šo noteikumu </w:t>
      </w:r>
      <w:r w:rsidR="00000000" w:rsidRPr="00000000" w:rsidDel="00000000">
        <w:rPr>
          <w:rtl w:val="0"/>
        </w:rPr>
        <w:t xml:space="preserve">18. </w:t>
      </w:r>
      <w:r w:rsidR="00000000" w:rsidRPr="00000000" w:rsidDel="00000000">
        <w:rPr>
          <w:rtl w:val="0"/>
        </w:rPr>
        <w:t xml:space="preserve">punktā</w:t>
      </w:r>
      <w:r w:rsidR="00000000" w:rsidRPr="00000000" w:rsidDel="00000000">
        <w:rPr>
          <w:rtl w:val="0"/>
        </w:rPr>
        <w:t xml:space="preserve"> minēto darbību īstenošanai un šo noteikumu </w:t>
      </w:r>
      <w:r w:rsidR="00000000" w:rsidRPr="00000000" w:rsidDel="00000000">
        <w:rPr>
          <w:rtl w:val="0"/>
        </w:rPr>
        <w:t xml:space="preserve">10. </w:t>
      </w:r>
      <w:r w:rsidR="00000000" w:rsidRPr="00000000" w:rsidDel="00000000">
        <w:rPr>
          <w:rtl w:val="0"/>
        </w:rPr>
        <w:t xml:space="preserve">punktā</w:t>
      </w:r>
      <w:r w:rsidR="00000000" w:rsidRPr="00000000" w:rsidDel="00000000">
        <w:rPr>
          <w:rtl w:val="0"/>
        </w:rPr>
        <w:t xml:space="preserve"> minētā mērķa sasniegšanai un ir paredzētas apstiprinātajā projekta iesniegumā;</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atbilst drošas finanšu vadības principam;</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nav veiktas agrāk par dienu, kad Eiropas Komisija ir pieņēmusi lēmumu par 2.4.1.1.i. investīcijas saderību ar Līgumu par Eiropas Savienības darbību, izņemot tās aktivitātes, kas nav uzskatāmas par darbu sākumu atbilstoši </w:t>
      </w:r>
      <w:r w:rsidR="00000000" w:rsidRPr="00000000" w:rsidDel="00000000">
        <w:rPr>
          <w:rtl w:val="0"/>
        </w:rPr>
        <w:t xml:space="preserve">Eiropas Komisijas 2014. gada 17. jūnijs regulā Nr.651/2014, ar ko noteiktas atbalsta kategorijas atzīst par saderīgām ar iekšējo tirgu, piemērojot Līguma 107. un 108. pantu,</w:t>
      </w:r>
      <w:r w:rsidR="00000000" w:rsidRPr="00000000" w:rsidDel="00000000">
        <w:rPr>
          <w:rtl w:val="0"/>
        </w:rPr>
        <w:t xml:space="preserve"> 2.panta 23.punktā noteiktajai darbu sākuma definīcijai, un veiktas ne vēlāk kā 2025. gada 31. decembris;</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21.</w:t>
      </w:r>
      <w:r w:rsidR="00000000" w:rsidRPr="00000000" w:rsidDel="00000000">
        <w:rPr>
          <w:rtl w:val="0"/>
        </w:rPr>
        <w:t xml:space="preserve"> </w:t>
      </w:r>
      <w:r w:rsidR="00000000" w:rsidRPr="00000000" w:rsidDel="00000000">
        <w:rPr>
          <w:rtl w:val="0"/>
        </w:rPr>
        <w:t xml:space="preserve">Finansējuma saņēmējam projekta ietvaros ir iespēja ieplānot neatkarīga revidenta vai iekšējā auditora iesaisti, lai apliecinātu interešu konflikta, korupcijas un krāpšanas novēršanu, dubultfinansējuma riska novēršanu, atskaites punkta, mērķa sasniegšanu un izmaksu pamatotību, t.sk. datu ticamību. Neatkarīga revidenta vai iekšējā audita izmaksas ir attiecināmas finansēšanai no Atveseļošanas fonda finansējuma, izņemot, ja šo funkciju veic iekšējā audita struktūrvienība.</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22.</w:t>
      </w:r>
      <w:r w:rsidR="00000000" w:rsidRPr="00000000" w:rsidDel="00000000">
        <w:rPr>
          <w:rtl w:val="0"/>
        </w:rPr>
        <w:t xml:space="preserve"> </w:t>
      </w:r>
      <w:r w:rsidR="00000000" w:rsidRPr="00000000" w:rsidDel="00000000">
        <w:rPr>
          <w:rtl w:val="0"/>
        </w:rPr>
        <w:t xml:space="preserve">2.4.1.1.i. investīcijas attiecināmās izmaksas ir tieši attiecināmas uz Digitālo dimensiju, kas noteikta </w:t>
      </w:r>
      <w:r w:rsidR="00000000" w:rsidRPr="00000000" w:rsidDel="00000000">
        <w:rPr>
          <w:rtl w:val="0"/>
        </w:rPr>
        <w:t xml:space="preserve">Eiropas Parlamenta un Padomes 2021. gada 12. februāra regulas Nr. 2021/241, ar ko izveido Atveseļošanas un noturības mehānismu,</w:t>
      </w:r>
      <w:r w:rsidR="00000000" w:rsidRPr="00000000" w:rsidDel="00000000">
        <w:rPr>
          <w:rtl w:val="0"/>
        </w:rPr>
        <w:t xml:space="preserve"> 16.panta 2.punkta (b) daļas ii) apakšpunktā.</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w:t>
      </w:r>
      <w:r w:rsidR="00000000" w:rsidRPr="00000000" w:rsidDel="00000000">
        <w:rPr>
          <w:rtl w:val="0"/>
        </w:rPr>
        <w:t xml:space="preserve"> </w:t>
      </w:r>
      <w:r w:rsidR="00000000" w:rsidRPr="00000000" w:rsidDel="00000000">
        <w:rPr>
          <w:rStyle w:val="paragraph_header"/>
          <w:b w:val="1"/>
          <w:rtl w:val="0"/>
        </w:rPr>
        <w:t xml:space="preserve">Atbildības sadalījums starp iesaistītajām institūcijām un finansējuma saņēmēju</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 </w:t>
      </w:r>
      <w:r w:rsidR="00000000" w:rsidRPr="00000000" w:rsidDel="00000000">
        <w:rPr>
          <w:rtl w:val="0"/>
        </w:rPr>
        <w:t xml:space="preserve">Finansējuma saņēmējs nodrošina:</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2.4.1.1.i. investīcijas projekta iesnieguma veidlapas aizpildīšanu atbilstoši Kohēzijas politikas fondu vadības informācijas sistēmā pieejamajiem laukiem viena mēneša laikā pēc uzaicinājuma saņemšanas no nozares ministrijas;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12.2. </w:t>
      </w:r>
      <w:r w:rsidR="00000000" w:rsidRPr="00000000" w:rsidDel="00000000">
        <w:rPr>
          <w:rtl w:val="0"/>
        </w:rPr>
        <w:t xml:space="preserve">apakšpunktu</w:t>
      </w:r>
      <w:r w:rsidR="00000000" w:rsidRPr="00000000" w:rsidDel="00000000">
        <w:rPr>
          <w:rtl w:val="0"/>
        </w:rPr>
        <w:t xml:space="preserve">  noteiktā rādītāja uzskaiti Kohēzijas politikas fondu vadības informācijas sistēmā un informācijas sniegšanu nozares ministrijai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reizi ceturksnī vai pēc nozares ministrijas pieprasījuma atskaiti par 2.4.1.1.i. investīcijas mērķu sasniegšanas progresu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iepirkumu plāna, tai skaitā informācijas par jau noslēgtiem iepirkumu līgumiem un citiem ar projekta īstenošanu saistītiem līgumiem, un plānoto maksājumu pieprasījumu iesniegšanas grafika saskaņā ar projekta īstenošanas līgumu, iesniegšanu un aktualizēšanu Kohēzijas politikas fondu vadības informācijas sistēmā;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informācijas iesniegšanu Kohēzijas politikas fondu vadības informācijas sistēmā maksājumu pieprasījumam, tai skaitā pamatojošo dokumentāciju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informācijas sniegšanu pārbaužu veikšanai pēc pieprasījuma nozares ministrijai, institūcijām, kas nodrošina Atveseļošanas fonda plāna īstenošanu un uzraudzību, kā arī </w:t>
      </w:r>
      <w:r w:rsidR="00000000" w:rsidRPr="00000000" w:rsidDel="00000000">
        <w:rPr>
          <w:rtl w:val="0"/>
        </w:rPr>
        <w:t xml:space="preserve">Latvijas Republikas un Eiropas Komisijas finansēšanas nolīgumā par Atveseļošanas un noturības mehānismu</w:t>
      </w:r>
      <w:r w:rsidR="00000000" w:rsidRPr="00000000" w:rsidDel="00000000">
        <w:rPr>
          <w:rtl w:val="0"/>
        </w:rPr>
        <w:t xml:space="preserve"> </w:t>
      </w:r>
      <w:r w:rsidR="00000000" w:rsidRPr="00000000" w:rsidDel="00000000">
        <w:rPr>
          <w:rtl w:val="0"/>
        </w:rPr>
        <w:t xml:space="preserve">minētajām iestādēm;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piekļuves tarifu projekta un tā aprēķināšanas metodikas projekta iesniegšanu nozares ministrijai vismaz reizi trijos gados;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ka projektā plānotie darbi netiek finansēti, kā arī tos nav plānots finansēt no citiem valsts, pašvaldības un ārvalstu finanšu atbalsta instrumentiem;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tiesības uz konkrēto objektu vai īpašumu, kurā plānots veikt ieguldījumus ir īpašumā, ilgtermiņa nomā vai nodibinātas apbūves tiesības, bezatlīdzības lietošanā, valdījumā. Finansējuma saņēmēja tiesības uz konkrēto objektu vai īpašumu ir nostiprinātas valsts vienotajā datorizētajā Zemesgrāmatā, izņemot, ja nacionālais normatīvais regulējums nosaka citu kārtību.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2.4.1.1.i. investīcijas īstenošanu saskaņā ar šo noteikumu nosacījumiem un līgumu par projekta īstenošanu līdz 2025. gada 31. decembrim un projekta noslēguma dokumentācijas iesniegšanu nozares ministrijai līdz 2026. gada 31. janvārim;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korupcijas, krāpšanas, interešu konflikta un dubultā finansējuma riska novēršanas pasākumus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noslēguma audita veikšanu par visu projekta īstenošanas periodu, saņemot neatkarīga revidenta vai iekšējā auditora atzinumu,  kas apliecinātu interešu konflikta, korupcijas un krāpšanas novēršanu, dubultfinansējuma riska novēršanu, mērķa sasniegšanu un izmaksu pamatotību, t.sk. datu ticamību.</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 </w:t>
      </w:r>
      <w:r w:rsidR="00000000" w:rsidRPr="00000000" w:rsidDel="00000000">
        <w:rPr>
          <w:rtl w:val="0"/>
        </w:rPr>
        <w:t xml:space="preserve">Projekta ietvaros izveidotās infrastruktūras amortizācijas periods ir 20 gadi pēc tās nodošanas ekspluatācijā un tās laikā finansējuma saņēmējs: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nav tiesīgs nodrošināt interneta piekļuves pakalpojumu sniegšanu galalietotājiem, datu pārraides piekļuves pakalpojumu sniegšanu galalietotājiem un balss telefonijas pakalpojumu sniegšanu galalietotājiem, izmantojot ar 2.4.1.1.i. investīcijas palīdzību izveidoto infrastruktūru. Minētie ierobežojumi neattiecas uz pakalpojumiem, kas ir saistīti ar valsts aizsardzības un drošības funkciju, kā arī valsts suverenitātes nodrošināšanu;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nedrīkst gūt peļņu no izveidotās infrastruktūras izmantošanas, nodrošinot, ka projekta ietvaros gūtie ieņēmumi un izdevumi ir līdzsvarā. Finansējuma saņēmējam jāatmaksā nozares ministrijai jebkāds iespējamais pārpalikums, kas iegūts no tīkla izmantošanas;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nodrošina jebkuram elektronisko sakaru komersantam vienlīdzīgus piekļuves nosacījumus;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nodrošina projekta sasniegto rezultātu uzturēšanu un nepieciešamos līdzekļus rezultātu uzturēšanai.</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nodrošina atsevišķu grāmatvedības uzskaiti par finansējuma izlietojumu projektā un izveidotā tīkla ekspluatācijai izmantoto līdzekļu uzskaiti, nodalot tā ietvaros veiktās darbības no citas saimnieciskās darbības.</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25.</w:t>
      </w:r>
      <w:r w:rsidR="00000000" w:rsidRPr="00000000" w:rsidDel="00000000">
        <w:rPr>
          <w:rtl w:val="0"/>
        </w:rPr>
        <w:t xml:space="preserve"> </w:t>
      </w:r>
      <w:r w:rsidR="00000000" w:rsidRPr="00000000" w:rsidDel="00000000">
        <w:rPr>
          <w:rtl w:val="0"/>
        </w:rPr>
        <w:t xml:space="preserve">Saskaņā ar principa "Nenodarīt būtisku kaitējumu" novērtējumu 2.4.1.1.i. investīcijai nav konstatēta negatīva ietekme uz vidi. Finansējuma saņēmējs nodrošina, ka visi principa "Nenodarīt būtisku kaitējumu" nosacījumi, kas ietverti projekta iesniegumā, tiek ievēroti.</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 </w:t>
      </w:r>
      <w:r w:rsidR="00000000" w:rsidRPr="00000000" w:rsidDel="00000000">
        <w:rPr>
          <w:rtl w:val="0"/>
        </w:rPr>
        <w:t xml:space="preserve">Nozares ministrija nodrošina:</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valsts atbalsta programmas saskaņošanu ar Eiropas Komisiju, ievērojot Eiropas Savienības un nacionālos normatīvos aktus komercdarbības atbalsta jomā;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paziņojuma nosūtīšanu publicēšanai oficiālajā izdevumā "Latvijas Vēstnesis" par Eiropas Komisijas pieņemto lēmumu par komercdarbības atbalsta saderību ar Eiropas Savienības iekšējo tirgu;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Pēc </w:t>
      </w:r>
      <w:r w:rsidR="00000000" w:rsidRPr="00000000" w:rsidDel="00000000">
        <w:rPr>
          <w:rtl w:val="0"/>
        </w:rPr>
        <w:t xml:space="preserve">26.2. </w:t>
      </w:r>
      <w:r w:rsidR="00000000" w:rsidRPr="00000000" w:rsidDel="00000000">
        <w:rPr>
          <w:rtl w:val="0"/>
        </w:rPr>
        <w:t xml:space="preserve">apakšpunktā</w:t>
      </w:r>
      <w:r w:rsidR="00000000" w:rsidRPr="00000000" w:rsidDel="00000000">
        <w:rPr>
          <w:rtl w:val="0"/>
        </w:rPr>
        <w:t xml:space="preserve"> minētā paziņojuma publicēšanas informē par to finansējuma saņēmēju un lūdz iesniegt finansējuma saņēmējam projekta iesnieguma veidlapu Kohēzijas politikas fondu vadības informācijas sistēmā;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iekšējās kontroles sistēmas īstenošanu, uzraudzību, pilnveidi un datu ticamības, izsekojamības, pamatotības un piekļuves nodrošināšanu, tostarp komercdarbības atbalsta nosacījumu ievērošanas nodrošināšanu, uzraudzību un risku pārvaldību atbilstoši iekšējiem noteikumiem;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projekta iesnieguma atbilstības novērtējumu mēneša laikā pēc projektu iesniegumu iesniegšanas šādām prasībām:</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projekta iesniedzējs atbilst šo noteikumu </w:t>
      </w:r>
      <w:r w:rsidR="00000000" w:rsidRPr="00000000" w:rsidDel="00000000">
        <w:rPr>
          <w:rtl w:val="0"/>
        </w:rPr>
        <w:t xml:space="preserve">7.</w:t>
      </w:r>
      <w:r w:rsidR="00000000" w:rsidRPr="00000000" w:rsidDel="00000000">
        <w:rPr>
          <w:shd w:fill="#ffffff" w:val="clear"/>
          <w:rtl w:val="0"/>
        </w:rPr>
        <w:t xml:space="preserve"> </w:t>
      </w:r>
      <w:r w:rsidR="00000000" w:rsidRPr="00000000" w:rsidDel="00000000">
        <w:rPr>
          <w:shd w:fill="#e0ffff" w:val="clear"/>
          <w:rtl w:val="0"/>
        </w:rPr>
        <w:t xml:space="preserve">punktā</w:t>
      </w:r>
      <w:r w:rsidR="00000000" w:rsidRPr="00000000" w:rsidDel="00000000">
        <w:rPr>
          <w:rtl w:val="0"/>
        </w:rPr>
        <w:t xml:space="preserve"> izvirzītajām prasībām un</w:t>
      </w:r>
      <w:r w:rsidR="00000000" w:rsidRPr="00000000" w:rsidDel="00000000">
        <w:rPr>
          <w:rtl w:val="0"/>
        </w:rPr>
        <w:t xml:space="preserve">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000000" w:rsidRPr="00000000" w:rsidDel="00000000">
        <w:rPr>
          <w:rtl w:val="0"/>
        </w:rPr>
        <w:t xml:space="preserve"> 136. pantā noteiktajiem izslēgšanas kritērijiem;</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projekta mērķis ir atbilstošs šo noteikumu </w:t>
      </w:r>
      <w:r w:rsidR="00000000" w:rsidRPr="00000000" w:rsidDel="00000000">
        <w:rPr>
          <w:rtl w:val="0"/>
        </w:rPr>
        <w:t xml:space="preserve">10. punktam</w:t>
      </w:r>
      <w:r w:rsidR="00000000" w:rsidRPr="00000000" w:rsidDel="00000000">
        <w:rPr>
          <w:rtl w:val="0"/>
        </w:rPr>
        <w:t xml:space="preserve">  un </w:t>
      </w:r>
      <w:r w:rsidR="00000000" w:rsidRPr="00000000" w:rsidDel="00000000">
        <w:rPr>
          <w:rtl w:val="0"/>
        </w:rPr>
        <w:t xml:space="preserve">12.2. </w:t>
      </w:r>
      <w:r w:rsidR="00000000" w:rsidRPr="00000000" w:rsidDel="00000000">
        <w:rPr>
          <w:rtl w:val="0"/>
        </w:rPr>
        <w:t xml:space="preserve">apakšpunktam</w:t>
      </w:r>
      <w:r w:rsidR="00000000" w:rsidRPr="00000000" w:rsidDel="00000000">
        <w:rPr>
          <w:rtl w:val="0"/>
        </w:rPr>
        <w:t xml:space="preserve">;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projekta izmaksas ir atbilstošas šo noteikumu </w:t>
      </w:r>
      <w:r w:rsidR="00000000" w:rsidRPr="00000000" w:rsidDel="00000000">
        <w:rPr>
          <w:rtl w:val="0"/>
        </w:rPr>
        <w:t xml:space="preserve">19.</w:t>
      </w:r>
      <w:r w:rsidR="00000000" w:rsidRPr="00000000" w:rsidDel="00000000">
        <w:rPr>
          <w:rtl w:val="0"/>
        </w:rPr>
        <w:t xml:space="preserve"> </w:t>
      </w:r>
      <w:r w:rsidR="00000000" w:rsidRPr="00000000" w:rsidDel="00000000">
        <w:rPr>
          <w:rtl w:val="0"/>
        </w:rPr>
        <w:t xml:space="preserve">punktam</w:t>
      </w:r>
      <w:r w:rsidR="00000000" w:rsidRPr="00000000" w:rsidDel="00000000">
        <w:rPr>
          <w:rtl w:val="0"/>
        </w:rPr>
        <w:t xml:space="preserve"> un  </w:t>
      </w:r>
      <w:r w:rsidR="00000000" w:rsidRPr="00000000" w:rsidDel="00000000">
        <w:rPr>
          <w:rtl w:val="0"/>
        </w:rPr>
        <w:t xml:space="preserve">20.6. apakšpunktam.</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projekta darbības ir atbilstošas šo noteikumu </w:t>
      </w:r>
      <w:r w:rsidR="00000000" w:rsidRPr="00000000" w:rsidDel="00000000">
        <w:rPr>
          <w:rtl w:val="0"/>
        </w:rPr>
        <w:t xml:space="preserve">18.</w:t>
      </w:r>
      <w:r w:rsidR="00000000" w:rsidRPr="00000000" w:rsidDel="00000000">
        <w:rPr>
          <w:rtl w:val="0"/>
        </w:rPr>
        <w:t xml:space="preserve"> </w:t>
      </w:r>
      <w:r w:rsidR="00000000" w:rsidRPr="00000000" w:rsidDel="00000000">
        <w:rPr>
          <w:rtl w:val="0"/>
        </w:rPr>
        <w:t xml:space="preserve">punktam</w:t>
      </w:r>
      <w:r w:rsidR="00000000" w:rsidRPr="00000000" w:rsidDel="00000000">
        <w:rPr>
          <w:rtl w:val="0"/>
        </w:rPr>
        <w:t xml:space="preserve">;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ir iekļauts apraksts par saskaņu ar horizontālo principu "Nenodarīt būtisku kaitējumu";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ir iesniegts apliecinājums, ka projekta iesniedzēja rīcībā ir pietiekami un stabili finanšu resursi, lai nodrošinātu projekta īstenošanu un uzturēšanu.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finansējuma saņēmēja informēšanu par nosacījumu izpildei noteiktās darbības un termiņu gadījumā, ja projekta iesniegums neatbilst šo noteikumu 26.5. apakšpunktā minētajām prasībām.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līguma slēgšanu par projekta īstenošanu, tai skaitā mērķa sasniegšanu un šo noteikumu </w:t>
      </w:r>
      <w:r w:rsidR="00000000" w:rsidRPr="00000000" w:rsidDel="00000000">
        <w:rPr>
          <w:rtl w:val="0"/>
        </w:rPr>
        <w:t xml:space="preserve">15. </w:t>
      </w:r>
      <w:r w:rsidR="00000000" w:rsidRPr="00000000" w:rsidDel="00000000">
        <w:rPr>
          <w:rtl w:val="0"/>
        </w:rPr>
        <w:t xml:space="preserve">punktā</w:t>
      </w:r>
      <w:r w:rsidR="00000000" w:rsidRPr="00000000" w:rsidDel="00000000">
        <w:rPr>
          <w:rtl w:val="0"/>
        </w:rPr>
        <w:t xml:space="preserve"> minētā finansējuma ieguldīšanas, izlietošanas un uzraudzības kārtību, atbilstoši normatīvajos aktos noteiktajam, ja projekta iesniegums atbilst šo noteikumu </w:t>
      </w:r>
      <w:r w:rsidR="00000000" w:rsidRPr="00000000" w:rsidDel="00000000">
        <w:rPr>
          <w:rtl w:val="0"/>
        </w:rPr>
        <w:t xml:space="preserve">26.5. </w:t>
      </w:r>
      <w:r w:rsidR="00000000" w:rsidRPr="00000000" w:rsidDel="00000000">
        <w:rPr>
          <w:rtl w:val="0"/>
        </w:rPr>
        <w:t xml:space="preserve">apakšpunktā</w:t>
      </w:r>
      <w:r w:rsidR="00000000" w:rsidRPr="00000000" w:rsidDel="00000000">
        <w:rPr>
          <w:rtl w:val="0"/>
        </w:rPr>
        <w:t xml:space="preserve"> norādītajām prasībām un projekta iesniedzējs uz līguma slēgšanas brīdi atbilst </w:t>
      </w:r>
      <w:r w:rsidR="00000000" w:rsidRPr="00000000" w:rsidDel="00000000">
        <w:rPr>
          <w:rtl w:val="0"/>
        </w:rPr>
        <w:t xml:space="preserve">34.</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punktā izvirzītajām prasībām. Līgumā iekļauj vismaz šādus projekta īstenošanas nosacījumus:</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ministrijas un finansējuma saņēmēja tiesības un pienākumi;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laikposms, kurā veiktās izmaksas var uzskatīt par attiecināmām;</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projekta īstenošanas un uzraudzības nosacījumi, tostarp atskaišu formas, atskaišu iesniegšana par mērķu sasniegšanas progresu, to pamatojošo dokumentācijas iesniegšanas un izskatīšanas kārtība, informācijas sniegšana pārbaužu veikšanai;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nosacījumi datu ievadei Kohēzijas politikas fondu vadības informācijas sistēmā, tostarp nosakot, kādi projekta iesnieguma datu lauki aizpildāmi;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informācijas un publicitātes nosacījumi;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maksājumu pieprasīšanas un veikšanas kārtība;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ar projekta īstenošanu saistīto dokumentu uzglabāšanas termiņš;</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līguma darbības laiks, tā grozīšanas un izbeigšanas kārtība;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rīcība nepārvaramas varas gadījumā;</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strīdu izšķiršanas kārtība.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nepieciešamo darbību veikšanu, lai nodrošinātu nozares ministrijai tiesību aktos noteikto pienākumu attiecībā uz finansējuma saņēmēju veikt attiecīgas korektīvās darbības, ievērojot </w:t>
      </w:r>
      <w:r w:rsidR="00000000" w:rsidRPr="00000000" w:rsidDel="00000000">
        <w:rPr>
          <w:rtl w:val="0"/>
        </w:rPr>
        <w:t xml:space="preserve">Ministru kabineta 2021. gada 7. septembra noteikumu Nr. 621 "Eiropas Savienības Atveseļošanas un noturības mehānisma plāna īstenošanas un uzraudzības kārtība"</w:t>
      </w:r>
      <w:r w:rsidR="00000000" w:rsidRPr="00000000" w:rsidDel="00000000">
        <w:rPr>
          <w:rtl w:val="0"/>
        </w:rPr>
        <w:t xml:space="preserve">  8. punktā noteikto uzdevumu izpildi, tajā skaitā attiecībā uz 2.4.1.1.i. investīcijas mērķa sasniegšanu, ja nozares ministrija konstatē, ka netiek ievērotas normatīvajos aktos un līgumā par projekta īstenošanu noteiktās prasības;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pieprasa projekta īstenošanai nepieciešamo finansējumu no budžeta programmas normatīvajos aktos noteiktajā kārtībā;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veic projekta noslēguma dokumentācijas pārbaudi un noslēguma maksājumu līdz 2026. gada 31. augustam;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valsts budžeta līdzekļu plānošanu 2.4.1.1.i. investīcijas īstenošanai un valsts budžeta līdzekļu pieprasījumu sagatavošanu atbilstoši normatīvajos aktos par budžetu un finanšu vadību noteiktajam;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lai nodrošinātu 2.4.1.1.i. investīcijas iekšējās kontroles sistēmas īstenošanas novērtējumu, nozares ministrija veic uz risku novērtējumu balstītu vismaz vienu iekšējo auditu līdz 2026. gada 31. martam, aptverot šādus aspektus:</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interešu konflikta, korupcijas un krāpšanas novēršana;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dubultfinansējuma riska novēršana;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12.</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starpposma rādītāja un mērķa pamatojošās dokumentācijas pārbaude, tostarp datu ticamības pārbaude.</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informācijas sniegšanu Kohēzijas politikas fondu vadības informācijas sistēmā Latvijas Atveseļošanas un noturības mehānisma plāna īstenošanas progresa pusgada ziņojuma un maksājuma pieprasījuma sagatavošanai: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līdz 10. janvārim – maksājumu pieprasījumu un izdevumus un sasniegto rādītāju pamatojošo dokumentu iesniegšanu par periodu līdz iepriekšējā gada beigām, izņemot projekta noslēguma dokumentāciju iesniedz saskaņā ar šo noteikumu </w:t>
      </w:r>
      <w:r w:rsidR="00000000" w:rsidRPr="00000000" w:rsidDel="00000000">
        <w:rPr>
          <w:rtl w:val="0"/>
        </w:rPr>
        <w:t xml:space="preserve">26.10. </w:t>
      </w:r>
      <w:r w:rsidR="00000000" w:rsidRPr="00000000" w:rsidDel="00000000">
        <w:rPr>
          <w:rtl w:val="0"/>
        </w:rPr>
        <w:t xml:space="preserve">apakšpunktu</w:t>
      </w:r>
      <w:r w:rsidR="00000000" w:rsidRPr="00000000" w:rsidDel="00000000">
        <w:rPr>
          <w:rtl w:val="0"/>
        </w:rPr>
        <w:t xml:space="preserve">;</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līdz 10. jūlijam – maksājumu pieprasījumu un izdevumus un sasniegto rādītāju pamatojošo dokumentu iesniegšanu par periodu līdz kārtējā gada 30. jūnijam.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 </w:t>
      </w:r>
      <w:r w:rsidR="00000000" w:rsidRPr="00000000" w:rsidDel="00000000">
        <w:rPr>
          <w:rtl w:val="0"/>
        </w:rPr>
        <w:t xml:space="preserve">var izmantot tiesības uz līguma par projekta īstenošanu vienpusēja uzteikuma nosacījumiem, kad: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finansējuma saņēmējs nepilda līgumu vai vienošanos par projekta īstenošanu, tai skaitā netiek ievēroti projektā noteiktie termiņi vai ir iestājušies citi apstākļi, kas negatīvi ietekmē vai var ietekmēt investīcijas vai noteikto rādītāju sasniegšanu;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finansējuma saņēmējs projekta īstenošanas laikā apzināti ir sniedzis nepatiesu informāciju;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citos gadījumos, ko paredz līgums vai vienošanās par projekta īstenošanu.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VI.</w:t>
      </w:r>
      <w:r w:rsidR="00000000" w:rsidRPr="00000000" w:rsidDel="00000000">
        <w:rPr>
          <w:rtl w:val="0"/>
        </w:rPr>
        <w:t xml:space="preserve"> </w:t>
      </w:r>
      <w:r w:rsidR="00000000" w:rsidRPr="00000000" w:rsidDel="00000000">
        <w:rPr>
          <w:rStyle w:val="paragraph_header"/>
          <w:b w:val="1"/>
          <w:rtl w:val="0"/>
        </w:rPr>
        <w:t xml:space="preserve">Vizuālās identitātes prasības</w:t>
      </w:r>
    </w:p>
    <w:p w:rsidP="00000000" w:rsidRDefault="00000000" w:rsidR="00000000" w:rsidRPr="00000000" w:rsidDel="00000000">
      <w:pPr>
        <w:numPr>
          <w:ilvl w:val="0"/>
          <w:numId w:val="6"/>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27.</w:t>
      </w:r>
      <w:r w:rsidR="00000000" w:rsidRPr="00000000" w:rsidDel="00000000">
        <w:rPr>
          <w:rtl w:val="0"/>
        </w:rPr>
        <w:t xml:space="preserve"> </w:t>
      </w:r>
      <w:r w:rsidR="00000000" w:rsidRPr="00000000" w:rsidDel="00000000">
        <w:rPr>
          <w:rtl w:val="0"/>
        </w:rPr>
        <w:t xml:space="preserve">Nozares ministrija un finansējuma saņēmējs nodrošina informācijas un publicitātes pasākumus par 2.4.1.1.i. investīciju </w:t>
      </w:r>
      <w:r w:rsidR="00000000" w:rsidRPr="00000000" w:rsidDel="00000000">
        <w:rPr>
          <w:rtl w:val="0"/>
        </w:rPr>
        <w:t xml:space="preserve">saskaņā ar Eiropas Parlamenta un Padomes 2021. gada 12. februāra regulas Nr. 2021/241, ar ko izveido Atveseļošanas un noturības mehānismu,</w:t>
      </w:r>
      <w:r w:rsidR="00000000" w:rsidRPr="00000000" w:rsidDel="00000000">
        <w:rPr>
          <w:rtl w:val="0"/>
        </w:rPr>
        <w:t xml:space="preserve"> </w:t>
      </w:r>
      <w:r w:rsidR="00000000" w:rsidRPr="00000000" w:rsidDel="00000000">
        <w:rPr>
          <w:rtl w:val="0"/>
        </w:rPr>
        <w:t xml:space="preserve"> 34. pantu un </w:t>
      </w:r>
      <w:r w:rsidR="00000000" w:rsidRPr="00000000" w:rsidDel="00000000">
        <w:rPr>
          <w:rtl w:val="0"/>
        </w:rPr>
        <w:t xml:space="preserve">Latvijas Republikas un Eiropas Komisijas finansēšanas nolīguma par Atveseļošanas un noturības mehānismu</w:t>
      </w:r>
      <w:r w:rsidR="00000000" w:rsidRPr="00000000" w:rsidDel="00000000">
        <w:rPr>
          <w:rtl w:val="0"/>
        </w:rPr>
        <w:t xml:space="preserve"> </w:t>
      </w:r>
      <w:r w:rsidR="00000000" w:rsidRPr="00000000" w:rsidDel="00000000">
        <w:rPr>
          <w:rtl w:val="0"/>
        </w:rPr>
        <w:t xml:space="preserve"> 10. pantu. </w:t>
      </w:r>
    </w:p>
    <w:p w:rsidP="00000000" w:rsidRDefault="00000000" w:rsidR="00000000" w:rsidRPr="00000000" w:rsidDel="00000000">
      <w:pPr>
        <w:numPr>
          <w:ilvl w:val="0"/>
          <w:numId w:val="6"/>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28.</w:t>
      </w:r>
      <w:r w:rsidR="00000000" w:rsidRPr="00000000" w:rsidDel="00000000">
        <w:rPr>
          <w:rtl w:val="0"/>
        </w:rPr>
        <w:t xml:space="preserve"> </w:t>
      </w:r>
      <w:r w:rsidR="00000000" w:rsidRPr="00000000" w:rsidDel="00000000">
        <w:rPr>
          <w:rtl w:val="0"/>
        </w:rPr>
        <w:t xml:space="preserve">Nozares ministrija un finansējuma saņēmējs sagatavotajos 2.4.1.1.i. investīcijas projektā veikto publicitātes aktivitāšu (pasākumu) materiālos norāda Eiropas Savienības logo un attiecīgu finansējuma paziņojumu ar tekstu "atbalsta Eiropas Savienība – JaunāPaaudzeES", ievērojot </w:t>
      </w:r>
      <w:r w:rsidR="00000000" w:rsidRPr="00000000" w:rsidDel="00000000">
        <w:rPr>
          <w:rtl w:val="0"/>
        </w:rPr>
        <w:t xml:space="preserve">Eiropas Parlamenta un Padomes 2021. gada 12. februāra regulas Nr. 2021/241, ar ko izveido Atveseļošanas un noturības mehānismu,</w:t>
      </w:r>
      <w:r w:rsidR="00000000" w:rsidRPr="00000000" w:rsidDel="00000000">
        <w:rPr>
          <w:rtl w:val="0"/>
        </w:rPr>
        <w:t xml:space="preserve"> 34. panta 2. apakšpunktā minēto.</w:t>
      </w:r>
    </w:p>
    <w:p w:rsidP="00000000" w:rsidRDefault="00000000" w:rsidR="00000000" w:rsidRPr="00000000" w:rsidDel="00000000">
      <w:pPr>
        <w:numPr>
          <w:ilvl w:val="0"/>
          <w:numId w:val="6"/>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29.</w:t>
      </w:r>
      <w:r w:rsidR="00000000" w:rsidRPr="00000000" w:rsidDel="00000000">
        <w:rPr>
          <w:rtl w:val="0"/>
        </w:rPr>
        <w:t xml:space="preserve"> </w:t>
      </w:r>
      <w:r w:rsidR="00000000" w:rsidRPr="00000000" w:rsidDel="00000000">
        <w:rPr>
          <w:rtl w:val="0"/>
        </w:rPr>
        <w:t xml:space="preserve">Finansējuma saņēmējs ne retāk kā reizi trijos mēnešos nodrošina aktuālās informācijas ievietošanu savā tīmekļa vietnē par projekta īstenošanas gaitu, tostarp izbūvētās infrastruktūras kartējumu.  </w:t>
      </w:r>
    </w:p>
    <w:p w:rsidP="00000000" w:rsidRDefault="00000000" w:rsidR="00000000" w:rsidRPr="00000000" w:rsidDel="00000000">
      <w:pPr>
        <w:numPr>
          <w:ilvl w:val="0"/>
          <w:numId w:val="6"/>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VII.</w:t>
      </w:r>
      <w:r w:rsidR="00000000" w:rsidRPr="00000000" w:rsidDel="00000000">
        <w:rPr>
          <w:rtl w:val="0"/>
        </w:rPr>
        <w:t xml:space="preserve"> </w:t>
      </w:r>
      <w:r w:rsidR="00000000" w:rsidRPr="00000000" w:rsidDel="00000000">
        <w:rPr>
          <w:rStyle w:val="paragraph_header"/>
          <w:b w:val="1"/>
          <w:rtl w:val="0"/>
        </w:rPr>
        <w:t xml:space="preserve">Dokumentu glabāšanas nosacījumi un ilgums</w:t>
      </w:r>
    </w:p>
    <w:p w:rsidP="00000000" w:rsidRDefault="00000000" w:rsidR="00000000" w:rsidRPr="00000000" w:rsidDel="00000000">
      <w:pPr>
        <w:numPr>
          <w:ilvl w:val="0"/>
          <w:numId w:val="7"/>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30.</w:t>
      </w:r>
      <w:r w:rsidR="00000000" w:rsidRPr="00000000" w:rsidDel="00000000">
        <w:rPr>
          <w:rtl w:val="0"/>
        </w:rPr>
        <w:t xml:space="preserve"> </w:t>
      </w:r>
      <w:r w:rsidR="00000000" w:rsidRPr="00000000" w:rsidDel="00000000">
        <w:rPr>
          <w:rtl w:val="0"/>
        </w:rPr>
        <w:t xml:space="preserve">Finansējuma saņēmējs nodrošina ar 2.4.1.1.i. investīcijas īstenošanu saistītās informācijas un dokumentu uzglabāšanu 20 gadus pēc projekta īstenošanas rezultātā izveidotās infrastruktūras pieņemšanas ekspluatācijā.</w:t>
      </w:r>
    </w:p>
    <w:p w:rsidP="00000000" w:rsidRDefault="00000000" w:rsidR="00000000" w:rsidRPr="00000000" w:rsidDel="00000000">
      <w:pPr>
        <w:numPr>
          <w:ilvl w:val="0"/>
          <w:numId w:val="7"/>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31.</w:t>
      </w:r>
      <w:r w:rsidR="00000000" w:rsidRPr="00000000" w:rsidDel="00000000">
        <w:rPr>
          <w:rtl w:val="0"/>
        </w:rPr>
        <w:t xml:space="preserve"> </w:t>
      </w:r>
      <w:r w:rsidR="00000000" w:rsidRPr="00000000" w:rsidDel="00000000">
        <w:rPr>
          <w:rtl w:val="0"/>
        </w:rPr>
        <w:t xml:space="preserve">Nozares ministrija sadarbībā ar finansējuma saņēmēju nodrošina informācijas uzrādīšanu </w:t>
      </w:r>
      <w:r w:rsidR="00000000" w:rsidRPr="00000000" w:rsidDel="00000000">
        <w:rPr>
          <w:rtl w:val="0"/>
        </w:rPr>
        <w:t xml:space="preserve">Ministru kabineta 2021. gada 7. septembra noteikumu Nr. 621 "Eiropas Savienības Atveseļošanas un noturības mehānisma plāna īstenošanas un uzraudzības kārtība"</w:t>
      </w:r>
      <w:r w:rsidR="00000000" w:rsidRPr="00000000" w:rsidDel="00000000">
        <w:rPr>
          <w:rtl w:val="0"/>
        </w:rPr>
        <w:t xml:space="preserve">  2. punktā minētajām iestādēm, kā arī </w:t>
      </w:r>
      <w:r w:rsidR="00000000" w:rsidRPr="00000000" w:rsidDel="00000000">
        <w:rPr>
          <w:rtl w:val="0"/>
        </w:rPr>
        <w:t xml:space="preserve">Latvijas Republikas un Eiropas Komisijas finansēšanas nolīgumā par Atveseļošanas un noturības mehānismu</w:t>
      </w:r>
      <w:r w:rsidR="00000000" w:rsidRPr="00000000" w:rsidDel="00000000">
        <w:rPr>
          <w:rtl w:val="0"/>
        </w:rPr>
        <w:t xml:space="preserve"> 12. panta 3. punktā minētajām iestādēm.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VIII.</w:t>
      </w:r>
      <w:r w:rsidR="00000000" w:rsidRPr="00000000" w:rsidDel="00000000">
        <w:rPr>
          <w:rtl w:val="0"/>
        </w:rPr>
        <w:t xml:space="preserve"> </w:t>
      </w:r>
      <w:r w:rsidR="00000000" w:rsidRPr="00000000" w:rsidDel="00000000">
        <w:rPr>
          <w:rStyle w:val="paragraph_header"/>
          <w:b w:val="1"/>
          <w:rtl w:val="0"/>
        </w:rPr>
        <w:t xml:space="preserve">Komercdarbības atbalsta nosacījumi un piemērojamais regulējums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32.</w:t>
      </w:r>
      <w:r w:rsidR="00000000" w:rsidRPr="00000000" w:rsidDel="00000000">
        <w:rPr>
          <w:rtl w:val="0"/>
        </w:rPr>
        <w:t xml:space="preserve"> </w:t>
      </w:r>
      <w:r w:rsidR="00000000" w:rsidRPr="00000000" w:rsidDel="00000000">
        <w:rPr>
          <w:rtl w:val="0"/>
        </w:rPr>
        <w:t xml:space="preserve">Atbalsta instruments ir tiešā dotācija.</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33.</w:t>
      </w:r>
      <w:r w:rsidR="00000000" w:rsidRPr="00000000" w:rsidDel="00000000">
        <w:rPr>
          <w:rtl w:val="0"/>
        </w:rPr>
        <w:t xml:space="preserve"> </w:t>
      </w:r>
      <w:r w:rsidR="00000000" w:rsidRPr="00000000" w:rsidDel="00000000">
        <w:rPr>
          <w:rtl w:val="0"/>
        </w:rPr>
        <w:t xml:space="preserve">Maksimālā atbalsta summa individuālam projektam un pieļaujamais atbalsta apmērs ir 12 500 000 euro darbībām un izmaksām, kas minētas šo noteikumu </w:t>
      </w:r>
      <w:r w:rsidR="00000000" w:rsidRPr="00000000" w:rsidDel="00000000">
        <w:rPr>
          <w:rtl w:val="0"/>
        </w:rPr>
        <w:t xml:space="preserve">IV nodaļā</w:t>
      </w:r>
      <w:r w:rsidR="00000000" w:rsidRPr="00000000" w:rsidDel="00000000">
        <w:rPr>
          <w:rtl w:val="0"/>
        </w:rPr>
        <w:t xml:space="preserve">, un piemērojamā komercdarbības atbalsta intensitāte ir 100%.</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34.</w:t>
      </w:r>
      <w:r w:rsidR="00000000" w:rsidRPr="00000000" w:rsidDel="00000000">
        <w:rPr>
          <w:rtl w:val="0"/>
        </w:rPr>
        <w:t xml:space="preserve"> </w:t>
      </w:r>
      <w:r w:rsidR="00000000" w:rsidRPr="00000000" w:rsidDel="00000000">
        <w:rPr>
          <w:rtl w:val="0"/>
        </w:rPr>
        <w:t xml:space="preserve">Atbalsts nav paredzēts grūtībās nonākušam uzņēmumam, kas definēts </w:t>
      </w:r>
      <w:r w:rsidR="00000000" w:rsidRPr="00000000" w:rsidDel="00000000">
        <w:rPr>
          <w:rtl w:val="0"/>
        </w:rPr>
        <w:t xml:space="preserve">Eiropas Komisijas 2014. gada 17. jūnijs regulā Nr.651/2014, ar ko noteiktas atbalsta kategorijas atzīst par saderīgām ar iekšējo tirgu, piemērojot Līguma 107. un 108. pantu,</w:t>
      </w:r>
      <w:r w:rsidR="00000000" w:rsidRPr="00000000" w:rsidDel="00000000">
        <w:rPr>
          <w:rtl w:val="0"/>
        </w:rPr>
        <w:t xml:space="preserve"> 2. panta 18. punktā.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35.</w:t>
      </w:r>
      <w:r w:rsidR="00000000" w:rsidRPr="00000000" w:rsidDel="00000000">
        <w:rPr>
          <w:rtl w:val="0"/>
        </w:rPr>
        <w:t xml:space="preserve"> </w:t>
      </w:r>
      <w:r w:rsidR="00000000" w:rsidRPr="00000000" w:rsidDel="00000000">
        <w:rPr>
          <w:rtl w:val="0"/>
        </w:rPr>
        <w:t xml:space="preserve">Stimulējošās ietekmes nosacījumu nodrošināšanai atbalstu nedrīkst piešķirt jau uzsāktiem projektiem, kā arī pirms projekta atlases procedūras uzsākšanas ir jābūt veiktai sabiedriskai apspriešanai ne vēlāk kā vienu gadu, kurā elektronisko sakaru komersantiem lūgts iesniegt pamatotu informāciju par to tīkliem, kuri atrodas vai kurus ticami plānots ierīkot mērķa teritorijā projekta īstenošanas laikā, publicējot informāciju Satiksmes ministrijas tīmekļa vietnē.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36.</w:t>
      </w:r>
      <w:r w:rsidR="00000000" w:rsidRPr="00000000" w:rsidDel="00000000">
        <w:rPr>
          <w:rtl w:val="0"/>
        </w:rPr>
        <w:t xml:space="preserve"> </w:t>
      </w:r>
      <w:r w:rsidR="00000000" w:rsidRPr="00000000" w:rsidDel="00000000">
        <w:rPr>
          <w:rtl w:val="0"/>
        </w:rPr>
        <w:t xml:space="preserve">Atbalsts netiek sniegts saņēmējam, uz kuru attiecas līdzekļu atgūšanas rīkojums saskaņā ar iepriekšēju Eiropas Komisijas lēmumu, ar ko atbalsts tiek atzīts par nelikumīgu un nesaderīgu ar kopējo tirgu.</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37.</w:t>
      </w:r>
      <w:r w:rsidR="00000000" w:rsidRPr="00000000" w:rsidDel="00000000">
        <w:rPr>
          <w:rtl w:val="0"/>
        </w:rPr>
        <w:t xml:space="preserve"> </w:t>
      </w:r>
      <w:r w:rsidR="00000000" w:rsidRPr="00000000" w:rsidDel="00000000">
        <w:rPr>
          <w:rtl w:val="0"/>
        </w:rPr>
        <w:t xml:space="preserve">Atbalsta piešķiršanas brīdis ir līguma par projekta īstenošanu noslēgšana, ko noslēdz pēc tam, kad Eiropas Komisija ir pieņēmusi lēmumu par 2.4.1.1.i. investīcijas saderību ar Līgumu par Eiropas Savienības darbību.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38.</w:t>
      </w:r>
      <w:r w:rsidR="00000000" w:rsidRPr="00000000" w:rsidDel="00000000">
        <w:rPr>
          <w:rtl w:val="0"/>
        </w:rPr>
        <w:t xml:space="preserve"> </w:t>
      </w:r>
      <w:r w:rsidR="00000000" w:rsidRPr="00000000" w:rsidDel="00000000">
        <w:rPr>
          <w:rtl w:val="0"/>
        </w:rPr>
        <w:t xml:space="preserve">Lēmumu par atbalsta piešķiršanu var pieņemt līdz 2023. gada 31. decembrim.</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39.</w:t>
      </w:r>
      <w:r w:rsidR="00000000" w:rsidRPr="00000000" w:rsidDel="00000000">
        <w:rPr>
          <w:rtl w:val="0"/>
        </w:rPr>
        <w:t xml:space="preserve"> </w:t>
      </w:r>
      <w:r w:rsidR="00000000" w:rsidRPr="00000000" w:rsidDel="00000000">
        <w:rPr>
          <w:rtl w:val="0"/>
        </w:rPr>
        <w:t xml:space="preserve">Nozares ministrija publicē informāciju par sniegto komercdarbības atbalstu Eiropas Komisijas pārziņā esošajā elektroniskajā sistēmā Aid Award System Application, ievērojot publicitātes pasākumu izpildi, atbilstoši normatīvajam tiesību aktam par kārtību, kādā publicē informāciju par sniegto komercdarbības atbalstu un piešķir un anulē elektroniskās sistēmas lietošanas tiesības.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40.</w:t>
      </w:r>
      <w:r w:rsidR="00000000" w:rsidRPr="00000000" w:rsidDel="00000000">
        <w:rPr>
          <w:rtl w:val="0"/>
        </w:rPr>
        <w:t xml:space="preserve"> </w:t>
      </w:r>
      <w:r w:rsidR="00000000" w:rsidRPr="00000000" w:rsidDel="00000000">
        <w:rPr>
          <w:rtl w:val="0"/>
        </w:rPr>
        <w:t xml:space="preserve">Komercdarbības atbalsta sniedzējinstitūcija ir nozares ministrija, kas nodrošina komercdarbības atbalsta nosacījumu ievērošanu investīcijas 2.4.1.1.i. atbalsta programmu un atbalsta projektu izstrādē un īstenošanā.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41.</w:t>
      </w:r>
      <w:r w:rsidR="00000000" w:rsidRPr="00000000" w:rsidDel="00000000">
        <w:rPr>
          <w:rtl w:val="0"/>
        </w:rPr>
        <w:t xml:space="preserve"> </w:t>
      </w:r>
      <w:r w:rsidR="00000000" w:rsidRPr="00000000" w:rsidDel="00000000">
        <w:rPr>
          <w:rtl w:val="0"/>
        </w:rPr>
        <w:t xml:space="preserve">Subsidēto elektronisko sakaru tīklu uzraudzības komiteja vismaz 20 gadus pēc projekta īstenošanas rezultātā izveidotās infrastruktūras pieņemšanas ekspluatācijā nodrošina 2.4.1.1.i. investīcijas uzraudzību un:</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apstiprina un vismaz reizi trīs gados pārskata piekļuves tarifu projekta īstenošanas rezultātā izveidotajai infrastruktūrai un tā aprēķināšanas metodiku;</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apstiprina piekļuves nosacījumus 2.4.1.1.i. investīcijas īstenošanas rezultātā izveidotajai infrastruktūrai.</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 </w:t>
      </w:r>
      <w:r w:rsidR="00000000" w:rsidRPr="00000000" w:rsidDel="00000000">
        <w:rPr>
          <w:rtl w:val="0"/>
        </w:rPr>
        <w:t xml:space="preserve">Subsidēto elektronisko sakaru tīklu uzraudzības komiteja ir koleģiāla institūcija, kuras sastāvā ir šādi komitejas locekļi ar balsstiesībām: </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nozares ministrijas pārstāvis – Subsidēto elektronisko sakaru tīklu uzraudzības komitejas priekšsēdētājs; </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Vides aizsardzības un reģionālās attīstības ministrijas pārstāvis – Subsidēto elektronisko sakaru tīklu uzraudzības komitejas priekšsēdētāja vietnieks;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Latvijas Pašvaldību savienības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katra plānošanas reģiona pārstāvis (plānošanas reģionu pārstāvjiem komitejas sēdes balsošanā kopīgi ir viena balss);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Patērētāju tiesību aizsardzības centra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Latvijas Darba devēju konfederācijas pārstāvis un Latvijas Tirdzniecības un rūpniecības kameras pārstāvis (minēto organizāciju pārstāvjiem komitejas sēdēs kopīgi ir viena balss);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Informācijas un komunikācijas tehnoloģiju nozares asociāciju pārstāvji (informācijas un komunikācijas tehnoloģiju nozares asociāciju pārstāvjiem komitejas sēdes balsošanā kopīgi ir viena balss).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 </w:t>
      </w:r>
      <w:r w:rsidR="00000000" w:rsidRPr="00000000" w:rsidDel="00000000">
        <w:rPr>
          <w:rtl w:val="0"/>
        </w:rPr>
        <w:t xml:space="preserve">Subsidēto elektronisko sakaru tīklu uzraudzības komitejas sastāvā ar padomdevēja tiesībām var piedalīties: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Sabiedrisko pakalpojumu regulēšanas komisijas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Konkurences padomes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Finansējuma saņēmēja pārstāvis.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 </w:t>
      </w:r>
      <w:r w:rsidR="00000000" w:rsidRPr="00000000" w:rsidDel="00000000">
        <w:rPr>
          <w:rtl w:val="0"/>
        </w:rPr>
        <w:t xml:space="preserve">Subsidēto elektronisko sakaru tīklu uzraudzības komitejas sastāvā novērotāja statusā var piedalīties Finanšu ministrijas pārstāvis.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45.</w:t>
      </w:r>
      <w:r w:rsidR="00000000" w:rsidRPr="00000000" w:rsidDel="00000000">
        <w:rPr>
          <w:rtl w:val="0"/>
        </w:rPr>
        <w:t xml:space="preserve"> </w:t>
      </w:r>
      <w:r w:rsidR="00000000" w:rsidRPr="00000000" w:rsidDel="00000000">
        <w:rPr>
          <w:rtl w:val="0"/>
        </w:rPr>
        <w:t xml:space="preserve">Subsidēto elektronisko sakaru tīklu uzraudzības komitejas sekretariāta funkcijas nodrošina nozares ministrija.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46.</w:t>
      </w:r>
      <w:r w:rsidR="00000000" w:rsidRPr="00000000" w:rsidDel="00000000">
        <w:rPr>
          <w:rtl w:val="0"/>
        </w:rPr>
        <w:t xml:space="preserve"> </w:t>
      </w:r>
      <w:r w:rsidR="00000000" w:rsidRPr="00000000" w:rsidDel="00000000">
        <w:rPr>
          <w:rtl w:val="0"/>
        </w:rPr>
        <w:t xml:space="preserve">Subsidēto elektronisko sakaru tīklu uzraudzības komitejas darbību nosaka komitejas reglaments, kuru apstiprina Satiksmes ministrijas valsts sekretārs.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47.</w:t>
      </w:r>
      <w:r w:rsidR="00000000" w:rsidRPr="00000000" w:rsidDel="00000000">
        <w:rPr>
          <w:rtl w:val="0"/>
        </w:rPr>
        <w:t xml:space="preserve"> </w:t>
      </w:r>
      <w:r w:rsidR="00000000" w:rsidRPr="00000000" w:rsidDel="00000000">
        <w:rPr>
          <w:rtl w:val="0"/>
        </w:rPr>
        <w:t xml:space="preserve">Subsidēto elektronisko sakaru tīklu uzraudzības komitejai ir tiesības sniegt ierosinājumus nozares ministrijai.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48.</w:t>
      </w:r>
      <w:r w:rsidR="00000000" w:rsidRPr="00000000" w:rsidDel="00000000">
        <w:rPr>
          <w:rtl w:val="0"/>
        </w:rPr>
        <w:t xml:space="preserve"> </w:t>
      </w:r>
      <w:r w:rsidR="00000000" w:rsidRPr="00000000" w:rsidDel="00000000">
        <w:rPr>
          <w:rtl w:val="0"/>
        </w:rPr>
        <w:t xml:space="preserve">Subsidēto elektronisko sakaru tīklu uzraudzības komiteja izvērtē saņemtos ierosinājumus un pieņem lēmumu, balsstiesīgajiem komitejas locekļiem savstarpēji vienojoties. Ja vienošanās nav panākta vai komitejas priekšsēdētājs uzskata balsošanu par nepieciešamu, lēmumu pieņem ar vienkāršu balsu vairākumu, balsojot atklāti. Ja balsu skaits sadalās vienādi, izšķirošā ir komitejas priekšsēdētāja balss.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49.</w:t>
      </w:r>
      <w:r w:rsidR="00000000" w:rsidRPr="00000000" w:rsidDel="00000000">
        <w:rPr>
          <w:rtl w:val="0"/>
        </w:rPr>
        <w:t xml:space="preserve"> </w:t>
      </w:r>
      <w:r w:rsidR="00000000" w:rsidRPr="00000000" w:rsidDel="00000000">
        <w:rPr>
          <w:rtl w:val="0"/>
        </w:rPr>
        <w:t xml:space="preserve">Atbalsta sniedzējs līdz brīdim, kad finansējuma saņēmējs nelikumīgo komercdarbības atbalsta kopējo summu un attiecīgos procentus par atgūšanu ir atmaksājis vai iemaksājis bloķētā kontā, aptur paziņotā atbalsta piešķiršanu un/vai izmaksāšanu, ja finansējuma saņēmēja rīcībā joprojām ir iepriekšējs nelikumīgs atbalsts, kas ar Eiropas Komisijas lēmumu ir atzīts par nesaderīgu.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50.</w:t>
      </w:r>
      <w:r w:rsidR="00000000" w:rsidRPr="00000000" w:rsidDel="00000000">
        <w:rPr>
          <w:rtl w:val="0"/>
        </w:rPr>
        <w:t xml:space="preserve"> </w:t>
      </w:r>
      <w:r w:rsidR="00000000" w:rsidRPr="00000000" w:rsidDel="00000000">
        <w:rPr>
          <w:rtl w:val="0"/>
        </w:rPr>
        <w:t xml:space="preserve">Ja tiek pārkāptas šajos noteikumos noteiktās komercdarbības atbalsta kontroles normas, finansējuma saņēmējam ir pienākums atmaksāt nozares ministrijai projekta ietvaros saņemto nelikumīgo komercdarbības atbalstu kopā ar procentiem no līdzekļiem, kas ir brīvi no komercdarbības atbalsta, atbilstoši </w:t>
      </w:r>
      <w:r w:rsidR="00000000" w:rsidRPr="00000000" w:rsidDel="00000000">
        <w:rPr>
          <w:rtl w:val="0"/>
        </w:rPr>
        <w:t xml:space="preserve">Komercdarbības atbalsta kontroles likuma</w:t>
      </w:r>
      <w:r w:rsidR="00000000" w:rsidRPr="00000000" w:rsidDel="00000000">
        <w:rPr>
          <w:rtl w:val="0"/>
        </w:rPr>
        <w:t xml:space="preserve"> IV vai V nodaļas nosacījumiem.</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51.</w:t>
      </w:r>
      <w:r w:rsidR="00000000" w:rsidRPr="00000000" w:rsidDel="00000000">
        <w:rPr>
          <w:rtl w:val="0"/>
        </w:rPr>
        <w:t xml:space="preserve"> </w:t>
      </w:r>
      <w:r w:rsidR="00000000" w:rsidRPr="00000000" w:rsidDel="00000000">
        <w:rPr>
          <w:rtl w:val="0"/>
        </w:rPr>
        <w:t xml:space="preserve">Atbalsta sniedzējs kopš optiskā tīkla un piekļuves punktu izmantošanas sākuma dienas visā optiskā tīkla un piekļuves punktu izmantošanas termiņā reizi divos gados sniedz Eiropas Komisijai informāciju par projektu.</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52.</w:t>
      </w:r>
      <w:r w:rsidR="00000000" w:rsidRPr="00000000" w:rsidDel="00000000">
        <w:rPr>
          <w:rtl w:val="0"/>
        </w:rPr>
        <w:t xml:space="preserve"> </w:t>
      </w:r>
      <w:r w:rsidR="00000000" w:rsidRPr="00000000" w:rsidDel="00000000">
        <w:rPr>
          <w:rtl w:val="0"/>
        </w:rPr>
        <w:t xml:space="preserve">Noteikumi stājas spēkā nākamajā dienā pēc tam, kad oficiālajā izdevumā "Latvijas Vēstnesis" publicēts paziņojums par to, ka Eiropas Komisija pieņēmusi lēmumu par šajos noteikumos paredzētā komercdarbības atbalsta saderību ar Eiropas Savienības iekšējo tirgu. </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22-TA-1495</w:t>
    </w:r>
    <w:r>
      <w:br/>
    </w:r>
    <w:r w:rsidR="00000000" w:rsidRPr="00000000" w:rsidDel="00000000">
      <w:rPr>
        <w:rtl w:val="0"/>
      </w:rPr>
      <w:t xml:space="preserve">Izdrukāts 05.01.2023. 14.39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22-TA-1495</w:t>
    </w:r>
    <w:r>
      <w:br/>
    </w:r>
    <w:r w:rsidR="00000000" w:rsidRPr="00000000" w:rsidDel="00000000">
      <w:rPr>
        <w:rtl w:val="0"/>
      </w:rPr>
      <w:t xml:space="preserve">Izdrukāts 05.01.2023. 14.39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abstractNum w:abstractNumId="2">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abstractNum w:abstractNumId="3">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abstractNum w:abstractNumId="4">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abstractNum w:abstractNumId="5">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abstractNum w:abstractNumId="6">
    <w:multiLevelType w:val="hybridMultilevel"/>
    <w:lvl w:ilvl="0">
      <w:start w:val="1"/>
      <w:numFmt w:val="bullet"/>
      <w:lvlRestart w:val="1"/>
      <w:lvlText w:val=""/>
      <w:lvlJc w:val="left"/>
      <w:pPr>
        <w:ind w:left="0" w:firstLine="705"/>
      </w:pPr>
      <w:rPr>
        <w:u w:val="none"/>
      </w:rPr>
    </w:lvl>
  </w:abstractNum>
  <w:abstractNum w:abstractNumId="7">
    <w:multiLevelType w:val="hybridMultilevel"/>
    <w:lvl w:ilvl="0">
      <w:start w:val="1"/>
      <w:numFmt w:val="bullet"/>
      <w:lvlRestart w:val="1"/>
      <w:lvlText w:val=""/>
      <w:lvlJc w:val="left"/>
      <w:pPr>
        <w:ind w:left="0" w:firstLine="705"/>
      </w:pPr>
      <w:rPr>
        <w:u w:val="none"/>
      </w:rPr>
    </w:lvl>
  </w:abstractNum>
  <w:abstractNum w:abstractNumId="8">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oter" Target="footer2.xml"/><Relationship Id="rId7" Type="http://schemas.openxmlformats.org/officeDocument/2006/relationships/header" Target="header1.xml"/><Relationship Id="rId2" Type="http://schemas.openxmlformats.org/officeDocument/2006/relationships/footer" Target="footer1.xml"/><Relationship Id="rId1"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6" ma:contentTypeDescription="Izveidot jaunu dokumentu." ma:contentTypeScope="" ma:versionID="ba7d2fbc0d83532d01f05f3879e6a979">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60020bc4bb945e4830b26ba91b682af3"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Props1.xml><?xml version="1.0" encoding="utf-8"?>
<ds:datastoreItem xmlns:ds="http://schemas.openxmlformats.org/officeDocument/2006/customXml" ds:itemID="{2B958B44-2BF5-44E4-A998-3EE5EF7894F1}"/>
</file>

<file path=customXml/itemProps2.xml><?xml version="1.0" encoding="utf-8"?>
<ds:datastoreItem xmlns:ds="http://schemas.openxmlformats.org/officeDocument/2006/customXml" ds:itemID="{C0CE39F1-699A-4C38-B28E-06E0799F937F}"/>
</file>

<file path=customXml/itemProps3.xml><?xml version="1.0" encoding="utf-8"?>
<ds:datastoreItem xmlns:ds="http://schemas.openxmlformats.org/officeDocument/2006/customXml" ds:itemID="{7F18D0C0-C4AB-462D-9A04-A014944C1233}"/>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noteikumu_projekts_22-TA-1495.docx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ies>
</file>