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FB08" w14:textId="77777777" w:rsidR="0057456B" w:rsidRPr="0057456B" w:rsidRDefault="0057456B" w:rsidP="005745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56B">
        <w:rPr>
          <w:rFonts w:ascii="Times New Roman" w:eastAsia="Times New Roman" w:hAnsi="Times New Roman" w:cs="Times New Roman"/>
          <w:b/>
          <w:sz w:val="24"/>
          <w:szCs w:val="24"/>
        </w:rPr>
        <w:t>Ministru kabineta noteikumu projekta</w:t>
      </w:r>
    </w:p>
    <w:p w14:paraId="713823D7" w14:textId="7FC07D6B" w:rsidR="0057456B" w:rsidRPr="0057456B" w:rsidRDefault="0057456B" w:rsidP="007C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745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7C5F5B" w:rsidRP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</w:t>
      </w:r>
      <w:r w:rsidR="003443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7C5F5B" w:rsidRP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Ministru kabineta 2014.</w:t>
      </w:r>
      <w:r w:rsidR="003443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7C5F5B" w:rsidRP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gada 2.</w:t>
      </w:r>
      <w:r w:rsidR="003443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7C5F5B" w:rsidRP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septembra noteikumos Nr.</w:t>
      </w:r>
      <w:r w:rsidR="003443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7C5F5B" w:rsidRP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530 </w:t>
      </w:r>
      <w:r w:rsid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7C5F5B" w:rsidRP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Dzelzceļa būvnoteikumi</w:t>
      </w:r>
      <w:r w:rsidR="007C5F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5745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7C5F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5745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sākotnējās ietekmes novērtējuma ziņojums (anotācija)</w:t>
      </w:r>
    </w:p>
    <w:p w14:paraId="11C3E951" w14:textId="77777777" w:rsidR="0057456B" w:rsidRPr="0057456B" w:rsidRDefault="0057456B" w:rsidP="0057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4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5902"/>
      </w:tblGrid>
      <w:tr w:rsidR="0057456B" w:rsidRPr="0057456B" w14:paraId="114B8D86" w14:textId="77777777" w:rsidTr="009B54D0">
        <w:trPr>
          <w:trHeight w:val="419"/>
        </w:trPr>
        <w:tc>
          <w:tcPr>
            <w:tcW w:w="5000" w:type="pct"/>
            <w:gridSpan w:val="2"/>
            <w:vAlign w:val="center"/>
          </w:tcPr>
          <w:p w14:paraId="23DA85CB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Tiesību akta projekta anotācijas </w:t>
            </w:r>
            <w:r w:rsidRPr="005745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kopsavilkums</w:t>
            </w:r>
          </w:p>
        </w:tc>
      </w:tr>
      <w:tr w:rsidR="0057456B" w:rsidRPr="0057456B" w14:paraId="50DC73FF" w14:textId="77777777" w:rsidTr="009B54D0">
        <w:trPr>
          <w:trHeight w:val="415"/>
        </w:trPr>
        <w:tc>
          <w:tcPr>
            <w:tcW w:w="1742" w:type="pct"/>
          </w:tcPr>
          <w:p w14:paraId="1A80F9D1" w14:textId="514C6B81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</w:t>
            </w:r>
            <w:r w:rsidR="00211C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Pr="005745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258" w:type="pct"/>
          </w:tcPr>
          <w:p w14:paraId="60FC79E0" w14:textId="7A835012" w:rsidR="00603121" w:rsidRPr="00211CF4" w:rsidRDefault="00211CF4" w:rsidP="006A7DA9">
            <w:pPr>
              <w:spacing w:after="0" w:line="240" w:lineRule="auto"/>
              <w:ind w:left="9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1CF4">
              <w:rPr>
                <w:rFonts w:ascii="Times New Roman" w:hAnsi="Times New Roman" w:cs="Times New Roman"/>
                <w:sz w:val="24"/>
                <w:szCs w:val="24"/>
              </w:rPr>
              <w:t>Nav attiecināms atbilstoši Ministru kabineta 2009. gada 15. decembra instrukcijas Nr. 19 “Tiesību akta projekta sākotnējās ietekmes izvērtēšanas kārtība” 5.</w:t>
            </w:r>
            <w:r w:rsidRPr="00211C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1  </w:t>
            </w:r>
            <w:r w:rsidRPr="00211CF4">
              <w:rPr>
                <w:rFonts w:ascii="Times New Roman" w:hAnsi="Times New Roman" w:cs="Times New Roman"/>
                <w:sz w:val="24"/>
                <w:szCs w:val="24"/>
              </w:rPr>
              <w:t>punktam.</w:t>
            </w:r>
          </w:p>
        </w:tc>
      </w:tr>
    </w:tbl>
    <w:p w14:paraId="57F6D3C3" w14:textId="3B768010" w:rsidR="0040388E" w:rsidRPr="0040388E" w:rsidRDefault="0040388E" w:rsidP="0040388E">
      <w:pPr>
        <w:tabs>
          <w:tab w:val="left" w:pos="1503"/>
        </w:tabs>
        <w:rPr>
          <w:rFonts w:ascii="Times New Roman" w:eastAsia="Times New Roman" w:hAnsi="Times New Roman" w:cs="Times New Roman"/>
          <w:sz w:val="24"/>
          <w:lang w:eastAsia="lv-LV"/>
        </w:rPr>
      </w:pPr>
    </w:p>
    <w:tbl>
      <w:tblPr>
        <w:tblpPr w:leftFromText="180" w:rightFromText="180" w:vertAnchor="text" w:horzAnchor="margin" w:tblpXSpec="center" w:tblpY="149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2725"/>
        <w:gridCol w:w="5905"/>
      </w:tblGrid>
      <w:tr w:rsidR="0057456B" w:rsidRPr="0057456B" w14:paraId="5DADCA34" w14:textId="77777777" w:rsidTr="009B54D0">
        <w:trPr>
          <w:trHeight w:val="419"/>
        </w:trPr>
        <w:tc>
          <w:tcPr>
            <w:tcW w:w="5000" w:type="pct"/>
            <w:gridSpan w:val="3"/>
            <w:vAlign w:val="center"/>
          </w:tcPr>
          <w:p w14:paraId="1A8AE632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57456B" w:rsidRPr="0057456B" w14:paraId="50651E5C" w14:textId="77777777" w:rsidTr="00211CF4">
        <w:trPr>
          <w:trHeight w:val="1252"/>
        </w:trPr>
        <w:tc>
          <w:tcPr>
            <w:tcW w:w="237" w:type="pct"/>
          </w:tcPr>
          <w:p w14:paraId="6F331603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04" w:type="pct"/>
          </w:tcPr>
          <w:p w14:paraId="15E06B3A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257" w:type="pct"/>
          </w:tcPr>
          <w:p w14:paraId="20909288" w14:textId="2B61B600" w:rsidR="00211CF4" w:rsidRDefault="00211CF4" w:rsidP="00211CF4">
            <w:pPr>
              <w:spacing w:line="240" w:lineRule="auto"/>
              <w:ind w:left="97" w:right="13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Būvniecības likuma 5. panta pirmās daļas 2. punkts un otrās daļas 3. punkts;</w:t>
            </w:r>
          </w:p>
          <w:p w14:paraId="0558154B" w14:textId="77777777" w:rsidR="00211CF4" w:rsidRDefault="00211CF4" w:rsidP="00211CF4">
            <w:pPr>
              <w:spacing w:line="240" w:lineRule="auto"/>
              <w:ind w:left="97" w:right="13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Dzelzceļa likuma 22. pants;</w:t>
            </w:r>
          </w:p>
          <w:p w14:paraId="5D7E468B" w14:textId="214E3ECF" w:rsidR="0057456B" w:rsidRPr="00211CF4" w:rsidRDefault="00211CF4" w:rsidP="00211CF4">
            <w:pPr>
              <w:spacing w:line="240" w:lineRule="auto"/>
              <w:ind w:left="97" w:right="13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Satiksmes ministrijas un </w:t>
            </w:r>
            <w:r w:rsidR="00603121">
              <w:rPr>
                <w:rFonts w:ascii="Times New Roman" w:eastAsia="Times New Roman" w:hAnsi="Times New Roman" w:cs="Times New Roman"/>
                <w:sz w:val="24"/>
                <w:lang w:eastAsia="lv-LV"/>
              </w:rPr>
              <w:t>VAS “Latvijas dzelzceļš”</w:t>
            </w:r>
            <w:r w:rsidR="00955BD5" w:rsidRPr="00955BD5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iniciatīva</w:t>
            </w:r>
            <w:r w:rsidR="00884284">
              <w:rPr>
                <w:rFonts w:ascii="Times New Roman" w:eastAsia="Times New Roman" w:hAnsi="Times New Roman" w:cs="Times New Roman"/>
                <w:sz w:val="24"/>
                <w:lang w:eastAsia="lv-LV"/>
              </w:rPr>
              <w:t>.</w:t>
            </w:r>
          </w:p>
        </w:tc>
      </w:tr>
      <w:tr w:rsidR="0057456B" w:rsidRPr="0057456B" w14:paraId="01A14763" w14:textId="77777777" w:rsidTr="009B54D0">
        <w:trPr>
          <w:trHeight w:val="472"/>
        </w:trPr>
        <w:tc>
          <w:tcPr>
            <w:tcW w:w="237" w:type="pct"/>
          </w:tcPr>
          <w:p w14:paraId="524A7D6C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04" w:type="pct"/>
          </w:tcPr>
          <w:p w14:paraId="0EBA7573" w14:textId="77777777" w:rsidR="0057456B" w:rsidRPr="0057456B" w:rsidRDefault="0057456B" w:rsidP="0057456B">
            <w:pPr>
              <w:tabs>
                <w:tab w:val="left" w:pos="17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257" w:type="pct"/>
          </w:tcPr>
          <w:p w14:paraId="415AFE19" w14:textId="77777777" w:rsidR="007905D5" w:rsidRDefault="00DD3238" w:rsidP="00DA15E3">
            <w:pPr>
              <w:spacing w:after="0" w:line="240" w:lineRule="auto"/>
              <w:ind w:left="9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VAS “Latvijas dzelzceļš”</w:t>
            </w:r>
            <w:r w:rsidR="007905D5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(turpmāk – LDZ) 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ir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v</w:t>
            </w:r>
            <w:r w:rsidRPr="00DD3238">
              <w:rPr>
                <w:rFonts w:ascii="Times New Roman" w:eastAsia="Times New Roman" w:hAnsi="Times New Roman" w:cs="Times New Roman"/>
                <w:sz w:val="24"/>
                <w:lang w:eastAsia="lv-LV"/>
              </w:rPr>
              <w:t>alsts publiskās lietošanas dzelzceļa infrastruktūra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s pārvaldītājs. Atbilstoši Dzelzceļa likumā noteiktajam </w:t>
            </w:r>
            <w:r w:rsidRPr="00DD3238">
              <w:rPr>
                <w:rFonts w:ascii="Times New Roman" w:eastAsia="Times New Roman" w:hAnsi="Times New Roman" w:cs="Times New Roman"/>
                <w:sz w:val="24"/>
                <w:lang w:eastAsia="lv-LV"/>
              </w:rPr>
              <w:t>valsts publiskās lietošanas dzelzceļa infrastruktūras uzturēšan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a</w:t>
            </w:r>
            <w:r w:rsidRPr="00DD3238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ir </w:t>
            </w:r>
            <w:r w:rsidRPr="00DD3238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pasākumu komplekss (infrastruktūras tehniskā apkope, atjaunošana), ko nepārtraukti veic </w:t>
            </w:r>
            <w:r w:rsidR="00DA15E3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</w:t>
            </w:r>
            <w:r w:rsidR="007905D5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LDZ,</w:t>
            </w:r>
            <w:r w:rsidR="00DA15E3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</w:t>
            </w:r>
            <w:r w:rsidRPr="00DD3238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lai nodrošinātu dzelzceļa infrastruktūras objektu izmantošanas atbilstību 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d</w:t>
            </w:r>
            <w:r w:rsidRPr="00DD3238">
              <w:rPr>
                <w:rFonts w:ascii="Times New Roman" w:eastAsia="Times New Roman" w:hAnsi="Times New Roman" w:cs="Times New Roman"/>
                <w:sz w:val="24"/>
                <w:lang w:eastAsia="lv-LV"/>
              </w:rPr>
              <w:t>zelzceļa tehniskās ekspluatācijas noteikumiem, kā arī citi dzelzceļa infrastruktūras darbi, kas paredzēti, lai saglabātu esošās infrastruktūras stāvokli un spējas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.</w:t>
            </w:r>
            <w:r w:rsidR="00DA15E3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Šo funkciju </w:t>
            </w:r>
            <w:r w:rsidR="007905D5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LDZ </w:t>
            </w:r>
            <w:r w:rsidR="00DA15E3">
              <w:rPr>
                <w:rFonts w:ascii="Times New Roman" w:eastAsia="Times New Roman" w:hAnsi="Times New Roman" w:cs="Times New Roman"/>
                <w:sz w:val="24"/>
                <w:lang w:eastAsia="lv-LV"/>
              </w:rPr>
              <w:t>īsteno gan izmantojot ārpakalpojum</w:t>
            </w:r>
            <w:r w:rsidR="000502E9">
              <w:rPr>
                <w:rFonts w:ascii="Times New Roman" w:eastAsia="Times New Roman" w:hAnsi="Times New Roman" w:cs="Times New Roman"/>
                <w:sz w:val="24"/>
                <w:lang w:eastAsia="lv-LV"/>
              </w:rPr>
              <w:t>u</w:t>
            </w:r>
            <w:r w:rsidR="00DA15E3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s, gan paša spēkiem, kādēļ </w:t>
            </w:r>
            <w:r w:rsidR="000607A0">
              <w:rPr>
                <w:rFonts w:ascii="Times New Roman" w:eastAsia="Times New Roman" w:hAnsi="Times New Roman" w:cs="Times New Roman"/>
                <w:sz w:val="24"/>
                <w:lang w:eastAsia="lv-LV"/>
              </w:rPr>
              <w:t>ir</w:t>
            </w:r>
            <w:r w:rsidR="00DA15E3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reģistrēj</w:t>
            </w:r>
            <w:r w:rsidR="000607A0">
              <w:rPr>
                <w:rFonts w:ascii="Times New Roman" w:eastAsia="Times New Roman" w:hAnsi="Times New Roman" w:cs="Times New Roman"/>
                <w:sz w:val="24"/>
                <w:lang w:eastAsia="lv-LV"/>
              </w:rPr>
              <w:t>usies</w:t>
            </w:r>
            <w:r w:rsidR="00DA15E3">
              <w:t xml:space="preserve"> </w:t>
            </w:r>
            <w:r w:rsidR="00DA15E3" w:rsidRPr="00DA15E3">
              <w:rPr>
                <w:rFonts w:ascii="Times New Roman" w:eastAsia="Times New Roman" w:hAnsi="Times New Roman" w:cs="Times New Roman"/>
                <w:sz w:val="24"/>
                <w:lang w:eastAsia="lv-LV"/>
              </w:rPr>
              <w:t>būvkomersantu reģistrā</w:t>
            </w:r>
            <w:r w:rsidR="00077846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ar tiesībām veikt dzelzceļa infrastruktūras projektēšanu, būvdarbus un būvuzraudzību.</w:t>
            </w:r>
            <w:r w:rsidR="000607A0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</w:t>
            </w:r>
            <w:r w:rsidR="000607A0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</w:t>
            </w:r>
            <w:r w:rsidR="007905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kaņā ar Ministru kabineta 2014. gada 19. augusta noteikumu Nr. </w:t>
            </w:r>
            <w:r w:rsidR="000607A0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500 “Vispārīgie būvnoteikumi” </w:t>
            </w:r>
            <w:r w:rsidR="00B94B58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– VBN) </w:t>
            </w:r>
            <w:r w:rsidR="007905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</w:t>
            </w:r>
            <w:r w:rsidR="000607A0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pielik</w:t>
            </w:r>
            <w:r w:rsidR="000502E9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umu </w:t>
            </w:r>
            <w:r w:rsidR="000502E9" w:rsidRPr="007F7D4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502E9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ubliskās lietošanas dzelzceļš ir trešās grupas būve, kuras būvuzraudzī</w:t>
            </w:r>
            <w:r w:rsidR="007905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 saskaņā ar šo noteikumu 122. </w:t>
            </w:r>
            <w:r w:rsidR="000502E9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punktu </w:t>
            </w:r>
            <w:r w:rsidR="00BA027C" w:rsidRPr="007F7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 līguma pamata var veikt tikai būvkomersants, kurš reģistrēts būvkomersantu reģistrā un kuram ir</w:t>
            </w:r>
            <w:r w:rsidR="00BA027C" w:rsidRP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tiesības piedāvāt pakalpojumus būvuzraudzības jomā, un kurš nodarbina atbilstošus būvspeciālistus, ja speciālajos būvnoteikumos nav noteikts citādi</w:t>
            </w:r>
            <w:r w:rsid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. Savukārt </w:t>
            </w:r>
            <w:r w:rsidR="00BA027C" w:rsidRP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>Ministru kabineta 2014. gada 2. septembra noteikum</w:t>
            </w:r>
            <w:r w:rsid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>u</w:t>
            </w:r>
            <w:r w:rsidR="007905D5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Nr. </w:t>
            </w:r>
            <w:r w:rsidR="00BA027C" w:rsidRP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>530 “Dzelzceļa būvnoteikumi””</w:t>
            </w:r>
            <w:r w:rsid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 </w:t>
            </w:r>
            <w:r w:rsidR="00B94B58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(turpmāk – DzBN) </w:t>
            </w:r>
            <w:r w:rsid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>40. punkts no</w:t>
            </w:r>
            <w:r w:rsidR="007905D5">
              <w:rPr>
                <w:rFonts w:ascii="Times New Roman" w:eastAsia="Times New Roman" w:hAnsi="Times New Roman" w:cs="Times New Roman"/>
                <w:sz w:val="24"/>
                <w:lang w:eastAsia="lv-LV"/>
              </w:rPr>
              <w:t>teic</w:t>
            </w:r>
            <w:r w:rsidR="00BA027C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, ka </w:t>
            </w:r>
            <w:r w:rsidR="00077846">
              <w:t xml:space="preserve"> t</w:t>
            </w:r>
            <w:r w:rsidR="00077846" w:rsidRPr="00077846">
              <w:rPr>
                <w:rFonts w:ascii="Times New Roman" w:eastAsia="Times New Roman" w:hAnsi="Times New Roman" w:cs="Times New Roman"/>
                <w:sz w:val="24"/>
                <w:lang w:eastAsia="lv-LV"/>
              </w:rPr>
              <w:t>rešās grupas inženierbūvju būvuzraudzību var veikt tikai būvkomersants, kas reģistrēts būvkomersantu reģistrā un kuram ir tiesības sniegt pakalpojumus būvuzraudzības jomā</w:t>
            </w:r>
            <w:r w:rsidR="00077846">
              <w:rPr>
                <w:rFonts w:ascii="Times New Roman" w:eastAsia="Times New Roman" w:hAnsi="Times New Roman" w:cs="Times New Roman"/>
                <w:sz w:val="24"/>
                <w:lang w:eastAsia="lv-LV"/>
              </w:rPr>
              <w:t xml:space="preserve">. Līdz ar to, ja </w:t>
            </w:r>
            <w:r w:rsidR="00077846">
              <w:t xml:space="preserve"> </w:t>
            </w:r>
            <w:r w:rsidR="007905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LDZ</w:t>
            </w:r>
            <w:r w:rsidR="00077846" w:rsidRPr="000778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7846" w:rsidRPr="0007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846" w:rsidRPr="000778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dzelzceļa infrastruktūras uzturēšanas ietvaros ir paredzējusi veikt</w:t>
            </w:r>
            <w:r w:rsidR="00077846" w:rsidRPr="0007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846">
              <w:rPr>
                <w:rFonts w:ascii="Times New Roman" w:hAnsi="Times New Roman" w:cs="Times New Roman"/>
                <w:sz w:val="24"/>
                <w:szCs w:val="24"/>
              </w:rPr>
              <w:t xml:space="preserve">pašu spēkiem </w:t>
            </w:r>
            <w:r w:rsidR="00077846" w:rsidRPr="00077846">
              <w:rPr>
                <w:rFonts w:ascii="Times New Roman" w:hAnsi="Times New Roman" w:cs="Times New Roman"/>
                <w:sz w:val="24"/>
                <w:szCs w:val="24"/>
              </w:rPr>
              <w:t>trešās grupas</w:t>
            </w:r>
            <w:r w:rsidR="00077846">
              <w:rPr>
                <w:rFonts w:ascii="Times New Roman" w:hAnsi="Times New Roman" w:cs="Times New Roman"/>
                <w:sz w:val="24"/>
                <w:szCs w:val="24"/>
              </w:rPr>
              <w:t xml:space="preserve"> dzelzceļa inženierbūves pārbūvi vai atjaunošanu</w:t>
            </w:r>
            <w:r w:rsidR="000717F3">
              <w:rPr>
                <w:rFonts w:ascii="Times New Roman" w:hAnsi="Times New Roman" w:cs="Times New Roman"/>
                <w:sz w:val="24"/>
                <w:szCs w:val="24"/>
              </w:rPr>
              <w:t xml:space="preserve">, tai ir jānoslēdz līgums ar citu būvkomersantu par šo būvju būvuzraudzību (jāpērk </w:t>
            </w:r>
            <w:r w:rsidR="0007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ārpakalpojums), kaut gan </w:t>
            </w:r>
            <w:r w:rsidR="007905D5">
              <w:rPr>
                <w:rFonts w:ascii="Times New Roman" w:hAnsi="Times New Roman" w:cs="Times New Roman"/>
                <w:sz w:val="24"/>
                <w:szCs w:val="24"/>
              </w:rPr>
              <w:t>LDZ</w:t>
            </w:r>
            <w:r w:rsidR="000717F3" w:rsidRPr="0007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7F3">
              <w:rPr>
                <w:rFonts w:ascii="Times New Roman" w:hAnsi="Times New Roman" w:cs="Times New Roman"/>
                <w:sz w:val="24"/>
                <w:szCs w:val="24"/>
              </w:rPr>
              <w:t xml:space="preserve">nodarbina attiecīgās jomas būvuzraugus. </w:t>
            </w:r>
          </w:p>
          <w:p w14:paraId="190E3B05" w14:textId="5AD2D87A" w:rsidR="00FA140F" w:rsidRDefault="000717F3" w:rsidP="00DA15E3">
            <w:pPr>
              <w:spacing w:after="0" w:line="240" w:lineRule="auto"/>
              <w:ind w:left="9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 novērstu šādu situāciju </w:t>
            </w:r>
            <w:r>
              <w:t xml:space="preserve"> </w:t>
            </w:r>
            <w:r w:rsidRPr="000717F3">
              <w:rPr>
                <w:rFonts w:ascii="Times New Roman" w:hAnsi="Times New Roman" w:cs="Times New Roman"/>
                <w:sz w:val="24"/>
                <w:szCs w:val="24"/>
              </w:rPr>
              <w:t>noteikumu projekt</w:t>
            </w:r>
            <w:r w:rsidR="00B94B5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B58">
              <w:rPr>
                <w:rFonts w:ascii="Times New Roman" w:hAnsi="Times New Roman" w:cs="Times New Roman"/>
                <w:sz w:val="24"/>
                <w:szCs w:val="24"/>
              </w:rPr>
              <w:t xml:space="preserve"> izmantojot VBN 122. paredzēto izņēmumu speciālas būvnoteikumos</w:t>
            </w:r>
            <w:r w:rsidR="00FA1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B58">
              <w:rPr>
                <w:rFonts w:ascii="Times New Roman" w:hAnsi="Times New Roman" w:cs="Times New Roman"/>
                <w:sz w:val="24"/>
                <w:szCs w:val="24"/>
              </w:rPr>
              <w:t xml:space="preserve"> papildina DzBN 40. punktu ar normu -  “</w:t>
            </w:r>
            <w:r w:rsidR="00B94B58" w:rsidRPr="004B60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Ja dzelzceļa infrastruktūras pārvaldītājs savām vajadzībām pats organizē dzelzceļa infrastruktūras pārbūves vai atjaunošanas būvdarbus, šo būvju būvuzraudzību var veikt dzelzceļa infrastruktūras pārvaldītāja nodarbināts būvuzraugs, kurš organizatoriski</w:t>
            </w:r>
            <w:r w:rsidR="00B94B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94B58" w:rsidRPr="004B60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un lēmuma pieņemšanā ir neatkarīgs no dzelzceļa infrastruktūras pārvaldītāja struktūrvienības, kas veic būvdarbus</w:t>
            </w:r>
            <w:r w:rsidR="00B94B5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6896F0D0" w14:textId="36663D93" w:rsidR="007F7D4B" w:rsidRPr="007F7D4B" w:rsidRDefault="007F7D4B" w:rsidP="007F7D4B">
            <w:pPr>
              <w:spacing w:after="0" w:line="240" w:lineRule="auto"/>
              <w:ind w:left="9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A140F" w:rsidRPr="007F7D4B">
              <w:rPr>
                <w:rFonts w:ascii="Times New Roman" w:hAnsi="Times New Roman" w:cs="Times New Roman"/>
                <w:sz w:val="24"/>
                <w:szCs w:val="24"/>
              </w:rPr>
              <w:t xml:space="preserve">oteikumu projekts </w:t>
            </w:r>
            <w:r w:rsidR="000717F3" w:rsidRPr="007F7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40F" w:rsidRPr="007F7D4B">
              <w:rPr>
                <w:rFonts w:ascii="Times New Roman" w:hAnsi="Times New Roman" w:cs="Times New Roman"/>
                <w:sz w:val="24"/>
                <w:szCs w:val="24"/>
              </w:rPr>
              <w:t xml:space="preserve">papildina DzBN ar </w:t>
            </w:r>
            <w:r w:rsidRPr="007F7D4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7F7D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90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7D4B">
              <w:rPr>
                <w:rFonts w:ascii="Times New Roman" w:hAnsi="Times New Roman" w:cs="Times New Roman"/>
                <w:sz w:val="24"/>
                <w:szCs w:val="24"/>
              </w:rPr>
              <w:t>punktu, kas definē  būvdarbu kvalitātes kontroles sistēmu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analogi tam, kā tas ir noteikts citos speciāl</w:t>
            </w:r>
            <w:r w:rsidR="007E7EAB">
              <w:rPr>
                <w:rFonts w:ascii="Times New Roman" w:hAnsi="Times New Roman" w:cs="Times New Roman"/>
                <w:sz w:val="24"/>
                <w:szCs w:val="24"/>
              </w:rPr>
              <w:t>ajos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būvnoteikumos.</w:t>
            </w:r>
          </w:p>
        </w:tc>
      </w:tr>
      <w:tr w:rsidR="0057456B" w:rsidRPr="0057456B" w14:paraId="12507D76" w14:textId="77777777" w:rsidTr="009B54D0">
        <w:trPr>
          <w:trHeight w:val="476"/>
        </w:trPr>
        <w:tc>
          <w:tcPr>
            <w:tcW w:w="237" w:type="pct"/>
          </w:tcPr>
          <w:p w14:paraId="233C630E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04" w:type="pct"/>
          </w:tcPr>
          <w:p w14:paraId="5EB0CB81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</w:t>
            </w:r>
            <w:r w:rsidRPr="0057456B">
              <w:rPr>
                <w:rFonts w:ascii="Times New Roman" w:eastAsia="Times New Roman" w:hAnsi="Times New Roman" w:cs="Times New Roman"/>
                <w:iCs/>
                <w:color w:val="414142"/>
                <w:sz w:val="24"/>
                <w:szCs w:val="24"/>
                <w:lang w:eastAsia="lv-LV"/>
              </w:rPr>
              <w:t xml:space="preserve"> </w:t>
            </w:r>
            <w:r w:rsidRPr="005745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un publiskas personas kapitālsabiedrības</w:t>
            </w:r>
          </w:p>
        </w:tc>
        <w:tc>
          <w:tcPr>
            <w:tcW w:w="3257" w:type="pct"/>
          </w:tcPr>
          <w:p w14:paraId="3F7BFAC7" w14:textId="3A9266A3" w:rsidR="0057456B" w:rsidRPr="0057456B" w:rsidRDefault="001D2D4F" w:rsidP="006A7DA9">
            <w:pPr>
              <w:spacing w:after="0" w:line="240" w:lineRule="auto"/>
              <w:ind w:left="9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ministrija, </w:t>
            </w:r>
            <w:r w:rsidR="00603121">
              <w:rPr>
                <w:rFonts w:ascii="Times New Roman" w:eastAsia="Times New Roman" w:hAnsi="Times New Roman" w:cs="Times New Roman"/>
                <w:sz w:val="24"/>
                <w:lang w:eastAsia="lv-LV"/>
              </w:rPr>
              <w:t>VAS “Latvijas dzelzceļš”</w:t>
            </w:r>
            <w:r>
              <w:rPr>
                <w:rFonts w:ascii="Times New Roman" w:eastAsia="Times New Roman" w:hAnsi="Times New Roman" w:cs="Times New Roman"/>
                <w:sz w:val="24"/>
                <w:lang w:eastAsia="lv-LV"/>
              </w:rPr>
              <w:t>, Valsts dzelzceļa tehniskā inspekcija.</w:t>
            </w:r>
          </w:p>
        </w:tc>
      </w:tr>
      <w:tr w:rsidR="0057456B" w:rsidRPr="0057456B" w14:paraId="40636423" w14:textId="77777777" w:rsidTr="009B54D0">
        <w:tc>
          <w:tcPr>
            <w:tcW w:w="237" w:type="pct"/>
          </w:tcPr>
          <w:p w14:paraId="34E9D130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04" w:type="pct"/>
          </w:tcPr>
          <w:p w14:paraId="090AF68F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57" w:type="pct"/>
          </w:tcPr>
          <w:p w14:paraId="04A17071" w14:textId="77777777" w:rsidR="0057456B" w:rsidRPr="0057456B" w:rsidRDefault="0057456B" w:rsidP="006A7DA9">
            <w:pPr>
              <w:spacing w:after="0" w:line="240" w:lineRule="auto"/>
              <w:ind w:left="97"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40055853" w14:textId="77777777" w:rsidR="0057456B" w:rsidRPr="0057456B" w:rsidRDefault="0057456B" w:rsidP="005745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9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766"/>
        <w:gridCol w:w="5880"/>
      </w:tblGrid>
      <w:tr w:rsidR="0057456B" w:rsidRPr="0057456B" w14:paraId="79A4B3A0" w14:textId="77777777" w:rsidTr="009B54D0">
        <w:trPr>
          <w:trHeight w:val="556"/>
        </w:trPr>
        <w:tc>
          <w:tcPr>
            <w:tcW w:w="9077" w:type="dxa"/>
            <w:gridSpan w:val="3"/>
            <w:vAlign w:val="center"/>
          </w:tcPr>
          <w:p w14:paraId="281A382D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II. Tiesību akta projekta ietekme uz sabiedrību, tautsaimniecības attīstību</w:t>
            </w:r>
          </w:p>
          <w:p w14:paraId="10E9EFE4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un administratīvo slogu</w:t>
            </w:r>
          </w:p>
        </w:tc>
      </w:tr>
      <w:tr w:rsidR="0057456B" w:rsidRPr="0057456B" w14:paraId="0F9FEFB6" w14:textId="77777777" w:rsidTr="009B54D0">
        <w:trPr>
          <w:trHeight w:val="467"/>
        </w:trPr>
        <w:tc>
          <w:tcPr>
            <w:tcW w:w="431" w:type="dxa"/>
          </w:tcPr>
          <w:p w14:paraId="3E8BEB00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66" w:type="dxa"/>
          </w:tcPr>
          <w:p w14:paraId="18C32BCE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5880" w:type="dxa"/>
          </w:tcPr>
          <w:p w14:paraId="12743848" w14:textId="1C8075DA" w:rsidR="0057456B" w:rsidRPr="0057456B" w:rsidRDefault="007C5F5B" w:rsidP="006A7DA9">
            <w:pPr>
              <w:shd w:val="clear" w:color="auto" w:fill="FFFFFF"/>
              <w:spacing w:after="0" w:line="240" w:lineRule="auto"/>
              <w:ind w:left="66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p21"/>
            <w:bookmarkEnd w:id="0"/>
            <w:r w:rsidRPr="007C5F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Plānotais tiesiskais regulējums ietekmēs visus</w:t>
            </w:r>
            <w:r w:rsidR="008842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dzelzceļa infrastruktūras objektu</w:t>
            </w:r>
            <w:r w:rsidRPr="007C5F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būvniecības procesa dalībniekus, būvvaldes un institūcijas, kuras pilda būvvaldes funkcijas</w:t>
            </w:r>
            <w:r w:rsidR="00735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7456B" w:rsidRPr="0057456B" w14:paraId="68AAAA5D" w14:textId="77777777" w:rsidTr="009B54D0">
        <w:trPr>
          <w:trHeight w:val="274"/>
        </w:trPr>
        <w:tc>
          <w:tcPr>
            <w:tcW w:w="431" w:type="dxa"/>
          </w:tcPr>
          <w:p w14:paraId="05BBCC86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66" w:type="dxa"/>
          </w:tcPr>
          <w:p w14:paraId="10A1D506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5880" w:type="dxa"/>
          </w:tcPr>
          <w:p w14:paraId="2B75FE54" w14:textId="09AECC4D" w:rsidR="00B26FEB" w:rsidRPr="00E63D72" w:rsidRDefault="00735535" w:rsidP="006A7DA9">
            <w:pPr>
              <w:shd w:val="clear" w:color="auto" w:fill="FFFFFF"/>
              <w:spacing w:after="0" w:line="240" w:lineRule="auto"/>
              <w:ind w:left="66" w:right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lv-LV"/>
              </w:rPr>
            </w:pPr>
            <w:r w:rsidRPr="00735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Kopumā administratīvais slogs samazināsies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35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publiskās lietošanas dzelzceļa infrastruktūras pārvaldītāj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 </w:t>
            </w:r>
            <w:r w:rsidRPr="00735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VAS “Latvijas dzelzceļš”</w:t>
            </w:r>
            <w:r w:rsidRPr="007355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bet citām personām tas būtiski nemainīsies.</w:t>
            </w:r>
          </w:p>
        </w:tc>
      </w:tr>
      <w:tr w:rsidR="0057456B" w:rsidRPr="0057456B" w14:paraId="1F6E10E6" w14:textId="77777777" w:rsidTr="009B54D0">
        <w:trPr>
          <w:trHeight w:val="523"/>
        </w:trPr>
        <w:tc>
          <w:tcPr>
            <w:tcW w:w="431" w:type="dxa"/>
          </w:tcPr>
          <w:p w14:paraId="7656A76B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66" w:type="dxa"/>
          </w:tcPr>
          <w:p w14:paraId="7561BAD0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5880" w:type="dxa"/>
          </w:tcPr>
          <w:p w14:paraId="4148C303" w14:textId="77777777" w:rsidR="0057456B" w:rsidRPr="007C5F5B" w:rsidRDefault="0057456B" w:rsidP="0057456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lv-LV"/>
              </w:rPr>
            </w:pPr>
            <w:r w:rsidRPr="00FB3C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</w:t>
            </w:r>
            <w:r w:rsidRPr="00FB3C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7456B" w:rsidRPr="0057456B" w14:paraId="4ADEB647" w14:textId="77777777" w:rsidTr="009B54D0">
        <w:trPr>
          <w:trHeight w:val="523"/>
        </w:trPr>
        <w:tc>
          <w:tcPr>
            <w:tcW w:w="431" w:type="dxa"/>
          </w:tcPr>
          <w:p w14:paraId="5C8B13FB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766" w:type="dxa"/>
          </w:tcPr>
          <w:p w14:paraId="5E8A6883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5880" w:type="dxa"/>
          </w:tcPr>
          <w:p w14:paraId="7ED84BBE" w14:textId="77777777" w:rsidR="0057456B" w:rsidRPr="0057456B" w:rsidRDefault="0057456B" w:rsidP="0057456B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  <w:tr w:rsidR="0057456B" w:rsidRPr="0057456B" w14:paraId="477E7CBC" w14:textId="77777777" w:rsidTr="009B54D0">
        <w:trPr>
          <w:trHeight w:val="285"/>
        </w:trPr>
        <w:tc>
          <w:tcPr>
            <w:tcW w:w="431" w:type="dxa"/>
          </w:tcPr>
          <w:p w14:paraId="5D039E2E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766" w:type="dxa"/>
          </w:tcPr>
          <w:p w14:paraId="6ED82320" w14:textId="77777777" w:rsidR="0057456B" w:rsidRPr="0057456B" w:rsidRDefault="0057456B" w:rsidP="005745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880" w:type="dxa"/>
          </w:tcPr>
          <w:p w14:paraId="74C86959" w14:textId="77777777" w:rsidR="0057456B" w:rsidRPr="0057456B" w:rsidRDefault="0057456B" w:rsidP="0057456B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15F82E90" w14:textId="77777777" w:rsidR="0057456B" w:rsidRPr="0057456B" w:rsidRDefault="0057456B" w:rsidP="0057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57456B" w:rsidRPr="0057456B" w14:paraId="5D450EA7" w14:textId="77777777" w:rsidTr="009B54D0">
        <w:trPr>
          <w:trHeight w:val="361"/>
          <w:jc w:val="center"/>
        </w:trPr>
        <w:tc>
          <w:tcPr>
            <w:tcW w:w="9117" w:type="dxa"/>
            <w:vAlign w:val="center"/>
          </w:tcPr>
          <w:p w14:paraId="6D1F1A69" w14:textId="77777777" w:rsidR="0057456B" w:rsidRPr="0057456B" w:rsidRDefault="0057456B" w:rsidP="0057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 w:type="page"/>
            </w:r>
            <w:r w:rsidRPr="0057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57456B" w:rsidRPr="0057456B" w14:paraId="3F6BAE01" w14:textId="77777777" w:rsidTr="009B54D0">
        <w:trPr>
          <w:trHeight w:val="361"/>
          <w:jc w:val="center"/>
        </w:trPr>
        <w:tc>
          <w:tcPr>
            <w:tcW w:w="9117" w:type="dxa"/>
            <w:vAlign w:val="center"/>
          </w:tcPr>
          <w:p w14:paraId="3D4FF4B6" w14:textId="77777777" w:rsidR="0057456B" w:rsidRPr="0057456B" w:rsidRDefault="0057456B" w:rsidP="0057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</w:t>
            </w: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77511745" w14:textId="77777777" w:rsidR="0057456B" w:rsidRPr="0057456B" w:rsidRDefault="0057456B" w:rsidP="0057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57456B" w:rsidRPr="0057456B" w14:paraId="1E305DAE" w14:textId="77777777" w:rsidTr="009B54D0">
        <w:trPr>
          <w:trHeight w:val="361"/>
          <w:jc w:val="center"/>
        </w:trPr>
        <w:tc>
          <w:tcPr>
            <w:tcW w:w="9117" w:type="dxa"/>
            <w:vAlign w:val="center"/>
          </w:tcPr>
          <w:p w14:paraId="7CF6ABF9" w14:textId="77777777" w:rsidR="0057456B" w:rsidRPr="0057456B" w:rsidRDefault="0057456B" w:rsidP="0057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IV. Tiesību akta projekta ietekme uz spēkā esošo tiesību normu sistēmu</w:t>
            </w:r>
          </w:p>
        </w:tc>
      </w:tr>
      <w:tr w:rsidR="0057456B" w:rsidRPr="0057456B" w14:paraId="066297AE" w14:textId="77777777" w:rsidTr="009B54D0">
        <w:trPr>
          <w:trHeight w:val="361"/>
          <w:jc w:val="center"/>
        </w:trPr>
        <w:tc>
          <w:tcPr>
            <w:tcW w:w="9117" w:type="dxa"/>
            <w:vAlign w:val="center"/>
          </w:tcPr>
          <w:p w14:paraId="4086972E" w14:textId="77777777" w:rsidR="0057456B" w:rsidRPr="0057456B" w:rsidRDefault="0057456B" w:rsidP="0057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Projekts šo jomu neskar</w:t>
            </w: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0F61AB22" w14:textId="77777777" w:rsidR="0057456B" w:rsidRPr="0057456B" w:rsidRDefault="0057456B" w:rsidP="0057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7" w:type="pct"/>
        <w:tblInd w:w="-3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68"/>
      </w:tblGrid>
      <w:tr w:rsidR="0057456B" w:rsidRPr="0057456B" w14:paraId="56D38E49" w14:textId="77777777" w:rsidTr="009B54D0">
        <w:trPr>
          <w:trHeight w:val="55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EDE51" w14:textId="77777777" w:rsidR="0057456B" w:rsidRPr="0057456B" w:rsidRDefault="0057456B" w:rsidP="0057456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74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57456B" w:rsidRPr="0057456B" w14:paraId="48411FE1" w14:textId="77777777" w:rsidTr="009B54D0">
        <w:trPr>
          <w:trHeight w:val="465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065D97" w14:textId="77777777" w:rsidR="0057456B" w:rsidRPr="0057456B" w:rsidRDefault="0057456B" w:rsidP="0057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0570D328" w14:textId="77777777" w:rsidR="0057456B" w:rsidRPr="0057456B" w:rsidRDefault="0057456B" w:rsidP="0057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67" w:type="dxa"/>
        <w:tblInd w:w="-3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"/>
        <w:gridCol w:w="3580"/>
        <w:gridCol w:w="5042"/>
      </w:tblGrid>
      <w:tr w:rsidR="006A7DA9" w:rsidRPr="00E615C1" w:rsidDel="00C8606C" w14:paraId="53A165B6" w14:textId="77777777" w:rsidTr="001D2D4F">
        <w:trPr>
          <w:trHeight w:val="420"/>
        </w:trPr>
        <w:tc>
          <w:tcPr>
            <w:tcW w:w="9067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B34D18" w14:textId="3948FC28" w:rsidR="006A7DA9" w:rsidRPr="00E615C1" w:rsidRDefault="006A7DA9" w:rsidP="006A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VI. Sabiedrības līdzdalība un komunikācijas aktivitātes</w:t>
            </w:r>
          </w:p>
        </w:tc>
      </w:tr>
      <w:tr w:rsidR="006A7DA9" w:rsidRPr="00E615C1" w:rsidDel="00C8606C" w14:paraId="4983B4B8" w14:textId="77777777" w:rsidTr="001D2D4F">
        <w:trPr>
          <w:trHeight w:val="420"/>
        </w:trPr>
        <w:tc>
          <w:tcPr>
            <w:tcW w:w="4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DBA1B6" w14:textId="77777777" w:rsidR="006A7DA9" w:rsidRPr="00E615C1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5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D799E2" w14:textId="77777777" w:rsidR="006A7DA9" w:rsidRPr="00E615C1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50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3759FA" w14:textId="015CF368" w:rsidR="006A7DA9" w:rsidRPr="00E615C1" w:rsidDel="00C8606C" w:rsidRDefault="001D2D4F" w:rsidP="001D2D4F">
            <w:pPr>
              <w:spacing w:after="0" w:line="240" w:lineRule="auto"/>
              <w:ind w:left="47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Atbilstoši Ministru kabineta 2009. gada 25. augusta noteikumiem Nr. 970 „Sabiedrības līdzdalības kārtība attīstības plānošanas procesā” 7.4.1. apakšpunktam sabiedrībai tika dota iespēja rakstiski sniegt viedokli par likumprojektu tā izstrādes stadijā.</w:t>
            </w:r>
          </w:p>
        </w:tc>
      </w:tr>
      <w:tr w:rsidR="006A7DA9" w:rsidRPr="00E615C1" w:rsidDel="00C8606C" w14:paraId="325EA5D7" w14:textId="77777777" w:rsidTr="001D2D4F">
        <w:trPr>
          <w:trHeight w:val="420"/>
        </w:trPr>
        <w:tc>
          <w:tcPr>
            <w:tcW w:w="4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B8DC12" w14:textId="77777777" w:rsidR="006A7DA9" w:rsidRPr="00E615C1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5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DF8797" w14:textId="77777777" w:rsidR="006A7DA9" w:rsidRPr="006C3020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30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50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3BE72D" w14:textId="08219DE5" w:rsidR="001D2D4F" w:rsidRPr="00EF669D" w:rsidRDefault="001D2D4F" w:rsidP="001D2D4F">
            <w:pPr>
              <w:shd w:val="clear" w:color="auto" w:fill="FFFFFF"/>
              <w:spacing w:after="0" w:line="240" w:lineRule="auto"/>
              <w:ind w:left="141"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C30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Ministru kabineta noteikumu projekts un tā sākotnējās ietekmes novērtējuma ziņojums (anotācija) 2020. gada 2</w:t>
            </w:r>
            <w:r w:rsidR="006C3020" w:rsidRPr="006C30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6C30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 oktobrī tika ievietots </w:t>
            </w:r>
            <w:r w:rsidRPr="00EF66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tīmekļa vietnē:</w:t>
            </w:r>
          </w:p>
          <w:p w14:paraId="3F87B80B" w14:textId="6E11F048" w:rsidR="001D2D4F" w:rsidRPr="00EF669D" w:rsidRDefault="001D2D4F" w:rsidP="001D2D4F">
            <w:pPr>
              <w:shd w:val="clear" w:color="auto" w:fill="FFFFFF"/>
              <w:spacing w:after="0" w:line="240" w:lineRule="auto"/>
              <w:ind w:left="141" w:right="139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EF66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hyperlink r:id="rId6" w:history="1">
              <w:r w:rsidRPr="00EF66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https://www.sam.gov.lv/lv/izstrade-esosie-attistibas-planosanas-dokumenti-un-tiesibu-akti</w:t>
              </w:r>
            </w:hyperlink>
            <w:r w:rsidRPr="00EF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9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AC42C8" w14:textId="77777777" w:rsidR="001D2D4F" w:rsidRPr="00EF669D" w:rsidRDefault="001D2D4F" w:rsidP="001D2D4F">
            <w:pPr>
              <w:pStyle w:val="NormalWeb"/>
              <w:ind w:left="141" w:right="139"/>
            </w:pPr>
            <w:r w:rsidRPr="00EF669D">
              <w:rPr>
                <w:iCs/>
              </w:rPr>
              <w:t>Ministru kabineta tīmekļvietnē sadaļā “Valsts kanceleja” – “Sabiedrības līdzdalība</w:t>
            </w:r>
            <w:r w:rsidRPr="00EF669D">
              <w:t>”</w:t>
            </w:r>
            <w:r w:rsidRPr="00EF669D">
              <w:rPr>
                <w:iCs/>
              </w:rPr>
              <w:t>:</w:t>
            </w:r>
            <w:r w:rsidRPr="00EF669D">
              <w:t xml:space="preserve"> </w:t>
            </w:r>
          </w:p>
          <w:p w14:paraId="6F8AD9C1" w14:textId="77777777" w:rsidR="001D2D4F" w:rsidRPr="00EF669D" w:rsidRDefault="00EF669D" w:rsidP="001D2D4F">
            <w:pPr>
              <w:pStyle w:val="NormalWeb"/>
              <w:ind w:left="141" w:right="139"/>
            </w:pPr>
            <w:hyperlink r:id="rId7" w:history="1">
              <w:r w:rsidR="001D2D4F" w:rsidRPr="00EF669D">
                <w:rPr>
                  <w:rStyle w:val="Hyperlink"/>
                </w:rPr>
                <w:t>https://mk.gov.lv/content/ministru-kabineta-diskusiju-dokumenti</w:t>
              </w:r>
            </w:hyperlink>
            <w:r w:rsidR="001D2D4F" w:rsidRPr="00EF669D">
              <w:t>.</w:t>
            </w:r>
          </w:p>
          <w:p w14:paraId="2C6178A9" w14:textId="02EFAB35" w:rsidR="006A7DA9" w:rsidRPr="006C3020" w:rsidDel="00C8606C" w:rsidRDefault="006A7DA9" w:rsidP="006A7DA9">
            <w:pPr>
              <w:spacing w:after="0" w:line="240" w:lineRule="auto"/>
              <w:ind w:left="114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A7DA9" w:rsidRPr="00E615C1" w:rsidDel="00C8606C" w14:paraId="6D53B8D0" w14:textId="77777777" w:rsidTr="001D2D4F">
        <w:trPr>
          <w:trHeight w:val="420"/>
        </w:trPr>
        <w:tc>
          <w:tcPr>
            <w:tcW w:w="4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0CF6A7" w14:textId="77777777" w:rsidR="006A7DA9" w:rsidRPr="00E615C1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5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5F64CC" w14:textId="77777777" w:rsidR="006A7DA9" w:rsidRPr="006C3020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30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50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AAB0F6" w14:textId="3919F6CE" w:rsidR="006A7DA9" w:rsidRPr="006C3020" w:rsidDel="00C8606C" w:rsidRDefault="001D2D4F" w:rsidP="0006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30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tiks saņemti priekšlikumi, tie tiks izvērtēti un attiecīgi precizēts noteikumu projekts.</w:t>
            </w:r>
          </w:p>
        </w:tc>
      </w:tr>
      <w:tr w:rsidR="006A7DA9" w:rsidRPr="00E615C1" w:rsidDel="00C8606C" w14:paraId="06F24193" w14:textId="77777777" w:rsidTr="001D2D4F">
        <w:trPr>
          <w:trHeight w:val="420"/>
        </w:trPr>
        <w:tc>
          <w:tcPr>
            <w:tcW w:w="44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E5EF89" w14:textId="77777777" w:rsidR="006A7DA9" w:rsidRPr="00E615C1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5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232ADD" w14:textId="77777777" w:rsidR="006A7DA9" w:rsidRPr="00E615C1" w:rsidDel="00C8606C" w:rsidRDefault="006A7DA9" w:rsidP="0006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5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Cita </w:t>
            </w:r>
            <w:r w:rsidRPr="00E6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</w:t>
            </w:r>
          </w:p>
        </w:tc>
        <w:tc>
          <w:tcPr>
            <w:tcW w:w="50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306728" w14:textId="77777777" w:rsidR="006A7DA9" w:rsidRPr="00E615C1" w:rsidDel="00C8606C" w:rsidRDefault="006A7DA9" w:rsidP="0006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5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73EE7ACC" w14:textId="77777777" w:rsidR="0057456B" w:rsidRPr="0057456B" w:rsidRDefault="0057456B" w:rsidP="0057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3656"/>
        <w:gridCol w:w="4990"/>
      </w:tblGrid>
      <w:tr w:rsidR="0057456B" w:rsidRPr="0057456B" w14:paraId="09A17429" w14:textId="77777777" w:rsidTr="009B54D0">
        <w:trPr>
          <w:trHeight w:val="381"/>
          <w:jc w:val="center"/>
        </w:trPr>
        <w:tc>
          <w:tcPr>
            <w:tcW w:w="9132" w:type="dxa"/>
            <w:gridSpan w:val="3"/>
            <w:vAlign w:val="center"/>
          </w:tcPr>
          <w:p w14:paraId="1EE9C7C4" w14:textId="77777777" w:rsidR="0057456B" w:rsidRPr="0057456B" w:rsidRDefault="0057456B" w:rsidP="005745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57456B" w:rsidRPr="0057456B" w14:paraId="0AFF2E74" w14:textId="77777777" w:rsidTr="001D2D4F">
        <w:trPr>
          <w:trHeight w:val="605"/>
          <w:jc w:val="center"/>
        </w:trPr>
        <w:tc>
          <w:tcPr>
            <w:tcW w:w="486" w:type="dxa"/>
          </w:tcPr>
          <w:p w14:paraId="11F20717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656" w:type="dxa"/>
          </w:tcPr>
          <w:p w14:paraId="0D06A7B2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4990" w:type="dxa"/>
          </w:tcPr>
          <w:p w14:paraId="535BFCD4" w14:textId="544B901A" w:rsidR="0057456B" w:rsidRPr="0057456B" w:rsidRDefault="001D2D4F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VAS “Latvijas dzelzceļš”, </w:t>
            </w:r>
            <w:r w:rsidR="0057456B"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dzelzceļa tehniskā inspekcija</w:t>
            </w:r>
            <w:r w:rsidR="000607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7456B" w:rsidRPr="0057456B" w14:paraId="2C5C6B27" w14:textId="77777777" w:rsidTr="009B54D0">
        <w:trPr>
          <w:trHeight w:val="463"/>
          <w:jc w:val="center"/>
        </w:trPr>
        <w:tc>
          <w:tcPr>
            <w:tcW w:w="486" w:type="dxa"/>
          </w:tcPr>
          <w:p w14:paraId="7AA5DF05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656" w:type="dxa"/>
          </w:tcPr>
          <w:p w14:paraId="4869BC93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izpildes ietekme uz pār</w:t>
            </w: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valdes funkcijām un institucionālo struktūru.</w:t>
            </w:r>
          </w:p>
          <w:p w14:paraId="1B7433B0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</w:t>
            </w: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oftHyphen/>
              <w:t>nizācija, to ietekme uz institūcijas cilvēkresursiem</w:t>
            </w:r>
          </w:p>
        </w:tc>
        <w:tc>
          <w:tcPr>
            <w:tcW w:w="4990" w:type="dxa"/>
          </w:tcPr>
          <w:p w14:paraId="53EFAA13" w14:textId="77777777" w:rsidR="0057456B" w:rsidRPr="0057456B" w:rsidRDefault="0057456B" w:rsidP="005745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izpildes rezultātā nav paredzēta jaunu institūciju izveide vai esošo institūciju likvidācija vai reorganizācija.</w:t>
            </w:r>
          </w:p>
        </w:tc>
      </w:tr>
      <w:tr w:rsidR="0057456B" w:rsidRPr="0057456B" w14:paraId="011F4075" w14:textId="77777777" w:rsidTr="009B54D0">
        <w:trPr>
          <w:trHeight w:val="23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F3F" w14:textId="77777777" w:rsidR="0057456B" w:rsidRPr="0057456B" w:rsidRDefault="0057456B" w:rsidP="005745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A0D" w14:textId="77777777" w:rsidR="0057456B" w:rsidRPr="0057456B" w:rsidRDefault="0057456B" w:rsidP="00574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Cita informācija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96E" w14:textId="77777777" w:rsidR="0057456B" w:rsidRPr="0057456B" w:rsidRDefault="0057456B" w:rsidP="0057456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5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4B9108F6" w14:textId="77777777" w:rsidR="0057456B" w:rsidRPr="0057456B" w:rsidRDefault="0057456B" w:rsidP="0057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 w:eastAsia="lv-LV"/>
        </w:rPr>
      </w:pPr>
    </w:p>
    <w:p w14:paraId="4F8049C2" w14:textId="77777777" w:rsidR="006A7DA9" w:rsidRPr="0057456B" w:rsidRDefault="006A7DA9" w:rsidP="006A7D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>Satiksmes ministrs</w:t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T. Linkaits</w:t>
      </w:r>
    </w:p>
    <w:p w14:paraId="4B337F83" w14:textId="77777777" w:rsidR="006A7DA9" w:rsidRPr="0057456B" w:rsidRDefault="006A7DA9" w:rsidP="006A7D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AF984A" w14:textId="77777777" w:rsidR="006A7DA9" w:rsidRPr="0057456B" w:rsidRDefault="006A7DA9" w:rsidP="006A7D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>Vīza: valsts sekretāre</w:t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7456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I. Stepanova</w:t>
      </w:r>
    </w:p>
    <w:p w14:paraId="1871FE3E" w14:textId="77777777" w:rsidR="006A7DA9" w:rsidRPr="0057456B" w:rsidRDefault="006A7DA9" w:rsidP="006A7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 w:eastAsia="lv-LV"/>
        </w:rPr>
      </w:pPr>
    </w:p>
    <w:p w14:paraId="53A69C2E" w14:textId="39C28167" w:rsidR="006A7DA9" w:rsidRDefault="006A7DA9" w:rsidP="006A7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de-DE" w:eastAsia="lv-LV"/>
        </w:rPr>
      </w:pPr>
    </w:p>
    <w:p w14:paraId="31A053F4" w14:textId="03E72752" w:rsidR="006A7DA9" w:rsidRPr="006A7DA9" w:rsidRDefault="006A7DA9" w:rsidP="006A7DA9">
      <w:pPr>
        <w:spacing w:after="0" w:line="240" w:lineRule="auto"/>
        <w:jc w:val="both"/>
      </w:pPr>
    </w:p>
    <w:sectPr w:rsidR="006A7DA9" w:rsidRPr="006A7DA9" w:rsidSect="001D2D4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10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857A" w14:textId="77777777" w:rsidR="004261AF" w:rsidRDefault="004261AF" w:rsidP="0057456B">
      <w:pPr>
        <w:spacing w:after="0" w:line="240" w:lineRule="auto"/>
      </w:pPr>
      <w:r>
        <w:separator/>
      </w:r>
    </w:p>
  </w:endnote>
  <w:endnote w:type="continuationSeparator" w:id="0">
    <w:p w14:paraId="0CC6D76F" w14:textId="77777777" w:rsidR="004261AF" w:rsidRDefault="004261AF" w:rsidP="0057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A4C2" w14:textId="75BD8016" w:rsidR="001D2D4F" w:rsidRPr="001D2D4F" w:rsidRDefault="001D2D4F" w:rsidP="009B54D0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1D2D4F">
      <w:rPr>
        <w:rFonts w:ascii="Times New Roman" w:hAnsi="Times New Roman" w:cs="Times New Roman"/>
        <w:sz w:val="20"/>
        <w:szCs w:val="20"/>
      </w:rPr>
      <w:t>SMAnot_211020</w:t>
    </w:r>
    <w:r w:rsidRPr="001D2D4F">
      <w:rPr>
        <w:rFonts w:ascii="Times New Roman" w:hAnsi="Times New Roman" w:cs="Times New Roman"/>
        <w:sz w:val="20"/>
        <w:szCs w:val="20"/>
      </w:rPr>
      <w:softHyphen/>
      <w:t>_GrozMK_530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77B5" w14:textId="77777777" w:rsidR="000607A0" w:rsidRPr="0040388E" w:rsidRDefault="000607A0" w:rsidP="00603121">
    <w:pPr>
      <w:pStyle w:val="Footer"/>
      <w:jc w:val="both"/>
      <w:rPr>
        <w:rFonts w:ascii="Times New Roman" w:hAnsi="Times New Roman" w:cs="Times New Roman"/>
      </w:rPr>
    </w:pPr>
  </w:p>
  <w:p w14:paraId="01E7D57D" w14:textId="77777777" w:rsidR="001D2D4F" w:rsidRPr="001D2D4F" w:rsidRDefault="001D2D4F" w:rsidP="001D2D4F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1D2D4F">
      <w:rPr>
        <w:rFonts w:ascii="Times New Roman" w:hAnsi="Times New Roman" w:cs="Times New Roman"/>
        <w:sz w:val="20"/>
        <w:szCs w:val="20"/>
      </w:rPr>
      <w:t>SMAnot_211020</w:t>
    </w:r>
    <w:r w:rsidRPr="001D2D4F">
      <w:rPr>
        <w:rFonts w:ascii="Times New Roman" w:hAnsi="Times New Roman" w:cs="Times New Roman"/>
        <w:sz w:val="20"/>
        <w:szCs w:val="20"/>
      </w:rPr>
      <w:softHyphen/>
      <w:t>_GrozMK_530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A16C9" w14:textId="77777777" w:rsidR="004261AF" w:rsidRDefault="004261AF" w:rsidP="0057456B">
      <w:pPr>
        <w:spacing w:after="0" w:line="240" w:lineRule="auto"/>
      </w:pPr>
      <w:r>
        <w:separator/>
      </w:r>
    </w:p>
  </w:footnote>
  <w:footnote w:type="continuationSeparator" w:id="0">
    <w:p w14:paraId="70012BAC" w14:textId="77777777" w:rsidR="004261AF" w:rsidRDefault="004261AF" w:rsidP="0057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1FAB" w14:textId="77777777" w:rsidR="000607A0" w:rsidRDefault="000607A0" w:rsidP="009B54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F8CAC0" w14:textId="77777777" w:rsidR="000607A0" w:rsidRDefault="00060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A3E7" w14:textId="77777777" w:rsidR="000607A0" w:rsidRDefault="000607A0" w:rsidP="009B54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5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44C1B8" w14:textId="77777777" w:rsidR="000607A0" w:rsidRDefault="00060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6B"/>
    <w:rsid w:val="00024DF0"/>
    <w:rsid w:val="000352C7"/>
    <w:rsid w:val="000412C1"/>
    <w:rsid w:val="000502E9"/>
    <w:rsid w:val="000607A0"/>
    <w:rsid w:val="000717F3"/>
    <w:rsid w:val="00077846"/>
    <w:rsid w:val="000E5701"/>
    <w:rsid w:val="001652C1"/>
    <w:rsid w:val="001D2D4F"/>
    <w:rsid w:val="0020486B"/>
    <w:rsid w:val="00211CF4"/>
    <w:rsid w:val="00247270"/>
    <w:rsid w:val="002946F5"/>
    <w:rsid w:val="003443B2"/>
    <w:rsid w:val="003B45C6"/>
    <w:rsid w:val="0040388E"/>
    <w:rsid w:val="004046FF"/>
    <w:rsid w:val="004261AF"/>
    <w:rsid w:val="00496F8B"/>
    <w:rsid w:val="004B2038"/>
    <w:rsid w:val="0050508B"/>
    <w:rsid w:val="005109C8"/>
    <w:rsid w:val="0057456B"/>
    <w:rsid w:val="00584922"/>
    <w:rsid w:val="00586E86"/>
    <w:rsid w:val="005A20A5"/>
    <w:rsid w:val="00603121"/>
    <w:rsid w:val="00627724"/>
    <w:rsid w:val="006560DF"/>
    <w:rsid w:val="0066560C"/>
    <w:rsid w:val="006A37E4"/>
    <w:rsid w:val="006A7DA9"/>
    <w:rsid w:val="006C3020"/>
    <w:rsid w:val="00735535"/>
    <w:rsid w:val="007905D5"/>
    <w:rsid w:val="007A674F"/>
    <w:rsid w:val="007C54D8"/>
    <w:rsid w:val="007C5F5B"/>
    <w:rsid w:val="007E7EAB"/>
    <w:rsid w:val="007F7D4B"/>
    <w:rsid w:val="008366DB"/>
    <w:rsid w:val="008647B5"/>
    <w:rsid w:val="00884284"/>
    <w:rsid w:val="008A19D4"/>
    <w:rsid w:val="00943DD7"/>
    <w:rsid w:val="00952C90"/>
    <w:rsid w:val="00955BD5"/>
    <w:rsid w:val="009651D7"/>
    <w:rsid w:val="009A54AB"/>
    <w:rsid w:val="009A5C5E"/>
    <w:rsid w:val="009B54D0"/>
    <w:rsid w:val="00A977B2"/>
    <w:rsid w:val="00B216EB"/>
    <w:rsid w:val="00B2415A"/>
    <w:rsid w:val="00B26FEB"/>
    <w:rsid w:val="00B5008A"/>
    <w:rsid w:val="00B75743"/>
    <w:rsid w:val="00B94B58"/>
    <w:rsid w:val="00BA027C"/>
    <w:rsid w:val="00BE0399"/>
    <w:rsid w:val="00BF3C2F"/>
    <w:rsid w:val="00C00D09"/>
    <w:rsid w:val="00C224CF"/>
    <w:rsid w:val="00CB4023"/>
    <w:rsid w:val="00CB412D"/>
    <w:rsid w:val="00CC24FC"/>
    <w:rsid w:val="00D41195"/>
    <w:rsid w:val="00D747A0"/>
    <w:rsid w:val="00D81408"/>
    <w:rsid w:val="00DA054D"/>
    <w:rsid w:val="00DA15E3"/>
    <w:rsid w:val="00DA72BC"/>
    <w:rsid w:val="00DD3238"/>
    <w:rsid w:val="00E5724F"/>
    <w:rsid w:val="00E63D72"/>
    <w:rsid w:val="00EA191B"/>
    <w:rsid w:val="00EB0738"/>
    <w:rsid w:val="00EF669D"/>
    <w:rsid w:val="00F22D3B"/>
    <w:rsid w:val="00F7447B"/>
    <w:rsid w:val="00FA140F"/>
    <w:rsid w:val="00FB3CEE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4F67B"/>
  <w15:chartTrackingRefBased/>
  <w15:docId w15:val="{2D6FDEAA-06CC-445F-A6A1-783C47A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6B"/>
  </w:style>
  <w:style w:type="paragraph" w:styleId="Footer">
    <w:name w:val="footer"/>
    <w:basedOn w:val="Normal"/>
    <w:link w:val="FooterChar"/>
    <w:uiPriority w:val="99"/>
    <w:unhideWhenUsed/>
    <w:rsid w:val="0057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6B"/>
  </w:style>
  <w:style w:type="character" w:styleId="PageNumber">
    <w:name w:val="page number"/>
    <w:basedOn w:val="DefaultParagraphFont"/>
    <w:rsid w:val="0057456B"/>
  </w:style>
  <w:style w:type="paragraph" w:styleId="BalloonText">
    <w:name w:val="Balloon Text"/>
    <w:basedOn w:val="Normal"/>
    <w:link w:val="BalloonTextChar"/>
    <w:uiPriority w:val="99"/>
    <w:semiHidden/>
    <w:unhideWhenUsed/>
    <w:rsid w:val="0095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4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284"/>
    <w:rPr>
      <w:b/>
      <w:bCs/>
      <w:sz w:val="20"/>
      <w:szCs w:val="20"/>
    </w:rPr>
  </w:style>
  <w:style w:type="character" w:styleId="Hyperlink">
    <w:name w:val="Hyperlink"/>
    <w:unhideWhenUsed/>
    <w:rsid w:val="001D2D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2D4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D2D4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k.gov.lv/content/ministru-kabineta-diskusiju-dokumen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m.gov.lv/lv/izstrade-esosie-attistibas-planosanas-dokumenti-un-tiesibu-akt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Anotācija. Grozījums Ministru kabineta 2014.gada 2.septembra noteikumos Nr. 530 “Dzelzceļa būvnoteikumi”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2014. gada 2. septembra noteikumos Nr. 530 "Dzelzceļa būvnoteikumi"</dc:title>
  <dc:subject/>
  <dc:creator>Kārlis Enģelis</dc:creator>
  <cp:keywords>Anotācija</cp:keywords>
  <dc:description>Balaša  67028071
Santa.Balasa@sam.gov.lv; J. Lupiks 67234941 janis.lupiks@ldz.lv</dc:description>
  <cp:lastModifiedBy>Santa Balaša</cp:lastModifiedBy>
  <cp:revision>8</cp:revision>
  <cp:lastPrinted>2020-10-20T12:22:00Z</cp:lastPrinted>
  <dcterms:created xsi:type="dcterms:W3CDTF">2020-10-20T12:23:00Z</dcterms:created>
  <dcterms:modified xsi:type="dcterms:W3CDTF">2020-10-26T11:40:00Z</dcterms:modified>
</cp:coreProperties>
</file>