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C40620" w:rsidRPr="00C40620" w14:paraId="42D6460B" w14:textId="77777777" w:rsidTr="0076587C">
        <w:tc>
          <w:tcPr>
            <w:tcW w:w="9000" w:type="dxa"/>
            <w:tcBorders>
              <w:top w:val="single" w:sz="4" w:space="0" w:color="auto"/>
              <w:bottom w:val="single" w:sz="4" w:space="0" w:color="auto"/>
            </w:tcBorders>
            <w:shd w:val="pct15" w:color="auto" w:fill="FFFFFF"/>
          </w:tcPr>
          <w:p w14:paraId="0815AE8F" w14:textId="77777777" w:rsidR="00C40620" w:rsidRPr="00C40620" w:rsidRDefault="00C40620" w:rsidP="00C40620">
            <w:pPr>
              <w:keepNext/>
              <w:keepLines/>
              <w:spacing w:before="240" w:after="240" w:line="240" w:lineRule="auto"/>
              <w:outlineLvl w:val="1"/>
              <w:rPr>
                <w:rFonts w:ascii="Cambria" w:eastAsia="Times New Roman" w:hAnsi="Cambria"/>
                <w:b/>
                <w:bCs/>
                <w:sz w:val="26"/>
                <w:szCs w:val="26"/>
                <w:lang w:val="lv-LV" w:eastAsia="lv-LV" w:bidi="lv-LV"/>
              </w:rPr>
            </w:pPr>
            <w:bookmarkStart w:id="0" w:name="_Toc414370363"/>
            <w:bookmarkStart w:id="1" w:name="_Toc416949015"/>
            <w:r w:rsidRPr="00C40620">
              <w:rPr>
                <w:rFonts w:ascii="Cambria" w:eastAsia="Times New Roman" w:hAnsi="Cambria"/>
                <w:b/>
                <w:bCs/>
                <w:sz w:val="26"/>
                <w:szCs w:val="26"/>
                <w:lang w:val="lv-LV" w:eastAsia="lv-LV" w:bidi="lv-LV"/>
              </w:rPr>
              <w:t>III 5. daļa. Papildinformācijas lapa par valsts atbalstu platjoslas tīkliem</w:t>
            </w:r>
            <w:bookmarkEnd w:id="0"/>
            <w:bookmarkEnd w:id="1"/>
          </w:p>
        </w:tc>
      </w:tr>
    </w:tbl>
    <w:p w14:paraId="3149E046" w14:textId="77777777" w:rsidR="00C40620" w:rsidRPr="00C40620" w:rsidRDefault="00C40620" w:rsidP="00C40620">
      <w:pPr>
        <w:spacing w:before="120" w:after="120" w:line="240" w:lineRule="auto"/>
        <w:jc w:val="both"/>
        <w:rPr>
          <w:rFonts w:ascii="Times New Roman" w:hAnsi="Times New Roman"/>
          <w:i/>
          <w:iCs/>
          <w:sz w:val="24"/>
          <w:szCs w:val="20"/>
          <w:lang w:val="lv-LV" w:eastAsia="lv-LV" w:bidi="lv-LV"/>
        </w:rPr>
      </w:pPr>
      <w:r w:rsidRPr="00C40620">
        <w:rPr>
          <w:rFonts w:ascii="Times New Roman" w:hAnsi="Times New Roman"/>
          <w:i/>
          <w:sz w:val="24"/>
          <w:szCs w:val="20"/>
          <w:lang w:val="lv-LV" w:eastAsia="lv-LV" w:bidi="lv-LV"/>
        </w:rPr>
        <w:t>Šī papildinformācijas lapa būtu jāizmanto, lai paziņotu par atbalstu, uz kuru attiecas ES Pamatnostādnes valsts atbalsta noteikumu piemērošanai attiecībā uz platjoslas tīklu ātru izvēršanu</w:t>
      </w:r>
      <w:r w:rsidRPr="00C40620">
        <w:rPr>
          <w:rFonts w:ascii="Times New Roman" w:hAnsi="Times New Roman"/>
          <w:sz w:val="24"/>
          <w:szCs w:val="20"/>
          <w:vertAlign w:val="superscript"/>
          <w:lang w:val="lv-LV" w:eastAsia="lv-LV" w:bidi="lv-LV"/>
        </w:rPr>
        <w:footnoteReference w:id="2"/>
      </w:r>
      <w:r w:rsidRPr="00C40620">
        <w:rPr>
          <w:rFonts w:ascii="Times New Roman" w:hAnsi="Times New Roman"/>
          <w:i/>
          <w:sz w:val="24"/>
          <w:szCs w:val="20"/>
          <w:lang w:val="lv-LV" w:eastAsia="lv-LV" w:bidi="lv-LV"/>
        </w:rPr>
        <w:t xml:space="preserve"> (“Pamatnostādnes par platjoslas tīkliem”).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86"/>
      </w:tblGrid>
      <w:tr w:rsidR="00C40620" w:rsidRPr="00C40620" w14:paraId="465869B0" w14:textId="77777777" w:rsidTr="00C40620">
        <w:tc>
          <w:tcPr>
            <w:tcW w:w="9286" w:type="dxa"/>
            <w:shd w:val="clear" w:color="auto" w:fill="D9D9D9"/>
          </w:tcPr>
          <w:p w14:paraId="7A2DB3D2"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Paziņotā atbalsta pasākuma iezīmes</w:t>
            </w:r>
          </w:p>
        </w:tc>
      </w:tr>
    </w:tbl>
    <w:p w14:paraId="48DB5C14"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aprakstiet atbalsta pasākuma mērķi: </w:t>
      </w:r>
    </w:p>
    <w:p w14:paraId="22684E9F" w14:textId="11C41DDB" w:rsidR="00C40620" w:rsidRPr="00435EDD" w:rsidRDefault="0052795F"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795F">
        <w:rPr>
          <w:rFonts w:ascii="Times New Roman" w:hAnsi="Times New Roman"/>
          <w:sz w:val="24"/>
          <w:szCs w:val="24"/>
          <w:lang w:val="lv-LV"/>
        </w:rPr>
        <w:t xml:space="preserve">Mērķis ir tehnoloģiski neitrālu </w:t>
      </w:r>
      <w:proofErr w:type="spellStart"/>
      <w:r w:rsidRPr="0052795F">
        <w:rPr>
          <w:rFonts w:ascii="Times New Roman" w:hAnsi="Times New Roman"/>
          <w:sz w:val="24"/>
          <w:szCs w:val="24"/>
          <w:lang w:val="lv-LV"/>
        </w:rPr>
        <w:t>pieslēgumu</w:t>
      </w:r>
      <w:proofErr w:type="spellEnd"/>
      <w:r w:rsidR="00E261DC">
        <w:rPr>
          <w:rStyle w:val="FootnoteReference"/>
          <w:rFonts w:ascii="Times New Roman" w:hAnsi="Times New Roman"/>
          <w:sz w:val="24"/>
          <w:szCs w:val="24"/>
          <w:lang w:val="lv-LV"/>
        </w:rPr>
        <w:footnoteReference w:id="3"/>
      </w:r>
      <w:r w:rsidRPr="0052795F">
        <w:rPr>
          <w:rFonts w:ascii="Times New Roman" w:hAnsi="Times New Roman"/>
          <w:sz w:val="24"/>
          <w:szCs w:val="24"/>
          <w:lang w:val="lv-LV"/>
        </w:rPr>
        <w:t>, kas atbalsta ilgtspējīgu nākamās paaudzes fiksēto, bezvadu un pavadoņu sakaru savienojamību, ierīkošana elektronisko sakaru pakalpojumu pieejamības nodrošināšanai galalietotājiem (“pēdējā jūdze”), lai veicinātu elektronisko sakaru pakalpojumu atbilstību Eiropas Savienības un nacionālajiem stratēģiskajiem savienojamības mērķiem.</w:t>
      </w:r>
    </w:p>
    <w:p w14:paraId="169CFE0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paskaidrojiet, kā atbalsta pasākums sader ar nacionālo platjoslas tīklu stratēģiju un Savienības mērķiem (tostarp ar stratēģiju “ES 2020” un Digitālo programmu</w:t>
      </w:r>
      <w:r w:rsidRPr="00C40620">
        <w:rPr>
          <w:rFonts w:ascii="Times New Roman" w:eastAsia="Times New Roman" w:hAnsi="Times New Roman"/>
          <w:sz w:val="24"/>
          <w:szCs w:val="24"/>
          <w:vertAlign w:val="superscript"/>
          <w:lang w:val="lv-LV" w:eastAsia="lv-LV" w:bidi="lv-LV"/>
        </w:rPr>
        <w:footnoteReference w:id="4"/>
      </w:r>
      <w:r w:rsidRPr="00C40620">
        <w:rPr>
          <w:rFonts w:ascii="Times New Roman" w:eastAsia="Times New Roman" w:hAnsi="Times New Roman"/>
          <w:sz w:val="24"/>
          <w:szCs w:val="24"/>
          <w:lang w:val="lv-LV" w:eastAsia="lv-LV" w:bidi="lv-LV"/>
        </w:rPr>
        <w:t>).</w:t>
      </w:r>
    </w:p>
    <w:p w14:paraId="1FCB4631" w14:textId="78CCF936" w:rsidR="008466C9" w:rsidRPr="00402BD6" w:rsidRDefault="007B0FFA" w:rsidP="0078479A">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402BD6">
        <w:rPr>
          <w:rFonts w:ascii="Times New Roman" w:eastAsia="Times New Roman" w:hAnsi="Times New Roman"/>
          <w:sz w:val="24"/>
          <w:szCs w:val="24"/>
          <w:lang w:val="lv-LV" w:eastAsia="lv-LV" w:bidi="lv-LV"/>
        </w:rPr>
        <w:t>V</w:t>
      </w:r>
      <w:r w:rsidR="00712C05" w:rsidRPr="00402BD6">
        <w:rPr>
          <w:rFonts w:ascii="Times New Roman" w:eastAsia="Times New Roman" w:hAnsi="Times New Roman"/>
          <w:sz w:val="24"/>
          <w:szCs w:val="24"/>
          <w:lang w:val="lv-LV" w:eastAsia="lv-LV" w:bidi="lv-LV"/>
        </w:rPr>
        <w:t>alsts atbalsta pasākum</w:t>
      </w:r>
      <w:r w:rsidRPr="00402BD6">
        <w:rPr>
          <w:rFonts w:ascii="Times New Roman" w:eastAsia="Times New Roman" w:hAnsi="Times New Roman"/>
          <w:sz w:val="24"/>
          <w:szCs w:val="24"/>
          <w:lang w:val="lv-LV" w:eastAsia="lv-LV" w:bidi="lv-LV"/>
        </w:rPr>
        <w:t>s ir</w:t>
      </w:r>
      <w:r w:rsidR="00712C05" w:rsidRPr="00402BD6">
        <w:rPr>
          <w:rFonts w:ascii="Times New Roman" w:eastAsia="Times New Roman" w:hAnsi="Times New Roman"/>
          <w:sz w:val="24"/>
          <w:szCs w:val="24"/>
          <w:lang w:val="lv-LV" w:eastAsia="lv-LV" w:bidi="lv-LV"/>
        </w:rPr>
        <w:t xml:space="preserve"> </w:t>
      </w:r>
      <w:r w:rsidR="00D34A5A" w:rsidRPr="00402BD6">
        <w:rPr>
          <w:rFonts w:ascii="Times New Roman" w:eastAsia="Times New Roman" w:hAnsi="Times New Roman"/>
          <w:sz w:val="24"/>
          <w:szCs w:val="24"/>
          <w:lang w:val="lv-LV" w:eastAsia="lv-LV" w:bidi="lv-LV"/>
        </w:rPr>
        <w:t>atbilstošs savienojamības mērķiem “Paziņojumā par Gigabitu sabiedrību”</w:t>
      </w:r>
      <w:r w:rsidR="00D34A5A" w:rsidRPr="00402BD6">
        <w:rPr>
          <w:rStyle w:val="FootnoteReference"/>
          <w:rFonts w:ascii="Times New Roman" w:eastAsia="Times New Roman" w:hAnsi="Times New Roman"/>
          <w:sz w:val="24"/>
          <w:szCs w:val="24"/>
          <w:lang w:val="lv-LV" w:eastAsia="lv-LV" w:bidi="lv-LV"/>
        </w:rPr>
        <w:footnoteReference w:id="5"/>
      </w:r>
      <w:r w:rsidR="00D34A5A" w:rsidRPr="00402BD6">
        <w:rPr>
          <w:rFonts w:ascii="Times New Roman" w:eastAsia="Times New Roman" w:hAnsi="Times New Roman"/>
          <w:sz w:val="24"/>
          <w:szCs w:val="24"/>
          <w:lang w:val="lv-LV" w:eastAsia="lv-LV" w:bidi="lv-LV"/>
        </w:rPr>
        <w:t>, paziņojumā “Eiropas digitālās nākotnes veidošana”</w:t>
      </w:r>
      <w:r w:rsidR="00512CCB" w:rsidRPr="00402BD6">
        <w:rPr>
          <w:rStyle w:val="FootnoteReference"/>
          <w:rFonts w:ascii="Times New Roman" w:eastAsia="Times New Roman" w:hAnsi="Times New Roman"/>
          <w:sz w:val="24"/>
          <w:szCs w:val="24"/>
          <w:lang w:val="lv-LV" w:eastAsia="lv-LV" w:bidi="lv-LV"/>
        </w:rPr>
        <w:footnoteReference w:id="6"/>
      </w:r>
      <w:r w:rsidR="00D34A5A" w:rsidRPr="00402BD6">
        <w:rPr>
          <w:rFonts w:ascii="Times New Roman" w:eastAsia="Times New Roman" w:hAnsi="Times New Roman"/>
          <w:sz w:val="24"/>
          <w:szCs w:val="24"/>
          <w:lang w:val="lv-LV" w:eastAsia="lv-LV" w:bidi="lv-LV"/>
        </w:rPr>
        <w:t>, paziņojumā par</w:t>
      </w:r>
      <w:r w:rsidR="00512CCB" w:rsidRPr="00402BD6">
        <w:rPr>
          <w:rFonts w:ascii="Times New Roman" w:eastAsia="Times New Roman" w:hAnsi="Times New Roman"/>
          <w:sz w:val="24"/>
          <w:szCs w:val="24"/>
          <w:lang w:val="lv-LV" w:eastAsia="lv-LV" w:bidi="lv-LV"/>
        </w:rPr>
        <w:t xml:space="preserve"> </w:t>
      </w:r>
      <w:r w:rsidR="00D34A5A" w:rsidRPr="00402BD6">
        <w:rPr>
          <w:rFonts w:ascii="Times New Roman" w:eastAsia="Times New Roman" w:hAnsi="Times New Roman"/>
          <w:sz w:val="24"/>
          <w:szCs w:val="24"/>
          <w:lang w:val="lv-LV" w:eastAsia="lv-LV" w:bidi="lv-LV"/>
        </w:rPr>
        <w:t>“digitālo kompasu”</w:t>
      </w:r>
      <w:r w:rsidR="00512CCB" w:rsidRPr="00402BD6">
        <w:rPr>
          <w:rStyle w:val="FootnoteReference"/>
          <w:rFonts w:ascii="Times New Roman" w:eastAsia="Times New Roman" w:hAnsi="Times New Roman"/>
          <w:sz w:val="24"/>
          <w:szCs w:val="24"/>
          <w:lang w:val="lv-LV" w:eastAsia="lv-LV" w:bidi="lv-LV"/>
        </w:rPr>
        <w:footnoteReference w:id="7"/>
      </w:r>
      <w:r w:rsidR="00D34A5A" w:rsidRPr="00402BD6">
        <w:rPr>
          <w:rFonts w:ascii="Times New Roman" w:eastAsia="Times New Roman" w:hAnsi="Times New Roman"/>
          <w:sz w:val="24"/>
          <w:szCs w:val="24"/>
          <w:lang w:val="lv-LV" w:eastAsia="lv-LV" w:bidi="lv-LV"/>
        </w:rPr>
        <w:t xml:space="preserve"> un tās priekšlikumā </w:t>
      </w:r>
      <w:r w:rsidR="00512CCB" w:rsidRPr="00402BD6">
        <w:rPr>
          <w:rFonts w:ascii="Times New Roman" w:eastAsia="Times New Roman" w:hAnsi="Times New Roman"/>
          <w:sz w:val="24"/>
          <w:szCs w:val="24"/>
          <w:lang w:val="lv-LV" w:eastAsia="lv-LV" w:bidi="lv-LV"/>
        </w:rPr>
        <w:t>“</w:t>
      </w:r>
      <w:r w:rsidR="00D34A5A" w:rsidRPr="00402BD6">
        <w:rPr>
          <w:rFonts w:ascii="Times New Roman" w:eastAsia="Times New Roman" w:hAnsi="Times New Roman"/>
          <w:sz w:val="24"/>
          <w:szCs w:val="24"/>
          <w:lang w:val="lv-LV" w:eastAsia="lv-LV" w:bidi="lv-LV"/>
        </w:rPr>
        <w:t>Lēmums, ar ko izveido politikas programmu</w:t>
      </w:r>
      <w:r w:rsidR="00512CCB" w:rsidRPr="00402BD6">
        <w:rPr>
          <w:rFonts w:ascii="Times New Roman" w:eastAsia="Times New Roman" w:hAnsi="Times New Roman"/>
          <w:sz w:val="24"/>
          <w:szCs w:val="24"/>
          <w:lang w:val="lv-LV" w:eastAsia="lv-LV" w:bidi="lv-LV"/>
        </w:rPr>
        <w:t xml:space="preserve"> </w:t>
      </w:r>
      <w:r w:rsidR="00D34A5A" w:rsidRPr="00402BD6">
        <w:rPr>
          <w:rFonts w:ascii="Times New Roman" w:eastAsia="Times New Roman" w:hAnsi="Times New Roman"/>
          <w:sz w:val="24"/>
          <w:szCs w:val="24"/>
          <w:lang w:val="lv-LV" w:eastAsia="lv-LV" w:bidi="lv-LV"/>
        </w:rPr>
        <w:t>2030. gadam “Digitālās desmitgades ceļš”</w:t>
      </w:r>
      <w:r w:rsidR="00512CCB" w:rsidRPr="00402BD6">
        <w:rPr>
          <w:rFonts w:ascii="Times New Roman" w:eastAsia="Times New Roman" w:hAnsi="Times New Roman"/>
          <w:sz w:val="24"/>
          <w:szCs w:val="24"/>
          <w:lang w:val="lv-LV" w:eastAsia="lv-LV" w:bidi="lv-LV"/>
        </w:rPr>
        <w:t>”</w:t>
      </w:r>
      <w:r w:rsidR="00512CCB" w:rsidRPr="00402BD6">
        <w:rPr>
          <w:rStyle w:val="FootnoteReference"/>
          <w:rFonts w:ascii="Times New Roman" w:eastAsia="Times New Roman" w:hAnsi="Times New Roman"/>
          <w:sz w:val="24"/>
          <w:szCs w:val="24"/>
          <w:lang w:val="lv-LV" w:eastAsia="lv-LV" w:bidi="lv-LV"/>
        </w:rPr>
        <w:footnoteReference w:id="8"/>
      </w:r>
      <w:r w:rsidR="0078479A">
        <w:rPr>
          <w:rFonts w:ascii="Times New Roman" w:eastAsia="Times New Roman" w:hAnsi="Times New Roman"/>
          <w:sz w:val="24"/>
          <w:szCs w:val="24"/>
          <w:lang w:val="lv-LV" w:eastAsia="lv-LV" w:bidi="lv-LV"/>
        </w:rPr>
        <w:t xml:space="preserve"> (</w:t>
      </w:r>
      <w:r w:rsidR="0078479A" w:rsidRPr="0078479A">
        <w:rPr>
          <w:rFonts w:ascii="Times New Roman" w:eastAsia="Times New Roman" w:hAnsi="Times New Roman"/>
          <w:sz w:val="24"/>
          <w:szCs w:val="24"/>
          <w:lang w:val="lv-LV" w:eastAsia="lv-LV" w:bidi="lv-LV"/>
        </w:rPr>
        <w:t>(Digitālās desmitgades politikas</w:t>
      </w:r>
      <w:r w:rsidR="0078479A">
        <w:rPr>
          <w:rFonts w:ascii="Times New Roman" w:eastAsia="Times New Roman" w:hAnsi="Times New Roman"/>
          <w:sz w:val="24"/>
          <w:szCs w:val="24"/>
          <w:lang w:val="lv-LV" w:eastAsia="lv-LV" w:bidi="lv-LV"/>
        </w:rPr>
        <w:t xml:space="preserve"> </w:t>
      </w:r>
      <w:r w:rsidR="0078479A" w:rsidRPr="0078479A">
        <w:rPr>
          <w:rFonts w:ascii="Times New Roman" w:eastAsia="Times New Roman" w:hAnsi="Times New Roman"/>
          <w:sz w:val="24"/>
          <w:szCs w:val="24"/>
          <w:lang w:val="lv-LV" w:eastAsia="lv-LV" w:bidi="lv-LV"/>
        </w:rPr>
        <w:t xml:space="preserve">programma, </w:t>
      </w:r>
      <w:r w:rsidR="0078479A">
        <w:rPr>
          <w:rFonts w:ascii="Times New Roman" w:eastAsia="Times New Roman" w:hAnsi="Times New Roman"/>
          <w:sz w:val="24"/>
          <w:szCs w:val="24"/>
          <w:lang w:val="lv-LV" w:eastAsia="lv-LV" w:bidi="lv-LV"/>
        </w:rPr>
        <w:t xml:space="preserve">turpmāk - </w:t>
      </w:r>
      <w:r w:rsidR="0078479A" w:rsidRPr="0078479A">
        <w:rPr>
          <w:rFonts w:ascii="Times New Roman" w:eastAsia="Times New Roman" w:hAnsi="Times New Roman"/>
          <w:sz w:val="24"/>
          <w:szCs w:val="24"/>
          <w:lang w:val="lv-LV" w:eastAsia="lv-LV" w:bidi="lv-LV"/>
        </w:rPr>
        <w:t>DDPP)</w:t>
      </w:r>
      <w:r w:rsidR="00512CCB" w:rsidRPr="00402BD6">
        <w:rPr>
          <w:rFonts w:ascii="Times New Roman" w:eastAsia="Times New Roman" w:hAnsi="Times New Roman"/>
          <w:sz w:val="24"/>
          <w:szCs w:val="24"/>
          <w:lang w:val="lv-LV" w:eastAsia="lv-LV" w:bidi="lv-LV"/>
        </w:rPr>
        <w:t xml:space="preserve">, </w:t>
      </w:r>
      <w:r w:rsidR="00712C05" w:rsidRPr="00402BD6">
        <w:rPr>
          <w:rFonts w:ascii="Times New Roman" w:eastAsia="Times New Roman" w:hAnsi="Times New Roman"/>
          <w:sz w:val="24"/>
          <w:szCs w:val="24"/>
          <w:lang w:val="lv-LV" w:eastAsia="lv-LV" w:bidi="lv-LV"/>
        </w:rPr>
        <w:t>tieši vērst</w:t>
      </w:r>
      <w:r w:rsidRPr="00402BD6">
        <w:rPr>
          <w:rFonts w:ascii="Times New Roman" w:eastAsia="Times New Roman" w:hAnsi="Times New Roman"/>
          <w:sz w:val="24"/>
          <w:szCs w:val="24"/>
          <w:lang w:val="lv-LV" w:eastAsia="lv-LV" w:bidi="lv-LV"/>
        </w:rPr>
        <w:t>s</w:t>
      </w:r>
      <w:r w:rsidR="00712C05" w:rsidRPr="00402BD6">
        <w:rPr>
          <w:rFonts w:ascii="Times New Roman" w:eastAsia="Times New Roman" w:hAnsi="Times New Roman"/>
          <w:sz w:val="24"/>
          <w:szCs w:val="24"/>
          <w:lang w:val="lv-LV" w:eastAsia="lv-LV" w:bidi="lv-LV"/>
        </w:rPr>
        <w:t xml:space="preserve"> uz </w:t>
      </w:r>
      <w:r w:rsidR="008466C9" w:rsidRPr="00402BD6">
        <w:rPr>
          <w:rFonts w:ascii="Times New Roman" w:eastAsia="Times New Roman" w:hAnsi="Times New Roman"/>
          <w:sz w:val="24"/>
          <w:szCs w:val="24"/>
          <w:lang w:val="lv-LV" w:eastAsia="lv-LV" w:bidi="lv-LV"/>
        </w:rPr>
        <w:t xml:space="preserve">ES </w:t>
      </w:r>
      <w:r w:rsidR="00A02EAF" w:rsidRPr="00402BD6">
        <w:rPr>
          <w:rFonts w:ascii="Times New Roman" w:eastAsia="Times New Roman" w:hAnsi="Times New Roman"/>
          <w:sz w:val="24"/>
          <w:szCs w:val="24"/>
          <w:lang w:val="lv-LV" w:eastAsia="lv-LV" w:bidi="lv-LV"/>
        </w:rPr>
        <w:t>stratēģisko</w:t>
      </w:r>
      <w:r w:rsidR="008466C9" w:rsidRPr="00402BD6">
        <w:rPr>
          <w:rFonts w:ascii="Times New Roman" w:eastAsia="Times New Roman" w:hAnsi="Times New Roman"/>
          <w:sz w:val="24"/>
          <w:szCs w:val="24"/>
          <w:lang w:val="lv-LV" w:eastAsia="lv-LV" w:bidi="lv-LV"/>
        </w:rPr>
        <w:t xml:space="preserve"> mērķ</w:t>
      </w:r>
      <w:r w:rsidR="00712C05" w:rsidRPr="00402BD6">
        <w:rPr>
          <w:rFonts w:ascii="Times New Roman" w:eastAsia="Times New Roman" w:hAnsi="Times New Roman"/>
          <w:sz w:val="24"/>
          <w:szCs w:val="24"/>
          <w:lang w:val="lv-LV" w:eastAsia="lv-LV" w:bidi="lv-LV"/>
        </w:rPr>
        <w:t>u sasniegšanu</w:t>
      </w:r>
      <w:r w:rsidR="00EC1F75" w:rsidRPr="00402BD6">
        <w:rPr>
          <w:rFonts w:ascii="Times New Roman" w:eastAsia="Times New Roman" w:hAnsi="Times New Roman"/>
          <w:sz w:val="24"/>
          <w:szCs w:val="24"/>
          <w:lang w:val="lv-LV" w:eastAsia="lv-LV" w:bidi="lv-LV"/>
        </w:rPr>
        <w:t xml:space="preserve"> 2025. gadam un 2030.</w:t>
      </w:r>
      <w:r w:rsidR="00512CCB" w:rsidRPr="00402BD6">
        <w:rPr>
          <w:rFonts w:ascii="Times New Roman" w:eastAsia="Times New Roman" w:hAnsi="Times New Roman"/>
          <w:sz w:val="24"/>
          <w:szCs w:val="24"/>
          <w:lang w:val="lv-LV" w:eastAsia="lv-LV" w:bidi="lv-LV"/>
        </w:rPr>
        <w:t xml:space="preserve"> </w:t>
      </w:r>
      <w:r w:rsidR="00EC1F75" w:rsidRPr="00402BD6">
        <w:rPr>
          <w:rFonts w:ascii="Times New Roman" w:eastAsia="Times New Roman" w:hAnsi="Times New Roman"/>
          <w:sz w:val="24"/>
          <w:szCs w:val="24"/>
          <w:lang w:val="lv-LV" w:eastAsia="lv-LV" w:bidi="lv-LV"/>
        </w:rPr>
        <w:t>gadam</w:t>
      </w:r>
      <w:r w:rsidR="00402BD6" w:rsidRPr="00402BD6">
        <w:rPr>
          <w:rFonts w:ascii="Times New Roman" w:eastAsia="Times New Roman" w:hAnsi="Times New Roman"/>
          <w:sz w:val="24"/>
          <w:szCs w:val="24"/>
          <w:lang w:val="lv-LV" w:eastAsia="lv-LV" w:bidi="lv-LV"/>
        </w:rPr>
        <w:t xml:space="preserve">. </w:t>
      </w:r>
      <w:r w:rsidR="00402BD6">
        <w:rPr>
          <w:rFonts w:ascii="Times New Roman" w:eastAsia="Times New Roman" w:hAnsi="Times New Roman"/>
          <w:sz w:val="24"/>
          <w:szCs w:val="24"/>
          <w:lang w:val="lv-LV" w:eastAsia="lv-LV" w:bidi="lv-LV"/>
        </w:rPr>
        <w:t>Proti, “</w:t>
      </w:r>
      <w:r w:rsidR="00402BD6" w:rsidRPr="00402BD6">
        <w:rPr>
          <w:rFonts w:ascii="Times New Roman" w:eastAsia="Times New Roman" w:hAnsi="Times New Roman"/>
          <w:sz w:val="24"/>
          <w:szCs w:val="24"/>
          <w:lang w:val="lv-LV" w:eastAsia="lv-LV" w:bidi="lv-LV"/>
        </w:rPr>
        <w:t>Paziņojumā par Gigabitu sabiedrību</w:t>
      </w:r>
      <w:r w:rsidR="00402BD6">
        <w:rPr>
          <w:rFonts w:ascii="Times New Roman" w:eastAsia="Times New Roman" w:hAnsi="Times New Roman"/>
          <w:sz w:val="24"/>
          <w:szCs w:val="24"/>
          <w:lang w:val="lv-LV" w:eastAsia="lv-LV" w:bidi="lv-LV"/>
        </w:rPr>
        <w:t>”</w:t>
      </w:r>
      <w:r w:rsidR="00402BD6" w:rsidRPr="00402BD6">
        <w:rPr>
          <w:rFonts w:ascii="Times New Roman" w:eastAsia="Times New Roman" w:hAnsi="Times New Roman"/>
          <w:sz w:val="24"/>
          <w:szCs w:val="24"/>
          <w:lang w:val="lv-LV" w:eastAsia="lv-LV" w:bidi="lv-LV"/>
        </w:rPr>
        <w:t xml:space="preserve"> </w:t>
      </w:r>
      <w:r w:rsidR="00402BD6">
        <w:rPr>
          <w:rFonts w:ascii="Times New Roman" w:eastAsia="Times New Roman" w:hAnsi="Times New Roman"/>
          <w:sz w:val="24"/>
          <w:szCs w:val="24"/>
          <w:lang w:val="lv-LV" w:eastAsia="lv-LV" w:bidi="lv-LV"/>
        </w:rPr>
        <w:t xml:space="preserve">Eiropas </w:t>
      </w:r>
      <w:r w:rsidR="00402BD6" w:rsidRPr="00402BD6">
        <w:rPr>
          <w:rFonts w:ascii="Times New Roman" w:eastAsia="Times New Roman" w:hAnsi="Times New Roman"/>
          <w:sz w:val="24"/>
          <w:szCs w:val="24"/>
          <w:lang w:val="lv-LV" w:eastAsia="lv-LV" w:bidi="lv-LV"/>
        </w:rPr>
        <w:t>Komisija izvirzīja šādus savienojamības mērķus</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 xml:space="preserve">2025. gadam: </w:t>
      </w:r>
      <w:r w:rsidR="00402BD6">
        <w:rPr>
          <w:rFonts w:ascii="Times New Roman" w:eastAsia="Times New Roman" w:hAnsi="Times New Roman"/>
          <w:sz w:val="24"/>
          <w:szCs w:val="24"/>
          <w:lang w:val="lv-LV" w:eastAsia="lv-LV" w:bidi="lv-LV"/>
        </w:rPr>
        <w:t>1</w:t>
      </w:r>
      <w:r w:rsidR="00402BD6" w:rsidRPr="00402BD6">
        <w:rPr>
          <w:rFonts w:ascii="Times New Roman" w:eastAsia="Times New Roman" w:hAnsi="Times New Roman"/>
          <w:sz w:val="24"/>
          <w:szCs w:val="24"/>
          <w:lang w:val="lv-LV" w:eastAsia="lv-LV" w:bidi="lv-LV"/>
        </w:rPr>
        <w:t>) visās Savienības mājsaimniecībās gan laukos, gan pilsētās jābūt</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 xml:space="preserve">pieejamam interneta </w:t>
      </w:r>
      <w:proofErr w:type="spellStart"/>
      <w:r w:rsidR="00402BD6" w:rsidRPr="00402BD6">
        <w:rPr>
          <w:rFonts w:ascii="Times New Roman" w:eastAsia="Times New Roman" w:hAnsi="Times New Roman"/>
          <w:sz w:val="24"/>
          <w:szCs w:val="24"/>
          <w:lang w:val="lv-LV" w:eastAsia="lv-LV" w:bidi="lv-LV"/>
        </w:rPr>
        <w:t>pieslēgumam</w:t>
      </w:r>
      <w:proofErr w:type="spellEnd"/>
      <w:r w:rsidR="00402BD6" w:rsidRPr="00402BD6">
        <w:rPr>
          <w:rFonts w:ascii="Times New Roman" w:eastAsia="Times New Roman" w:hAnsi="Times New Roman"/>
          <w:sz w:val="24"/>
          <w:szCs w:val="24"/>
          <w:lang w:val="lv-LV" w:eastAsia="lv-LV" w:bidi="lv-LV"/>
        </w:rPr>
        <w:t xml:space="preserve"> ar lejupielādes </w:t>
      </w:r>
      <w:r w:rsidR="009478E4">
        <w:rPr>
          <w:rFonts w:ascii="Times New Roman" w:eastAsia="Times New Roman" w:hAnsi="Times New Roman"/>
          <w:sz w:val="24"/>
          <w:szCs w:val="24"/>
          <w:lang w:val="lv-LV" w:eastAsia="lv-LV" w:bidi="lv-LV"/>
        </w:rPr>
        <w:t xml:space="preserve">un augšupielādes </w:t>
      </w:r>
      <w:r w:rsidR="00402BD6" w:rsidRPr="00402BD6">
        <w:rPr>
          <w:rFonts w:ascii="Times New Roman" w:eastAsia="Times New Roman" w:hAnsi="Times New Roman"/>
          <w:sz w:val="24"/>
          <w:szCs w:val="24"/>
          <w:lang w:val="lv-LV" w:eastAsia="lv-LV" w:bidi="lv-LV"/>
        </w:rPr>
        <w:t>ātrumu vismaz 100 Mb</w:t>
      </w:r>
      <w:r w:rsidR="00402BD6">
        <w:rPr>
          <w:rFonts w:ascii="Times New Roman" w:eastAsia="Times New Roman" w:hAnsi="Times New Roman"/>
          <w:sz w:val="24"/>
          <w:szCs w:val="24"/>
          <w:lang w:val="lv-LV" w:eastAsia="lv-LV" w:bidi="lv-LV"/>
        </w:rPr>
        <w:t>it/</w:t>
      </w:r>
      <w:r w:rsidR="00402BD6" w:rsidRPr="00402BD6">
        <w:rPr>
          <w:rFonts w:ascii="Times New Roman" w:eastAsia="Times New Roman" w:hAnsi="Times New Roman"/>
          <w:sz w:val="24"/>
          <w:szCs w:val="24"/>
          <w:lang w:val="lv-LV" w:eastAsia="lv-LV" w:bidi="lv-LV"/>
        </w:rPr>
        <w:t xml:space="preserve">s, </w:t>
      </w:r>
      <w:r w:rsidR="009478E4" w:rsidRPr="009478E4">
        <w:rPr>
          <w:rFonts w:ascii="Times New Roman" w:eastAsia="Times New Roman" w:hAnsi="Times New Roman"/>
          <w:sz w:val="24"/>
          <w:szCs w:val="24"/>
          <w:lang w:val="lv-LV" w:eastAsia="lv-LV" w:bidi="lv-LV"/>
        </w:rPr>
        <w:t xml:space="preserve">uz kuriem var paļauties maksimumstundas apstākļos </w:t>
      </w:r>
      <w:r w:rsidR="009478E4">
        <w:rPr>
          <w:rFonts w:ascii="Times New Roman" w:eastAsia="Times New Roman" w:hAnsi="Times New Roman"/>
          <w:sz w:val="24"/>
          <w:szCs w:val="24"/>
          <w:lang w:val="lv-LV" w:eastAsia="lv-LV" w:bidi="lv-LV"/>
        </w:rPr>
        <w:t xml:space="preserve">un </w:t>
      </w:r>
      <w:r w:rsidR="00402BD6" w:rsidRPr="00402BD6">
        <w:rPr>
          <w:rFonts w:ascii="Times New Roman" w:eastAsia="Times New Roman" w:hAnsi="Times New Roman"/>
          <w:sz w:val="24"/>
          <w:szCs w:val="24"/>
          <w:lang w:val="lv-LV" w:eastAsia="lv-LV" w:bidi="lv-LV"/>
        </w:rPr>
        <w:t>ko var</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uzlabot līdz 1 Gb</w:t>
      </w:r>
      <w:r w:rsidR="00402BD6">
        <w:rPr>
          <w:rFonts w:ascii="Times New Roman" w:eastAsia="Times New Roman" w:hAnsi="Times New Roman"/>
          <w:sz w:val="24"/>
          <w:szCs w:val="24"/>
          <w:lang w:val="lv-LV" w:eastAsia="lv-LV" w:bidi="lv-LV"/>
        </w:rPr>
        <w:t>it/</w:t>
      </w:r>
      <w:r w:rsidR="00402BD6" w:rsidRPr="00402BD6">
        <w:rPr>
          <w:rFonts w:ascii="Times New Roman" w:eastAsia="Times New Roman" w:hAnsi="Times New Roman"/>
          <w:sz w:val="24"/>
          <w:szCs w:val="24"/>
          <w:lang w:val="lv-LV" w:eastAsia="lv-LV" w:bidi="lv-LV"/>
        </w:rPr>
        <w:t xml:space="preserve">s ātrumam; </w:t>
      </w:r>
      <w:r w:rsidR="00402BD6">
        <w:rPr>
          <w:rFonts w:ascii="Times New Roman" w:eastAsia="Times New Roman" w:hAnsi="Times New Roman"/>
          <w:sz w:val="24"/>
          <w:szCs w:val="24"/>
          <w:lang w:val="lv-LV" w:eastAsia="lv-LV" w:bidi="lv-LV"/>
        </w:rPr>
        <w:t>2</w:t>
      </w:r>
      <w:r w:rsidR="00402BD6" w:rsidRPr="00402BD6">
        <w:rPr>
          <w:rFonts w:ascii="Times New Roman" w:eastAsia="Times New Roman" w:hAnsi="Times New Roman"/>
          <w:sz w:val="24"/>
          <w:szCs w:val="24"/>
          <w:lang w:val="lv-LV" w:eastAsia="lv-LV" w:bidi="lv-LV"/>
        </w:rPr>
        <w:t>) sociālekonomiskajiem virzītājspēkiem, piemēram,</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uzņēmumiem, kas intensīvi izmanto digitālos resursus, skolām, slimnīcām un</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publiskās pārvaldes iestādēm, vajadzētu būt iespējai izmantot gigabitu savienojamību</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 xml:space="preserve">(lejupielādes un augšupielādes ātrums vismaz 1 </w:t>
      </w:r>
      <w:proofErr w:type="spellStart"/>
      <w:r w:rsidR="00402BD6" w:rsidRPr="00402BD6">
        <w:rPr>
          <w:rFonts w:ascii="Times New Roman" w:eastAsia="Times New Roman" w:hAnsi="Times New Roman"/>
          <w:sz w:val="24"/>
          <w:szCs w:val="24"/>
          <w:lang w:val="lv-LV" w:eastAsia="lv-LV" w:bidi="lv-LV"/>
        </w:rPr>
        <w:t>Gb</w:t>
      </w:r>
      <w:proofErr w:type="spellEnd"/>
      <w:r w:rsidR="00402BD6" w:rsidRPr="00402BD6">
        <w:rPr>
          <w:rFonts w:ascii="Times New Roman" w:eastAsia="Times New Roman" w:hAnsi="Times New Roman"/>
          <w:sz w:val="24"/>
          <w:szCs w:val="24"/>
          <w:lang w:val="lv-LV" w:eastAsia="lv-LV" w:bidi="lv-LV"/>
        </w:rPr>
        <w:t>/s)</w:t>
      </w:r>
      <w:r w:rsidR="00402BD6">
        <w:rPr>
          <w:rFonts w:ascii="Times New Roman" w:eastAsia="Times New Roman" w:hAnsi="Times New Roman"/>
          <w:sz w:val="24"/>
          <w:szCs w:val="24"/>
          <w:lang w:val="lv-LV" w:eastAsia="lv-LV" w:bidi="lv-LV"/>
        </w:rPr>
        <w:t xml:space="preserve">. Savukārt, </w:t>
      </w:r>
      <w:r w:rsidR="00402BD6" w:rsidRPr="00402BD6">
        <w:rPr>
          <w:rFonts w:ascii="Times New Roman" w:eastAsia="Times New Roman" w:hAnsi="Times New Roman"/>
          <w:sz w:val="24"/>
          <w:szCs w:val="24"/>
          <w:lang w:val="lv-LV" w:eastAsia="lv-LV" w:bidi="lv-LV"/>
        </w:rPr>
        <w:t>Paziņojumā par “digitālo kompasu” paredzēts</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 xml:space="preserve">līdz 2030. </w:t>
      </w:r>
      <w:r w:rsidR="00402BD6" w:rsidRPr="00402BD6">
        <w:rPr>
          <w:rFonts w:ascii="Times New Roman" w:eastAsia="Times New Roman" w:hAnsi="Times New Roman"/>
          <w:sz w:val="24"/>
          <w:szCs w:val="24"/>
          <w:lang w:val="lv-LV" w:eastAsia="lv-LV" w:bidi="lv-LV"/>
        </w:rPr>
        <w:lastRenderedPageBreak/>
        <w:t>gadam jānodrošina</w:t>
      </w:r>
      <w:r w:rsidR="00402BD6">
        <w:rPr>
          <w:rFonts w:ascii="Times New Roman" w:eastAsia="Times New Roman" w:hAnsi="Times New Roman"/>
          <w:sz w:val="24"/>
          <w:szCs w:val="24"/>
          <w:lang w:val="lv-LV" w:eastAsia="lv-LV" w:bidi="lv-LV"/>
        </w:rPr>
        <w:t>, ka</w:t>
      </w:r>
      <w:r w:rsidR="00402BD6" w:rsidRPr="00402BD6">
        <w:rPr>
          <w:rFonts w:ascii="Times New Roman" w:eastAsia="Times New Roman" w:hAnsi="Times New Roman"/>
          <w:sz w:val="24"/>
          <w:szCs w:val="24"/>
          <w:lang w:val="lv-LV" w:eastAsia="lv-LV" w:bidi="lv-LV"/>
        </w:rPr>
        <w:t xml:space="preserve"> visas</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Eiropas mājsaimniecības ir pieslēgtas gigabitos mērāmam tīklam un visās apdzīvotās</w:t>
      </w:r>
      <w:r w:rsidR="00402BD6">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vietās ir 5G pārklājums. DDPP priekšlikumā ir uzsvērts: “Sabiedrības vajadzības pēc</w:t>
      </w:r>
      <w:r w:rsidR="0078479A">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augšupielādes un lejupielādes joslas platuma pastāvīgi pieaug. Visām personām, kam</w:t>
      </w:r>
      <w:r w:rsidR="0078479A">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šāda jauda ir nepieciešama vai kas tādu vēlas, līdz 2030. gadam ar pienācīgiem</w:t>
      </w:r>
      <w:r w:rsidR="0078479A">
        <w:rPr>
          <w:rFonts w:ascii="Times New Roman" w:eastAsia="Times New Roman" w:hAnsi="Times New Roman"/>
          <w:sz w:val="24"/>
          <w:szCs w:val="24"/>
          <w:lang w:val="lv-LV" w:eastAsia="lv-LV" w:bidi="lv-LV"/>
        </w:rPr>
        <w:t xml:space="preserve"> </w:t>
      </w:r>
      <w:r w:rsidR="00402BD6" w:rsidRPr="00402BD6">
        <w:rPr>
          <w:rFonts w:ascii="Times New Roman" w:eastAsia="Times New Roman" w:hAnsi="Times New Roman"/>
          <w:sz w:val="24"/>
          <w:szCs w:val="24"/>
          <w:lang w:val="lv-LV" w:eastAsia="lv-LV" w:bidi="lv-LV"/>
        </w:rPr>
        <w:t>nosacījumiem būtu jāsaņem pieeja tīkliem ar gigabitu ātrumu.”</w:t>
      </w:r>
    </w:p>
    <w:p w14:paraId="107C0F72" w14:textId="71336116" w:rsidR="0078479A" w:rsidRPr="003956EC" w:rsidRDefault="0078479A" w:rsidP="00B01640">
      <w:pPr>
        <w:spacing w:before="120" w:after="0" w:line="240" w:lineRule="auto"/>
        <w:ind w:left="709"/>
        <w:jc w:val="both"/>
        <w:rPr>
          <w:rFonts w:ascii="Times New Roman" w:hAnsi="Times New Roman"/>
          <w:sz w:val="24"/>
          <w:szCs w:val="24"/>
          <w:lang w:val="lv-LV"/>
        </w:rPr>
      </w:pPr>
      <w:r w:rsidRPr="00A43198">
        <w:rPr>
          <w:rFonts w:ascii="Times New Roman" w:hAnsi="Times New Roman"/>
          <w:sz w:val="24"/>
          <w:szCs w:val="24"/>
          <w:lang w:val="lv-LV"/>
        </w:rPr>
        <w:t xml:space="preserve">Vienlaikus pasākumu atbalsta arī nacionālie augstāka līmeņa stratēģiskie dokumenti. Atbalsta pasākums tieši vērsts </w:t>
      </w:r>
      <w:r w:rsidR="00A43198" w:rsidRPr="00A43198">
        <w:rPr>
          <w:rFonts w:ascii="Times New Roman" w:hAnsi="Times New Roman"/>
          <w:sz w:val="24"/>
          <w:szCs w:val="24"/>
          <w:lang w:val="lv-LV"/>
        </w:rPr>
        <w:t xml:space="preserve">uz Latvijas ilgtspējīgas attīstības stratēģijā līdz 2030. gadam </w:t>
      </w:r>
      <w:r w:rsidR="00B01640">
        <w:rPr>
          <w:rFonts w:ascii="Times New Roman" w:hAnsi="Times New Roman"/>
          <w:sz w:val="24"/>
          <w:szCs w:val="24"/>
          <w:lang w:val="lv-LV"/>
        </w:rPr>
        <w:t xml:space="preserve">(ilgtermiņa plānošanas dokuments) </w:t>
      </w:r>
      <w:r w:rsidR="00A43198" w:rsidRPr="00A43198">
        <w:rPr>
          <w:rFonts w:ascii="Times New Roman" w:hAnsi="Times New Roman"/>
          <w:sz w:val="24"/>
          <w:szCs w:val="24"/>
          <w:lang w:val="lv-LV"/>
        </w:rPr>
        <w:t xml:space="preserve">minēto prioritāti par datu pārraides tīklu pārklājuma nodrošināšanu, kas rada stabilu un nepārtrauktu piekļuvi internetam un citām informācijas sistēmām visā valsts teritorijā, t.sk. īpaši ātras darbības platjoslas tīklu izveidi, nodrošinot, ka jebkurai mājsaimniecībai ir jābūt pieejamam augstas kvalitātes interneta </w:t>
      </w:r>
      <w:proofErr w:type="spellStart"/>
      <w:r w:rsidR="00A43198" w:rsidRPr="00A43198">
        <w:rPr>
          <w:rFonts w:ascii="Times New Roman" w:hAnsi="Times New Roman"/>
          <w:sz w:val="24"/>
          <w:szCs w:val="24"/>
          <w:lang w:val="lv-LV"/>
        </w:rPr>
        <w:t>pieslēgumam</w:t>
      </w:r>
      <w:proofErr w:type="spellEnd"/>
      <w:r w:rsidR="00A43198" w:rsidRPr="00A43198">
        <w:rPr>
          <w:rFonts w:ascii="Times New Roman" w:hAnsi="Times New Roman"/>
          <w:sz w:val="24"/>
          <w:szCs w:val="24"/>
          <w:lang w:val="lv-LV"/>
        </w:rPr>
        <w:t xml:space="preserve"> par samērīgu pakalpojuma izmantošanas cenu. Tāpat uzsvērts, ka jānodrošina līdzvērtīga pieeja informācijas un telekomunikāciju pakalpojumiem, t.sk. arī platjoslas internetam, visā valsts teritorijā, primāri attīstot šo pakalpojumu pieejamību lauku teritorijās un attālākos centros ar sliktākām satiksmes iespējām</w:t>
      </w:r>
      <w:r w:rsidRPr="00A43198">
        <w:rPr>
          <w:rFonts w:ascii="Times New Roman" w:hAnsi="Times New Roman"/>
          <w:sz w:val="24"/>
          <w:szCs w:val="24"/>
          <w:lang w:val="lv-LV"/>
        </w:rPr>
        <w:t>, kā arī Digitālās transformācijas pamatnostādnēs 2021. – 2027. gadam  noteiktajiem mērķiem.</w:t>
      </w:r>
    </w:p>
    <w:p w14:paraId="545076E1" w14:textId="5C26B953" w:rsidR="002D0E42" w:rsidRPr="0078479A" w:rsidRDefault="001B4611" w:rsidP="001B4611">
      <w:pPr>
        <w:spacing w:after="0" w:line="240" w:lineRule="auto"/>
        <w:ind w:left="709"/>
        <w:jc w:val="both"/>
        <w:rPr>
          <w:lang w:val="lv-LV"/>
        </w:rPr>
      </w:pPr>
      <w:r w:rsidRPr="0078479A">
        <w:rPr>
          <w:rFonts w:ascii="Times New Roman" w:eastAsia="Times New Roman" w:hAnsi="Times New Roman"/>
          <w:sz w:val="24"/>
          <w:szCs w:val="24"/>
          <w:lang w:val="lv-LV" w:eastAsia="lv-LV" w:bidi="lv-LV"/>
        </w:rPr>
        <w:t>Līdz ar to p</w:t>
      </w:r>
      <w:r w:rsidR="00493C68" w:rsidRPr="0078479A">
        <w:rPr>
          <w:rFonts w:ascii="Times New Roman" w:eastAsia="Times New Roman" w:hAnsi="Times New Roman"/>
          <w:sz w:val="24"/>
          <w:szCs w:val="24"/>
          <w:lang w:val="lv-LV" w:eastAsia="lv-LV" w:bidi="lv-LV"/>
        </w:rPr>
        <w:t xml:space="preserve">asākums ir iekļauts </w:t>
      </w:r>
      <w:r w:rsidR="002D0E42" w:rsidRPr="0078479A">
        <w:rPr>
          <w:rFonts w:ascii="Times New Roman" w:eastAsia="Times New Roman" w:hAnsi="Times New Roman"/>
          <w:sz w:val="24"/>
          <w:szCs w:val="24"/>
          <w:lang w:val="lv-LV" w:eastAsia="lv-LV" w:bidi="lv-LV"/>
        </w:rPr>
        <w:t xml:space="preserve">Elektronisko sakaru nozares attīstības plānā </w:t>
      </w:r>
      <w:r w:rsidR="00A43198">
        <w:rPr>
          <w:rFonts w:ascii="Times New Roman" w:eastAsia="Times New Roman" w:hAnsi="Times New Roman"/>
          <w:sz w:val="24"/>
          <w:szCs w:val="24"/>
          <w:lang w:val="lv-LV" w:eastAsia="lv-LV" w:bidi="lv-LV"/>
        </w:rPr>
        <w:br/>
      </w:r>
      <w:r w:rsidR="002D0E42" w:rsidRPr="0078479A">
        <w:rPr>
          <w:rFonts w:ascii="Times New Roman" w:eastAsia="Times New Roman" w:hAnsi="Times New Roman"/>
          <w:sz w:val="24"/>
          <w:szCs w:val="24"/>
          <w:lang w:val="lv-LV" w:eastAsia="lv-LV" w:bidi="lv-LV"/>
        </w:rPr>
        <w:t>2021. -2027. gadam</w:t>
      </w:r>
      <w:r w:rsidR="00B01640">
        <w:rPr>
          <w:rFonts w:ascii="Times New Roman" w:eastAsia="Times New Roman" w:hAnsi="Times New Roman"/>
          <w:sz w:val="24"/>
          <w:szCs w:val="24"/>
          <w:lang w:val="lv-LV" w:eastAsia="lv-LV" w:bidi="lv-LV"/>
        </w:rPr>
        <w:t xml:space="preserve"> (vidēja termiņa plānošanas dokuments)</w:t>
      </w:r>
      <w:r w:rsidR="002D0E42" w:rsidRPr="0078479A">
        <w:rPr>
          <w:rFonts w:ascii="Times New Roman" w:eastAsia="Times New Roman" w:hAnsi="Times New Roman"/>
          <w:sz w:val="24"/>
          <w:szCs w:val="24"/>
          <w:lang w:val="lv-LV" w:eastAsia="lv-LV" w:bidi="lv-LV"/>
        </w:rPr>
        <w:t xml:space="preserve">, kas ietver nacionālo platjoslas tīklu stratēģiju, t.sk. lai </w:t>
      </w:r>
      <w:r w:rsidR="002D0E42" w:rsidRPr="0078479A">
        <w:rPr>
          <w:rFonts w:ascii="Times New Roman" w:hAnsi="Times New Roman"/>
          <w:bCs/>
          <w:color w:val="000000"/>
          <w:sz w:val="24"/>
          <w:szCs w:val="24"/>
          <w:lang w:val="lv-LV"/>
        </w:rPr>
        <w:t xml:space="preserve">nodrošinot </w:t>
      </w:r>
      <w:r w:rsidR="002D0E42" w:rsidRPr="0078479A">
        <w:rPr>
          <w:rFonts w:ascii="Times New Roman" w:hAnsi="Times New Roman"/>
          <w:sz w:val="24"/>
          <w:szCs w:val="24"/>
          <w:lang w:val="lv-LV"/>
        </w:rPr>
        <w:t>2021. – 2027.gada plānošanas perioda Kopējā fondu regulā</w:t>
      </w:r>
      <w:r w:rsidR="002D0E42" w:rsidRPr="0078479A">
        <w:rPr>
          <w:rFonts w:ascii="Times New Roman" w:hAnsi="Times New Roman"/>
          <w:sz w:val="24"/>
          <w:szCs w:val="24"/>
          <w:vertAlign w:val="superscript"/>
        </w:rPr>
        <w:footnoteReference w:id="9"/>
      </w:r>
      <w:r w:rsidR="002D0E42" w:rsidRPr="0078479A">
        <w:rPr>
          <w:rFonts w:ascii="Times New Roman" w:hAnsi="Times New Roman"/>
          <w:sz w:val="24"/>
          <w:szCs w:val="24"/>
          <w:lang w:val="lv-LV"/>
        </w:rPr>
        <w:t xml:space="preserve"> noteiktā</w:t>
      </w:r>
      <w:r w:rsidR="002D0E42" w:rsidRPr="0078479A">
        <w:rPr>
          <w:rFonts w:ascii="Times New Roman" w:hAnsi="Times New Roman"/>
          <w:noProof/>
          <w:sz w:val="24"/>
          <w:szCs w:val="24"/>
          <w:lang w:val="lv-LV"/>
        </w:rPr>
        <w:t xml:space="preserve"> Politiskā mērķa Nr. 3 “Ciešāk savienota Eiropa, uzlabojot mobilitāti un reģionālo IKT savienotību” ieguldījuma priekšnosacījuma Nr.8 “Valsts vai reģionālais platjoslas plāns” </w:t>
      </w:r>
      <w:r w:rsidR="002D0E42" w:rsidRPr="0078479A">
        <w:rPr>
          <w:rFonts w:ascii="Times New Roman" w:hAnsi="Times New Roman"/>
          <w:sz w:val="24"/>
          <w:szCs w:val="24"/>
          <w:lang w:val="lv-LV"/>
        </w:rPr>
        <w:t xml:space="preserve"> izpildi.</w:t>
      </w:r>
      <w:r w:rsidR="002D0E42" w:rsidRPr="0078479A">
        <w:rPr>
          <w:lang w:val="lv-LV"/>
        </w:rPr>
        <w:t xml:space="preserve"> </w:t>
      </w:r>
    </w:p>
    <w:p w14:paraId="08B8F41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norādiet valsts iejaukšanās loģisko pamatu un izskaidrojiet paredzamos ieguvumus no atbalsta pasākuma (piemēram, saimnieciskos un sociālos ieguvumus, lielāku platjoslas pārklājumu un interneta izplatības pakāpi utt.).</w:t>
      </w:r>
    </w:p>
    <w:p w14:paraId="3A7A0B80" w14:textId="0A77188C" w:rsidR="007A127C" w:rsidRDefault="002D5574" w:rsidP="007A127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AE6862">
        <w:rPr>
          <w:rFonts w:ascii="Times New Roman" w:eastAsia="Times New Roman" w:hAnsi="Times New Roman"/>
          <w:sz w:val="24"/>
          <w:szCs w:val="24"/>
          <w:lang w:val="lv-LV" w:eastAsia="lv-LV" w:bidi="lv-LV"/>
        </w:rPr>
        <w:t xml:space="preserve">Skat. pamatformas 6.2.punktu. </w:t>
      </w:r>
      <w:r w:rsidR="007A127C" w:rsidRPr="00AE6862">
        <w:rPr>
          <w:rFonts w:ascii="Times New Roman" w:eastAsia="Times New Roman" w:hAnsi="Times New Roman"/>
          <w:sz w:val="24"/>
          <w:szCs w:val="24"/>
          <w:lang w:val="lv-LV" w:eastAsia="lv-LV" w:bidi="lv-LV"/>
        </w:rPr>
        <w:t xml:space="preserve">Valsts iejaukšanās loģiskais pamats ir fakts, ka tirgus nenodrošina pietiekamu platjoslas pārklājumu </w:t>
      </w:r>
      <w:r w:rsidR="001B4611" w:rsidRPr="00AE6862">
        <w:rPr>
          <w:rFonts w:ascii="Times New Roman" w:eastAsia="Times New Roman" w:hAnsi="Times New Roman"/>
          <w:sz w:val="24"/>
          <w:szCs w:val="24"/>
          <w:lang w:val="lv-LV" w:eastAsia="lv-LV" w:bidi="lv-LV"/>
        </w:rPr>
        <w:t>teritorijā</w:t>
      </w:r>
      <w:r w:rsidR="00AE6862" w:rsidRPr="00AE6862">
        <w:rPr>
          <w:rFonts w:ascii="Times New Roman" w:eastAsia="Times New Roman" w:hAnsi="Times New Roman"/>
          <w:sz w:val="24"/>
          <w:szCs w:val="24"/>
          <w:lang w:val="lv-LV" w:eastAsia="lv-LV" w:bidi="lv-LV"/>
        </w:rPr>
        <w:t>s</w:t>
      </w:r>
      <w:r w:rsidR="00B246AE" w:rsidRPr="00AE6862">
        <w:rPr>
          <w:rFonts w:ascii="Times New Roman" w:eastAsia="Times New Roman" w:hAnsi="Times New Roman"/>
          <w:sz w:val="24"/>
          <w:szCs w:val="24"/>
          <w:lang w:val="lv-LV" w:eastAsia="lv-LV" w:bidi="lv-LV"/>
        </w:rPr>
        <w:t>, kur ir</w:t>
      </w:r>
      <w:r w:rsidR="007A127C" w:rsidRPr="00AE6862">
        <w:rPr>
          <w:rFonts w:ascii="Times New Roman" w:eastAsia="Times New Roman" w:hAnsi="Times New Roman"/>
          <w:sz w:val="24"/>
          <w:szCs w:val="24"/>
          <w:lang w:val="lv-LV" w:eastAsia="lv-LV" w:bidi="lv-LV"/>
        </w:rPr>
        <w:t xml:space="preserve"> salīdzinoši maz</w:t>
      </w:r>
      <w:r w:rsidR="00B246AE" w:rsidRPr="00AE6862">
        <w:rPr>
          <w:rFonts w:ascii="Times New Roman" w:eastAsia="Times New Roman" w:hAnsi="Times New Roman"/>
          <w:sz w:val="24"/>
          <w:szCs w:val="24"/>
          <w:lang w:val="lv-LV" w:eastAsia="lv-LV" w:bidi="lv-LV"/>
        </w:rPr>
        <w:t>s</w:t>
      </w:r>
      <w:r w:rsidR="007A127C" w:rsidRPr="00AE6862">
        <w:rPr>
          <w:rFonts w:ascii="Times New Roman" w:eastAsia="Times New Roman" w:hAnsi="Times New Roman"/>
          <w:sz w:val="24"/>
          <w:szCs w:val="24"/>
          <w:lang w:val="lv-LV" w:eastAsia="lv-LV" w:bidi="lv-LV"/>
        </w:rPr>
        <w:t xml:space="preserve"> iedzīvotāju blīvum</w:t>
      </w:r>
      <w:r w:rsidR="00B246AE" w:rsidRPr="00AE6862">
        <w:rPr>
          <w:rFonts w:ascii="Times New Roman" w:eastAsia="Times New Roman" w:hAnsi="Times New Roman"/>
          <w:sz w:val="24"/>
          <w:szCs w:val="24"/>
          <w:lang w:val="lv-LV" w:eastAsia="lv-LV" w:bidi="lv-LV"/>
        </w:rPr>
        <w:t>s</w:t>
      </w:r>
      <w:r w:rsidR="004B636A" w:rsidRPr="00AE6862">
        <w:rPr>
          <w:rFonts w:ascii="Times New Roman" w:eastAsia="Times New Roman" w:hAnsi="Times New Roman"/>
          <w:sz w:val="24"/>
          <w:szCs w:val="24"/>
          <w:lang w:val="lv-LV" w:eastAsia="lv-LV" w:bidi="lv-LV"/>
        </w:rPr>
        <w:t>, proti, t</w:t>
      </w:r>
      <w:r w:rsidR="008D477E" w:rsidRPr="00AE6862">
        <w:rPr>
          <w:rFonts w:ascii="Times New Roman" w:eastAsia="Times New Roman" w:hAnsi="Times New Roman"/>
          <w:sz w:val="24"/>
          <w:szCs w:val="24"/>
          <w:lang w:val="lv-LV" w:eastAsia="lv-LV" w:bidi="lv-LV"/>
        </w:rPr>
        <w:t xml:space="preserve">irgus nepilnība pastāv, jo nav </w:t>
      </w:r>
      <w:r w:rsidR="00AE6862" w:rsidRPr="00AE6862">
        <w:rPr>
          <w:rFonts w:ascii="Times New Roman" w:eastAsia="Times New Roman" w:hAnsi="Times New Roman"/>
          <w:sz w:val="24"/>
          <w:szCs w:val="24"/>
          <w:lang w:val="lv-LV" w:eastAsia="lv-LV" w:bidi="lv-LV"/>
        </w:rPr>
        <w:t>pakalpojuma sniedzēja</w:t>
      </w:r>
      <w:r w:rsidR="008D477E" w:rsidRPr="00AE6862">
        <w:rPr>
          <w:rFonts w:ascii="Times New Roman" w:eastAsia="Times New Roman" w:hAnsi="Times New Roman"/>
          <w:sz w:val="24"/>
          <w:szCs w:val="24"/>
          <w:lang w:val="lv-LV" w:eastAsia="lv-LV" w:bidi="lv-LV"/>
        </w:rPr>
        <w:t>, kur</w:t>
      </w:r>
      <w:r w:rsidR="00AE6862" w:rsidRPr="00AE6862">
        <w:rPr>
          <w:rFonts w:ascii="Times New Roman" w:eastAsia="Times New Roman" w:hAnsi="Times New Roman"/>
          <w:sz w:val="24"/>
          <w:szCs w:val="24"/>
          <w:lang w:val="lv-LV" w:eastAsia="lv-LV" w:bidi="lv-LV"/>
        </w:rPr>
        <w:t xml:space="preserve">š </w:t>
      </w:r>
      <w:r w:rsidR="008D477E" w:rsidRPr="00AE6862">
        <w:rPr>
          <w:rFonts w:ascii="Times New Roman" w:eastAsia="Times New Roman" w:hAnsi="Times New Roman"/>
          <w:sz w:val="24"/>
          <w:szCs w:val="24"/>
          <w:lang w:val="lv-LV" w:eastAsia="lv-LV" w:bidi="lv-LV"/>
        </w:rPr>
        <w:t xml:space="preserve">spēj nodrošināt </w:t>
      </w:r>
      <w:r w:rsidR="00AE6862" w:rsidRPr="00AE6862">
        <w:rPr>
          <w:rFonts w:ascii="Times New Roman" w:eastAsia="Times New Roman" w:hAnsi="Times New Roman"/>
          <w:sz w:val="24"/>
          <w:szCs w:val="24"/>
          <w:lang w:val="lv-LV" w:eastAsia="lv-LV" w:bidi="lv-LV"/>
        </w:rPr>
        <w:t>piekļuvi ļoti augstas</w:t>
      </w:r>
      <w:r w:rsidR="008D477E" w:rsidRPr="00AE6862">
        <w:rPr>
          <w:rFonts w:ascii="Times New Roman" w:eastAsia="Times New Roman" w:hAnsi="Times New Roman"/>
          <w:sz w:val="24"/>
          <w:szCs w:val="24"/>
          <w:lang w:val="lv-LV" w:eastAsia="lv-LV" w:bidi="lv-LV"/>
        </w:rPr>
        <w:t xml:space="preserve"> veiktspējas </w:t>
      </w:r>
      <w:r w:rsidR="00AE6862" w:rsidRPr="00AE6862">
        <w:rPr>
          <w:rFonts w:ascii="Times New Roman" w:eastAsia="Times New Roman" w:hAnsi="Times New Roman"/>
          <w:sz w:val="24"/>
          <w:szCs w:val="24"/>
          <w:lang w:val="lv-LV" w:eastAsia="lv-LV" w:bidi="lv-LV"/>
        </w:rPr>
        <w:t>tīklam</w:t>
      </w:r>
      <w:r w:rsidR="00967438">
        <w:rPr>
          <w:rFonts w:ascii="Times New Roman" w:eastAsia="Times New Roman" w:hAnsi="Times New Roman"/>
          <w:sz w:val="24"/>
          <w:szCs w:val="24"/>
          <w:lang w:val="lv-LV" w:eastAsia="lv-LV" w:bidi="lv-LV"/>
        </w:rPr>
        <w:t xml:space="preserve"> (turpmāk – </w:t>
      </w:r>
      <w:r w:rsidR="00967438" w:rsidRPr="00E2361C">
        <w:rPr>
          <w:rFonts w:ascii="Times New Roman" w:eastAsia="Times New Roman" w:hAnsi="Times New Roman"/>
          <w:sz w:val="24"/>
          <w:szCs w:val="24"/>
          <w:lang w:val="lv-LV" w:eastAsia="lv-LV" w:bidi="lv-LV"/>
        </w:rPr>
        <w:t>VHCN</w:t>
      </w:r>
      <w:r w:rsidR="00967438">
        <w:rPr>
          <w:rFonts w:ascii="Times New Roman" w:eastAsia="Times New Roman" w:hAnsi="Times New Roman"/>
          <w:sz w:val="24"/>
          <w:szCs w:val="24"/>
          <w:lang w:val="lv-LV" w:eastAsia="lv-LV" w:bidi="lv-LV"/>
        </w:rPr>
        <w:t>)</w:t>
      </w:r>
      <w:r w:rsidR="00AE6862" w:rsidRPr="00AE6862">
        <w:rPr>
          <w:rFonts w:ascii="Times New Roman" w:eastAsia="Times New Roman" w:hAnsi="Times New Roman"/>
          <w:sz w:val="24"/>
          <w:szCs w:val="24"/>
          <w:lang w:val="lv-LV" w:eastAsia="lv-LV" w:bidi="lv-LV"/>
        </w:rPr>
        <w:t xml:space="preserve">. </w:t>
      </w:r>
    </w:p>
    <w:p w14:paraId="7A352692" w14:textId="5F61C87F" w:rsidR="00E2361C" w:rsidRPr="00E2361C" w:rsidRDefault="00E2361C" w:rsidP="00E2361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E2361C">
        <w:rPr>
          <w:rFonts w:ascii="Times New Roman" w:eastAsia="Times New Roman" w:hAnsi="Times New Roman"/>
          <w:sz w:val="24"/>
          <w:szCs w:val="24"/>
          <w:lang w:val="lv-LV" w:eastAsia="lv-LV" w:bidi="lv-LV"/>
        </w:rPr>
        <w:t>Sagaidāmie saimnieciskie un sociālie ieguvumi no atbalsta pasākumiem</w:t>
      </w:r>
      <w:r w:rsidR="00695024">
        <w:rPr>
          <w:rFonts w:ascii="Times New Roman" w:eastAsia="Times New Roman" w:hAnsi="Times New Roman"/>
          <w:sz w:val="24"/>
          <w:szCs w:val="24"/>
          <w:lang w:val="lv-LV" w:eastAsia="lv-LV" w:bidi="lv-LV"/>
        </w:rPr>
        <w:t>:</w:t>
      </w:r>
    </w:p>
    <w:p w14:paraId="6415A9C5" w14:textId="5FDE6C2D" w:rsidR="00E2361C" w:rsidRPr="00E2361C" w:rsidRDefault="00E2361C" w:rsidP="00E2361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E2361C">
        <w:rPr>
          <w:rFonts w:ascii="Times New Roman" w:eastAsia="Times New Roman" w:hAnsi="Times New Roman"/>
          <w:sz w:val="24"/>
          <w:szCs w:val="24"/>
          <w:lang w:val="lv-LV" w:eastAsia="lv-LV" w:bidi="lv-LV"/>
        </w:rPr>
        <w:t xml:space="preserve">Realizējot plānotos valsts atbalsta pasākumus, tiktu radīta platjoslas tīklu infrastruktūra, kura nodrošina </w:t>
      </w:r>
      <w:r w:rsidR="001F036E">
        <w:rPr>
          <w:rFonts w:ascii="Times New Roman" w:eastAsia="Times New Roman" w:hAnsi="Times New Roman"/>
          <w:sz w:val="24"/>
          <w:szCs w:val="24"/>
          <w:lang w:val="lv-LV" w:eastAsia="lv-LV" w:bidi="lv-LV"/>
        </w:rPr>
        <w:t>VHCN</w:t>
      </w:r>
      <w:r w:rsidR="00452E02">
        <w:rPr>
          <w:rFonts w:ascii="Times New Roman" w:eastAsia="Times New Roman" w:hAnsi="Times New Roman"/>
          <w:sz w:val="24"/>
          <w:szCs w:val="24"/>
          <w:lang w:val="lv-LV" w:eastAsia="lv-LV" w:bidi="lv-LV"/>
        </w:rPr>
        <w:t xml:space="preserve"> </w:t>
      </w:r>
      <w:r w:rsidRPr="00E2361C">
        <w:rPr>
          <w:rFonts w:ascii="Times New Roman" w:eastAsia="Times New Roman" w:hAnsi="Times New Roman"/>
          <w:sz w:val="24"/>
          <w:szCs w:val="24"/>
          <w:lang w:val="lv-LV" w:eastAsia="lv-LV" w:bidi="lv-LV"/>
        </w:rPr>
        <w:t>pieejamību gala lietotājiem – sociāli ekonomiskajiem virzītājspēkiem, uzņēmumiem un iedzīvotājiem. Jaunās interaktīvās komunikāciju iespējas (ieskaitot video sarunas) būtu sociāls ieguvums.</w:t>
      </w:r>
    </w:p>
    <w:p w14:paraId="2E1ED8CA" w14:textId="346033EB" w:rsidR="00E2361C" w:rsidRPr="00E2361C" w:rsidRDefault="00E2361C" w:rsidP="00E2361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E2361C">
        <w:rPr>
          <w:rFonts w:ascii="Times New Roman" w:eastAsia="Times New Roman" w:hAnsi="Times New Roman"/>
          <w:sz w:val="24"/>
          <w:szCs w:val="24"/>
          <w:lang w:val="lv-LV" w:eastAsia="lv-LV" w:bidi="lv-LV"/>
        </w:rPr>
        <w:t>Interneta pieejamības uzlabošana noteiktās teritorijās ar valsts atbalsta palīdzību dos iespējas uzņēmumiem piedāvāt jaunus inovatīvus pakalpojumus, tiks veicinātas attālināta darba iespējas, kā arī tiks veicināta teritorijas attīstību, vairāk iedzīvotājiem izvēloties dzīvot šajās teritorijās.</w:t>
      </w:r>
    </w:p>
    <w:p w14:paraId="706F7846" w14:textId="77777777" w:rsidR="00E2361C" w:rsidRPr="00E2361C" w:rsidRDefault="00E2361C" w:rsidP="00E2361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E2361C">
        <w:rPr>
          <w:rFonts w:ascii="Times New Roman" w:eastAsia="Times New Roman" w:hAnsi="Times New Roman"/>
          <w:sz w:val="24"/>
          <w:szCs w:val="24"/>
          <w:lang w:val="lv-LV" w:eastAsia="lv-LV" w:bidi="lv-LV"/>
        </w:rPr>
        <w:lastRenderedPageBreak/>
        <w:t>Ātrgaitas tīklu pieejamība dos iespējas iedzīvotājiem izmantot tiešsaistes pakalpojumus un saņemt pakalpojumus no valsts un pašvaldību iestādēm, kā arī mācīties attālināti.</w:t>
      </w:r>
    </w:p>
    <w:p w14:paraId="7F660CC9" w14:textId="77777777" w:rsidR="00E2361C" w:rsidRPr="00E2361C" w:rsidRDefault="00E2361C" w:rsidP="00E2361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E2361C">
        <w:rPr>
          <w:rFonts w:ascii="Times New Roman" w:eastAsia="Times New Roman" w:hAnsi="Times New Roman"/>
          <w:sz w:val="24"/>
          <w:szCs w:val="24"/>
          <w:lang w:val="lv-LV" w:eastAsia="lv-LV" w:bidi="lv-LV"/>
        </w:rPr>
        <w:t xml:space="preserve">Interneta pieejamības uzlabošana sociālekonomiskajiem virzītājspēkiem palīdzēs nodrošināt iedzīvotājiem labākus pakalpojumus, piemēram, izglītības, veselības kultūras, kā arī veicinās ekonomisko izaugsmi. </w:t>
      </w:r>
    </w:p>
    <w:p w14:paraId="1ACFB0EF" w14:textId="090588DD" w:rsidR="00E2361C" w:rsidRPr="00A814CE" w:rsidRDefault="00E2361C" w:rsidP="00E2361C">
      <w:pPr>
        <w:tabs>
          <w:tab w:val="left" w:leader="dot" w:pos="9072"/>
        </w:tabs>
        <w:spacing w:before="120" w:after="120" w:line="240" w:lineRule="auto"/>
        <w:ind w:left="709"/>
        <w:jc w:val="both"/>
        <w:rPr>
          <w:rFonts w:ascii="Times New Roman" w:eastAsia="Times New Roman" w:hAnsi="Times New Roman"/>
          <w:sz w:val="24"/>
          <w:szCs w:val="24"/>
          <w:highlight w:val="cyan"/>
          <w:lang w:val="lv-LV" w:eastAsia="lv-LV" w:bidi="lv-LV"/>
        </w:rPr>
      </w:pPr>
      <w:r w:rsidRPr="00E2361C">
        <w:rPr>
          <w:rFonts w:ascii="Times New Roman" w:eastAsia="Times New Roman" w:hAnsi="Times New Roman"/>
          <w:sz w:val="24"/>
          <w:szCs w:val="24"/>
          <w:lang w:val="lv-LV" w:eastAsia="lv-LV" w:bidi="lv-LV"/>
        </w:rPr>
        <w:t>Atbalsta pasākumi nodrošinātu arī infrastruktūru mobilo tīklu izveidei teritorijās, kur to pārklājums šobrīd ir nepietiekams. Tas nodrošinātu mobilos sakarus un interneta pieejamību, sniedzot augstāk minētos ieguvumus vismaz ierobežotā apjomā.</w:t>
      </w:r>
    </w:p>
    <w:p w14:paraId="6E9CEC45" w14:textId="77777777" w:rsidR="00925B0D" w:rsidRPr="00C218FD" w:rsidRDefault="008A6801"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Investīciju ieguldījumi</w:t>
      </w:r>
      <w:r w:rsidR="00925B0D" w:rsidRPr="00C218FD">
        <w:rPr>
          <w:rFonts w:ascii="Times New Roman" w:eastAsia="Times New Roman" w:hAnsi="Times New Roman"/>
          <w:sz w:val="24"/>
          <w:szCs w:val="24"/>
          <w:lang w:val="lv-LV" w:eastAsia="lv-LV" w:bidi="lv-LV"/>
        </w:rPr>
        <w:t xml:space="preserve"> nodrošinās </w:t>
      </w:r>
      <w:r w:rsidRPr="00C218FD">
        <w:rPr>
          <w:rFonts w:ascii="Times New Roman" w:eastAsia="Times New Roman" w:hAnsi="Times New Roman"/>
          <w:sz w:val="24"/>
          <w:szCs w:val="24"/>
          <w:lang w:val="lv-LV" w:eastAsia="lv-LV" w:bidi="lv-LV"/>
        </w:rPr>
        <w:t>at</w:t>
      </w:r>
      <w:r w:rsidR="00925B0D" w:rsidRPr="00C218FD">
        <w:rPr>
          <w:rFonts w:ascii="Times New Roman" w:eastAsia="Times New Roman" w:hAnsi="Times New Roman"/>
          <w:sz w:val="24"/>
          <w:szCs w:val="24"/>
          <w:lang w:val="lv-LV" w:eastAsia="lv-LV" w:bidi="lv-LV"/>
        </w:rPr>
        <w:t>balstu un nākotnes iespēj</w:t>
      </w:r>
      <w:r w:rsidRPr="00C218FD">
        <w:rPr>
          <w:rFonts w:ascii="Times New Roman" w:eastAsia="Times New Roman" w:hAnsi="Times New Roman"/>
          <w:sz w:val="24"/>
          <w:szCs w:val="24"/>
          <w:lang w:val="lv-LV" w:eastAsia="lv-LV" w:bidi="lv-LV"/>
        </w:rPr>
        <w:t>as turpmākai tehnoloģiju attīstībai</w:t>
      </w:r>
      <w:r w:rsidR="00925B0D" w:rsidRPr="00C218FD">
        <w:rPr>
          <w:rFonts w:ascii="Times New Roman" w:eastAsia="Times New Roman" w:hAnsi="Times New Roman"/>
          <w:sz w:val="24"/>
          <w:szCs w:val="24"/>
          <w:lang w:val="lv-LV" w:eastAsia="lv-LV" w:bidi="lv-LV"/>
        </w:rPr>
        <w:t>:</w:t>
      </w:r>
    </w:p>
    <w:p w14:paraId="3054B6BE" w14:textId="534F4769" w:rsidR="00925B0D" w:rsidRPr="00C218F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 tiek samazināti šķēršļi ienākšanai tirgū</w:t>
      </w:r>
      <w:r w:rsidR="006D6004" w:rsidRPr="00C218FD">
        <w:rPr>
          <w:rFonts w:ascii="Times New Roman" w:eastAsia="Times New Roman" w:hAnsi="Times New Roman"/>
          <w:sz w:val="24"/>
          <w:szCs w:val="24"/>
          <w:lang w:val="lv-LV" w:eastAsia="lv-LV" w:bidi="lv-LV"/>
        </w:rPr>
        <w:t xml:space="preserve"> mazapdzīvotās teritorijās</w:t>
      </w:r>
      <w:r w:rsidRPr="00C218FD">
        <w:rPr>
          <w:rFonts w:ascii="Times New Roman" w:eastAsia="Times New Roman" w:hAnsi="Times New Roman"/>
          <w:sz w:val="24"/>
          <w:szCs w:val="24"/>
          <w:lang w:val="lv-LV" w:eastAsia="lv-LV" w:bidi="lv-LV"/>
        </w:rPr>
        <w:t>;</w:t>
      </w:r>
    </w:p>
    <w:p w14:paraId="3CF37296" w14:textId="528E76DC" w:rsidR="00925B0D" w:rsidRPr="00C218F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 tiek veicināta konkurence</w:t>
      </w:r>
      <w:r w:rsidR="004B636A" w:rsidRPr="00C218FD">
        <w:rPr>
          <w:rFonts w:ascii="Times New Roman" w:eastAsia="Times New Roman" w:hAnsi="Times New Roman"/>
          <w:sz w:val="24"/>
          <w:szCs w:val="24"/>
          <w:lang w:val="lv-LV" w:eastAsia="lv-LV" w:bidi="lv-LV"/>
        </w:rPr>
        <w:t xml:space="preserve">, proti, </w:t>
      </w:r>
      <w:r w:rsidRPr="00C218FD">
        <w:rPr>
          <w:rFonts w:ascii="Times New Roman" w:eastAsia="Times New Roman" w:hAnsi="Times New Roman"/>
          <w:sz w:val="24"/>
          <w:szCs w:val="24"/>
          <w:lang w:val="lv-LV" w:eastAsia="lv-LV" w:bidi="lv-LV"/>
        </w:rPr>
        <w:t xml:space="preserve">tiek radīta vide, kurā </w:t>
      </w:r>
      <w:r w:rsidR="006D6004" w:rsidRPr="00C218FD">
        <w:rPr>
          <w:rFonts w:ascii="Times New Roman" w:eastAsia="Times New Roman" w:hAnsi="Times New Roman"/>
          <w:sz w:val="24"/>
          <w:szCs w:val="24"/>
          <w:lang w:val="lv-LV" w:eastAsia="lv-LV" w:bidi="lv-LV"/>
        </w:rPr>
        <w:t xml:space="preserve">elektronisko sakaru </w:t>
      </w:r>
      <w:r w:rsidRPr="00C218FD">
        <w:rPr>
          <w:rFonts w:ascii="Times New Roman" w:eastAsia="Times New Roman" w:hAnsi="Times New Roman"/>
          <w:sz w:val="24"/>
          <w:szCs w:val="24"/>
          <w:lang w:val="lv-LV" w:eastAsia="lv-LV" w:bidi="lv-LV"/>
        </w:rPr>
        <w:t>operatori varēs konkurēt savā starpā, izmantojot vienādus vairumtirdzniecības pakalpojumu nosacījumus;</w:t>
      </w:r>
    </w:p>
    <w:p w14:paraId="627FBCFB" w14:textId="77777777" w:rsidR="00925B0D" w:rsidRPr="00C218F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 mazie operatori, kas sniedz pakalpojumus tikai lauku apvidos, varēs konkurēt ar operatoriem, kuriem ir būtiska ietekme elektronisko sakaru tirgū;</w:t>
      </w:r>
    </w:p>
    <w:p w14:paraId="5981D6E1" w14:textId="77777777" w:rsidR="00925B0D" w:rsidRPr="00C218F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 pakalpojumu kvalitātes un stabilitātes uzlabošan</w:t>
      </w:r>
      <w:r w:rsidR="009C5030" w:rsidRPr="00C218FD">
        <w:rPr>
          <w:rFonts w:ascii="Times New Roman" w:eastAsia="Times New Roman" w:hAnsi="Times New Roman"/>
          <w:sz w:val="24"/>
          <w:szCs w:val="24"/>
          <w:lang w:val="lv-LV" w:eastAsia="lv-LV" w:bidi="lv-LV"/>
        </w:rPr>
        <w:t>ās</w:t>
      </w:r>
      <w:r w:rsidRPr="00C218FD">
        <w:rPr>
          <w:rFonts w:ascii="Times New Roman" w:eastAsia="Times New Roman" w:hAnsi="Times New Roman"/>
          <w:sz w:val="24"/>
          <w:szCs w:val="24"/>
          <w:lang w:val="lv-LV" w:eastAsia="lv-LV" w:bidi="lv-LV"/>
        </w:rPr>
        <w:t xml:space="preserve">, jo </w:t>
      </w:r>
      <w:r w:rsidR="00F416D7" w:rsidRPr="00C218FD">
        <w:rPr>
          <w:rFonts w:ascii="Times New Roman" w:eastAsia="Times New Roman" w:hAnsi="Times New Roman"/>
          <w:sz w:val="24"/>
          <w:szCs w:val="24"/>
          <w:lang w:val="lv-LV" w:eastAsia="lv-LV" w:bidi="lv-LV"/>
        </w:rPr>
        <w:t>tiks</w:t>
      </w:r>
      <w:r w:rsidRPr="00C218FD">
        <w:rPr>
          <w:rFonts w:ascii="Times New Roman" w:eastAsia="Times New Roman" w:hAnsi="Times New Roman"/>
          <w:sz w:val="24"/>
          <w:szCs w:val="24"/>
          <w:lang w:val="lv-LV" w:eastAsia="lv-LV" w:bidi="lv-LV"/>
        </w:rPr>
        <w:t xml:space="preserve"> nodrošināta augstāka datu pārraides kvalitāte un stabilitāte</w:t>
      </w:r>
      <w:r w:rsidR="00F416D7" w:rsidRPr="00C218FD">
        <w:rPr>
          <w:rFonts w:ascii="Times New Roman" w:eastAsia="Times New Roman" w:hAnsi="Times New Roman"/>
          <w:sz w:val="24"/>
          <w:szCs w:val="24"/>
          <w:lang w:val="lv-LV" w:eastAsia="lv-LV" w:bidi="lv-LV"/>
        </w:rPr>
        <w:t>, nekā to nodrošina 4G tehnoloģijas;</w:t>
      </w:r>
    </w:p>
    <w:p w14:paraId="300FB79D" w14:textId="77777777" w:rsidR="00925B0D" w:rsidRPr="00C218FD" w:rsidRDefault="00E40E54"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w:t>
      </w:r>
      <w:r w:rsidR="00026A57" w:rsidRPr="00C218FD">
        <w:rPr>
          <w:rFonts w:ascii="Times New Roman" w:eastAsia="Times New Roman" w:hAnsi="Times New Roman"/>
          <w:sz w:val="24"/>
          <w:szCs w:val="24"/>
          <w:lang w:val="lv-LV" w:eastAsia="lv-LV" w:bidi="lv-LV"/>
        </w:rPr>
        <w:t xml:space="preserve">Ļoti augstas </w:t>
      </w:r>
      <w:proofErr w:type="spellStart"/>
      <w:r w:rsidR="00026A57" w:rsidRPr="00C218FD">
        <w:rPr>
          <w:rFonts w:ascii="Times New Roman" w:eastAsia="Times New Roman" w:hAnsi="Times New Roman"/>
          <w:sz w:val="24"/>
          <w:szCs w:val="24"/>
          <w:lang w:val="lv-LV" w:eastAsia="lv-LV" w:bidi="lv-LV"/>
        </w:rPr>
        <w:t>veikstpējas</w:t>
      </w:r>
      <w:proofErr w:type="spellEnd"/>
      <w:r w:rsidR="00925B0D" w:rsidRPr="00C218FD">
        <w:rPr>
          <w:rFonts w:ascii="Times New Roman" w:eastAsia="Times New Roman" w:hAnsi="Times New Roman"/>
          <w:sz w:val="24"/>
          <w:szCs w:val="24"/>
          <w:lang w:val="lv-LV" w:eastAsia="lv-LV" w:bidi="lv-LV"/>
        </w:rPr>
        <w:t xml:space="preserve"> platjoslas interneta pakalpojumu plašāka izplatība:</w:t>
      </w:r>
    </w:p>
    <w:p w14:paraId="6603C073" w14:textId="77777777" w:rsidR="00925B0D" w:rsidRPr="00C218F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 veicinās jaunā multivides satura un e-pakalpojumu attīstību.</w:t>
      </w:r>
    </w:p>
    <w:p w14:paraId="38FAE162" w14:textId="77777777" w:rsidR="00925B0D" w:rsidRPr="00C218F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 stiprinās Latvijas darbinieku un uzņēmumu konkurētspēju – biznesa attīstību ārpus pilsētām un pilsētām;</w:t>
      </w:r>
    </w:p>
    <w:p w14:paraId="0BA52BC5" w14:textId="77777777" w:rsidR="00925B0D" w:rsidRPr="00C218F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 tas var veicināt informācijas un sakaru tehnoloģiju ieguldījumu visu tautsaimniecības nozaru izaugsmē un veicināt inovācij</w:t>
      </w:r>
      <w:r w:rsidR="00026A57" w:rsidRPr="00C218FD">
        <w:rPr>
          <w:rFonts w:ascii="Times New Roman" w:eastAsia="Times New Roman" w:hAnsi="Times New Roman"/>
          <w:sz w:val="24"/>
          <w:szCs w:val="24"/>
          <w:lang w:val="lv-LV" w:eastAsia="lv-LV" w:bidi="lv-LV"/>
        </w:rPr>
        <w:t>as</w:t>
      </w:r>
      <w:r w:rsidRPr="00C218FD">
        <w:rPr>
          <w:rFonts w:ascii="Times New Roman" w:eastAsia="Times New Roman" w:hAnsi="Times New Roman"/>
          <w:sz w:val="24"/>
          <w:szCs w:val="24"/>
          <w:lang w:val="lv-LV" w:eastAsia="lv-LV" w:bidi="lv-LV"/>
        </w:rPr>
        <w:t>, vienlaikus veicinot sociālo un teritoriālo kohēziju;</w:t>
      </w:r>
    </w:p>
    <w:p w14:paraId="5A8CDCC3" w14:textId="77777777" w:rsidR="00925B0D" w:rsidRPr="009B1719"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218FD">
        <w:rPr>
          <w:rFonts w:ascii="Times New Roman" w:eastAsia="Times New Roman" w:hAnsi="Times New Roman"/>
          <w:sz w:val="24"/>
          <w:szCs w:val="24"/>
          <w:lang w:val="lv-LV" w:eastAsia="lv-LV" w:bidi="lv-LV"/>
        </w:rPr>
        <w:t xml:space="preserve">• </w:t>
      </w:r>
      <w:r w:rsidR="00026A57" w:rsidRPr="00C218FD">
        <w:rPr>
          <w:rFonts w:ascii="Times New Roman" w:eastAsia="Times New Roman" w:hAnsi="Times New Roman"/>
          <w:sz w:val="24"/>
          <w:szCs w:val="24"/>
          <w:lang w:val="lv-LV" w:eastAsia="lv-LV" w:bidi="lv-LV"/>
        </w:rPr>
        <w:t>investīciju ieguldījumi</w:t>
      </w:r>
      <w:r w:rsidRPr="00C218FD">
        <w:rPr>
          <w:rFonts w:ascii="Times New Roman" w:eastAsia="Times New Roman" w:hAnsi="Times New Roman"/>
          <w:sz w:val="24"/>
          <w:szCs w:val="24"/>
          <w:lang w:val="lv-LV" w:eastAsia="lv-LV" w:bidi="lv-LV"/>
        </w:rPr>
        <w:t xml:space="preserve"> atbalstīs projektus, kas īstenojami saistītajās tautsaimniecības nozarēs, nodrošinot augošajām </w:t>
      </w:r>
      <w:r w:rsidRPr="009B1719">
        <w:rPr>
          <w:rFonts w:ascii="Times New Roman" w:eastAsia="Times New Roman" w:hAnsi="Times New Roman"/>
          <w:sz w:val="24"/>
          <w:szCs w:val="24"/>
          <w:lang w:val="lv-LV" w:eastAsia="lv-LV" w:bidi="lv-LV"/>
        </w:rPr>
        <w:t>prasībām un pieprasījumam atbilstošu tīkla infrastruktūru un pakalpojumus informācijas un telekomunikāciju (IKT) jomā.</w:t>
      </w:r>
    </w:p>
    <w:p w14:paraId="74735B9F" w14:textId="2B1D0C5D" w:rsidR="008A6801" w:rsidRPr="009B1719" w:rsidRDefault="008A6801" w:rsidP="008A6801">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9B1719">
        <w:rPr>
          <w:rFonts w:ascii="Times New Roman" w:eastAsia="Times New Roman" w:hAnsi="Times New Roman"/>
          <w:sz w:val="24"/>
          <w:szCs w:val="24"/>
          <w:lang w:val="lv-LV" w:eastAsia="lv-LV" w:bidi="lv-LV"/>
        </w:rPr>
        <w:t>Investīciju ieguldījumi būs pieejami visiem elektronisko sakaru operatoriem, kuri darbojas Latvijā ar vienādiem nosacījumiem. Līdzfinansējums</w:t>
      </w:r>
      <w:r w:rsidR="00A933A4" w:rsidRPr="009B1719">
        <w:rPr>
          <w:rFonts w:ascii="Times New Roman" w:eastAsia="Times New Roman" w:hAnsi="Times New Roman"/>
          <w:sz w:val="24"/>
          <w:szCs w:val="24"/>
          <w:lang w:val="lv-LV" w:eastAsia="lv-LV" w:bidi="lv-LV"/>
        </w:rPr>
        <w:t xml:space="preserve"> 15%</w:t>
      </w:r>
      <w:r w:rsidR="000025B6" w:rsidRPr="009B1719">
        <w:rPr>
          <w:rFonts w:ascii="Times New Roman" w:eastAsia="Times New Roman" w:hAnsi="Times New Roman"/>
          <w:sz w:val="24"/>
          <w:szCs w:val="24"/>
          <w:lang w:val="lv-LV" w:eastAsia="lv-LV" w:bidi="lv-LV"/>
        </w:rPr>
        <w:t xml:space="preserve"> Eiropas attīstības Reģionālā attīstības fonda projektu gadījumā vai finansējums pievienotās vērtības nodokļa 21% </w:t>
      </w:r>
      <w:r w:rsidR="00A933A4" w:rsidRPr="009B1719">
        <w:rPr>
          <w:rFonts w:ascii="Times New Roman" w:eastAsia="Times New Roman" w:hAnsi="Times New Roman"/>
          <w:sz w:val="24"/>
          <w:szCs w:val="24"/>
          <w:lang w:val="lv-LV" w:eastAsia="lv-LV" w:bidi="lv-LV"/>
        </w:rPr>
        <w:t>apmērā</w:t>
      </w:r>
      <w:r w:rsidRPr="009B1719">
        <w:rPr>
          <w:rFonts w:ascii="Times New Roman" w:eastAsia="Times New Roman" w:hAnsi="Times New Roman"/>
          <w:sz w:val="24"/>
          <w:szCs w:val="24"/>
          <w:lang w:val="lv-LV" w:eastAsia="lv-LV" w:bidi="lv-LV"/>
        </w:rPr>
        <w:t xml:space="preserve"> </w:t>
      </w:r>
      <w:r w:rsidR="000025B6" w:rsidRPr="009B1719">
        <w:rPr>
          <w:rFonts w:ascii="Times New Roman" w:eastAsia="Times New Roman" w:hAnsi="Times New Roman"/>
          <w:sz w:val="24"/>
          <w:szCs w:val="24"/>
          <w:lang w:val="lv-LV" w:eastAsia="lv-LV" w:bidi="lv-LV"/>
        </w:rPr>
        <w:t xml:space="preserve">Atveseļošanās un noturības mehānisma projektu gadījumā </w:t>
      </w:r>
      <w:r w:rsidR="00A933A4" w:rsidRPr="009B1719">
        <w:rPr>
          <w:rFonts w:ascii="Times New Roman" w:eastAsia="Times New Roman" w:hAnsi="Times New Roman"/>
          <w:sz w:val="24"/>
          <w:szCs w:val="24"/>
          <w:lang w:val="lv-LV" w:eastAsia="lv-LV" w:bidi="lv-LV"/>
        </w:rPr>
        <w:t>plānots no elektronisko sakaru operatoru līdzekļiem</w:t>
      </w:r>
      <w:r w:rsidR="00822AAA" w:rsidRPr="009B1719">
        <w:rPr>
          <w:rFonts w:ascii="Times New Roman" w:eastAsia="Times New Roman" w:hAnsi="Times New Roman"/>
          <w:sz w:val="24"/>
          <w:szCs w:val="24"/>
          <w:lang w:val="lv-LV" w:eastAsia="lv-LV" w:bidi="lv-LV"/>
        </w:rPr>
        <w:t>.</w:t>
      </w:r>
      <w:r w:rsidR="00A933A4" w:rsidRPr="009B1719">
        <w:rPr>
          <w:rFonts w:ascii="Times New Roman" w:eastAsia="Times New Roman" w:hAnsi="Times New Roman"/>
          <w:sz w:val="24"/>
          <w:szCs w:val="24"/>
          <w:lang w:val="lv-LV" w:eastAsia="lv-LV" w:bidi="lv-LV"/>
        </w:rPr>
        <w:t xml:space="preserve"> </w:t>
      </w:r>
    </w:p>
    <w:p w14:paraId="088EC898" w14:textId="618A303F" w:rsidR="008A6801" w:rsidRPr="009F500F" w:rsidRDefault="006F28E0" w:rsidP="004B6ACA">
      <w:pPr>
        <w:tabs>
          <w:tab w:val="left" w:leader="dot" w:pos="9072"/>
        </w:tabs>
        <w:spacing w:after="0" w:line="240" w:lineRule="auto"/>
        <w:ind w:left="709"/>
        <w:jc w:val="both"/>
        <w:rPr>
          <w:rFonts w:ascii="Times New Roman" w:eastAsia="Times New Roman" w:hAnsi="Times New Roman"/>
          <w:sz w:val="24"/>
          <w:szCs w:val="24"/>
          <w:lang w:val="lv-LV" w:eastAsia="lv-LV" w:bidi="lv-LV"/>
        </w:rPr>
      </w:pPr>
      <w:r w:rsidRPr="009B1719">
        <w:rPr>
          <w:rFonts w:ascii="Times New Roman" w:eastAsia="Times New Roman" w:hAnsi="Times New Roman"/>
          <w:sz w:val="24"/>
          <w:szCs w:val="24"/>
          <w:lang w:val="lv-LV" w:eastAsia="lv-LV" w:bidi="lv-LV"/>
        </w:rPr>
        <w:t>Valsts atbalsta programmas īstenošanā tiks ņ</w:t>
      </w:r>
      <w:r w:rsidR="008A6801" w:rsidRPr="009B1719">
        <w:rPr>
          <w:rFonts w:ascii="Times New Roman" w:eastAsia="Times New Roman" w:hAnsi="Times New Roman"/>
          <w:sz w:val="24"/>
          <w:szCs w:val="24"/>
          <w:lang w:val="lv-LV" w:eastAsia="lv-LV" w:bidi="lv-LV"/>
        </w:rPr>
        <w:t>emt</w:t>
      </w:r>
      <w:r w:rsidRPr="009B1719">
        <w:rPr>
          <w:rFonts w:ascii="Times New Roman" w:eastAsia="Times New Roman" w:hAnsi="Times New Roman"/>
          <w:sz w:val="24"/>
          <w:szCs w:val="24"/>
          <w:lang w:val="lv-LV" w:eastAsia="lv-LV" w:bidi="lv-LV"/>
        </w:rPr>
        <w:t>i</w:t>
      </w:r>
      <w:r w:rsidR="008A6801" w:rsidRPr="009B1719">
        <w:rPr>
          <w:rFonts w:ascii="Times New Roman" w:eastAsia="Times New Roman" w:hAnsi="Times New Roman"/>
          <w:sz w:val="24"/>
          <w:szCs w:val="24"/>
          <w:lang w:val="lv-LV" w:eastAsia="lv-LV" w:bidi="lv-LV"/>
        </w:rPr>
        <w:t xml:space="preserve"> vērā publisko konsultāciju rezultāt</w:t>
      </w:r>
      <w:r w:rsidRPr="009B1719">
        <w:rPr>
          <w:rFonts w:ascii="Times New Roman" w:eastAsia="Times New Roman" w:hAnsi="Times New Roman"/>
          <w:sz w:val="24"/>
          <w:szCs w:val="24"/>
          <w:lang w:val="lv-LV" w:eastAsia="lv-LV" w:bidi="lv-LV"/>
        </w:rPr>
        <w:t>i</w:t>
      </w:r>
      <w:r w:rsidRPr="006F28E0">
        <w:rPr>
          <w:rFonts w:ascii="Times New Roman" w:eastAsia="Times New Roman" w:hAnsi="Times New Roman"/>
          <w:sz w:val="24"/>
          <w:szCs w:val="24"/>
          <w:lang w:val="lv-LV" w:eastAsia="lv-LV" w:bidi="lv-LV"/>
        </w:rPr>
        <w:t xml:space="preserve"> atbilstoši vadlīniju Eiropas Komisijas paziņojuma projektam “Pamatnostādnes par valsts atbalstu platjoslas tīkliem”. </w:t>
      </w:r>
      <w:r w:rsidR="004B6ACA" w:rsidRPr="006F28E0">
        <w:rPr>
          <w:rFonts w:ascii="Times New Roman" w:eastAsia="Times New Roman" w:hAnsi="Times New Roman"/>
          <w:sz w:val="24"/>
          <w:szCs w:val="24"/>
          <w:lang w:val="lv-LV" w:eastAsia="lv-LV" w:bidi="lv-LV"/>
        </w:rPr>
        <w:t>Vēlākā posmā ir atļauti privātie paplašinājumi, ja vien blakusesošajā teritorijā ieinteresētās personas sabiedriskās apspriešanas procesā neiebilst pret šādu paplašināšanu.</w:t>
      </w:r>
    </w:p>
    <w:p w14:paraId="68B21CF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Kādas kategorijas tīklus ar atbalsta pasākumu ir paredzēts atbalstīt?</w:t>
      </w:r>
    </w:p>
    <w:p w14:paraId="140F622B" w14:textId="77777777" w:rsidR="00C40620" w:rsidRPr="00C40620" w:rsidRDefault="007F084A"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sidRPr="007F084A">
        <w:rPr>
          <w:rFonts w:ascii="Times New Roman" w:eastAsia="Times New Roman" w:hAnsi="Times New Roman"/>
          <w:sz w:val="24"/>
          <w:szCs w:val="24"/>
          <w:lang w:val="lv-LV" w:eastAsia="lv-LV" w:bidi="lv-LV"/>
        </w:rPr>
        <w:fldChar w:fldCharType="begin">
          <w:ffData>
            <w:name w:val=""/>
            <w:enabled/>
            <w:calcOnExit w:val="0"/>
            <w:checkBox>
              <w:sizeAuto/>
              <w:default w:val="0"/>
            </w:checkBox>
          </w:ffData>
        </w:fldChar>
      </w:r>
      <w:r w:rsidRPr="007F084A">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Pr="007F084A">
        <w:rPr>
          <w:rFonts w:ascii="Times New Roman" w:eastAsia="Times New Roman" w:hAnsi="Times New Roman"/>
          <w:sz w:val="24"/>
          <w:szCs w:val="24"/>
          <w:lang w:val="lv-LV" w:eastAsia="lv-LV" w:bidi="lv-LV"/>
        </w:rPr>
        <w:fldChar w:fldCharType="end"/>
      </w:r>
      <w:r w:rsidR="00C40620" w:rsidRPr="007F084A">
        <w:rPr>
          <w:rFonts w:ascii="Times New Roman" w:eastAsia="Times New Roman" w:hAnsi="Times New Roman"/>
          <w:sz w:val="24"/>
          <w:szCs w:val="24"/>
          <w:lang w:val="lv-LV" w:eastAsia="lv-LV" w:bidi="lv-LV"/>
        </w:rPr>
        <w:tab/>
        <w:t>pamattīklus (jeb maģistrālos tīklus);</w:t>
      </w:r>
    </w:p>
    <w:p w14:paraId="2D35C4F1" w14:textId="1AD2CDB3" w:rsidR="00C40620" w:rsidRPr="00C40620" w:rsidRDefault="00A814CE"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fldChar w:fldCharType="begin">
          <w:ffData>
            <w:name w:val="Check1"/>
            <w:enabled/>
            <w:calcOnExit w:val="0"/>
            <w:checkBox>
              <w:sizeAuto/>
              <w:default w:val="0"/>
            </w:checkBox>
          </w:ffData>
        </w:fldChar>
      </w:r>
      <w:bookmarkStart w:id="2" w:name="Check1"/>
      <w:r>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Pr>
          <w:rFonts w:ascii="Times New Roman" w:eastAsia="Times New Roman" w:hAnsi="Times New Roman"/>
          <w:sz w:val="24"/>
          <w:szCs w:val="24"/>
          <w:lang w:val="lv-LV" w:eastAsia="lv-LV" w:bidi="lv-LV"/>
        </w:rPr>
        <w:fldChar w:fldCharType="end"/>
      </w:r>
      <w:bookmarkEnd w:id="2"/>
      <w:r w:rsidR="00C40620" w:rsidRPr="00C40620">
        <w:rPr>
          <w:rFonts w:ascii="Times New Roman" w:eastAsia="Times New Roman" w:hAnsi="Times New Roman"/>
          <w:sz w:val="24"/>
          <w:szCs w:val="24"/>
          <w:lang w:val="lv-LV" w:eastAsia="lv-LV" w:bidi="lv-LV"/>
        </w:rPr>
        <w:tab/>
      </w:r>
      <w:proofErr w:type="spellStart"/>
      <w:r w:rsidR="00C40620" w:rsidRPr="00C40620">
        <w:rPr>
          <w:rFonts w:ascii="Times New Roman" w:eastAsia="Times New Roman" w:hAnsi="Times New Roman"/>
          <w:sz w:val="24"/>
          <w:szCs w:val="24"/>
          <w:lang w:val="lv-LV" w:eastAsia="lv-LV" w:bidi="lv-LV"/>
        </w:rPr>
        <w:t>atvilces</w:t>
      </w:r>
      <w:proofErr w:type="spellEnd"/>
      <w:r w:rsidR="00C40620" w:rsidRPr="00C40620">
        <w:rPr>
          <w:rFonts w:ascii="Times New Roman" w:eastAsia="Times New Roman" w:hAnsi="Times New Roman"/>
          <w:sz w:val="24"/>
          <w:szCs w:val="24"/>
          <w:lang w:val="lv-LV" w:eastAsia="lv-LV" w:bidi="lv-LV"/>
        </w:rPr>
        <w:t xml:space="preserve"> maršrutēšanu (jeb reģionālos vai vidējās jūdzes tīklus);</w:t>
      </w:r>
    </w:p>
    <w:p w14:paraId="02D129AC" w14:textId="7452230D" w:rsidR="00C40620" w:rsidRPr="00C40620" w:rsidRDefault="00A814CE"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lastRenderedPageBreak/>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Pr>
          <w:rFonts w:ascii="Times New Roman" w:eastAsia="Times New Roman" w:hAnsi="Times New Roman"/>
          <w:sz w:val="24"/>
          <w:szCs w:val="24"/>
          <w:lang w:val="lv-LV" w:eastAsia="lv-LV" w:bidi="lv-LV"/>
        </w:rPr>
        <w:fldChar w:fldCharType="end"/>
      </w:r>
      <w:r w:rsidR="00C40620" w:rsidRPr="00C40620">
        <w:rPr>
          <w:rFonts w:ascii="Times New Roman" w:eastAsia="Times New Roman" w:hAnsi="Times New Roman"/>
          <w:sz w:val="24"/>
          <w:szCs w:val="24"/>
          <w:lang w:val="lv-LV" w:eastAsia="lv-LV" w:bidi="lv-LV"/>
        </w:rPr>
        <w:tab/>
        <w:t>piekļuves tīklus (jeb pēdējās jūdzes tīklus)</w:t>
      </w:r>
      <w:r w:rsidR="006652D9">
        <w:rPr>
          <w:rStyle w:val="FootnoteReference"/>
          <w:rFonts w:ascii="Times New Roman" w:eastAsia="Times New Roman" w:hAnsi="Times New Roman"/>
          <w:sz w:val="24"/>
          <w:szCs w:val="24"/>
          <w:lang w:val="lv-LV" w:eastAsia="lv-LV" w:bidi="lv-LV"/>
        </w:rPr>
        <w:footnoteReference w:id="10"/>
      </w:r>
      <w:r w:rsidR="00C40620" w:rsidRPr="00C40620">
        <w:rPr>
          <w:rFonts w:ascii="Times New Roman" w:eastAsia="Times New Roman" w:hAnsi="Times New Roman"/>
          <w:sz w:val="24"/>
          <w:szCs w:val="24"/>
          <w:lang w:val="lv-LV" w:eastAsia="lv-LV" w:bidi="lv-LV"/>
        </w:rPr>
        <w:t>.</w:t>
      </w:r>
    </w:p>
    <w:p w14:paraId="2D384FFA" w14:textId="7EB60579"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Kādus tīkla elementus ar atbalsta pasākumu ir paredzēts atbalstīt?</w:t>
      </w:r>
      <w:r w:rsidR="00510C3B">
        <w:rPr>
          <w:rStyle w:val="FootnoteReference"/>
          <w:rFonts w:ascii="Times New Roman" w:eastAsia="Times New Roman" w:hAnsi="Times New Roman"/>
          <w:sz w:val="24"/>
          <w:szCs w:val="24"/>
          <w:lang w:val="lv-LV" w:eastAsia="lv-LV" w:bidi="lv-LV"/>
        </w:rPr>
        <w:footnoteReference w:id="11"/>
      </w:r>
    </w:p>
    <w:p w14:paraId="6460EEE8" w14:textId="77777777" w:rsidR="00C40620" w:rsidRPr="00C40620" w:rsidRDefault="005476E7"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Pr>
          <w:rFonts w:ascii="Times New Roman" w:eastAsia="Times New Roman" w:hAnsi="Times New Roman"/>
          <w:sz w:val="24"/>
          <w:szCs w:val="24"/>
          <w:lang w:val="lv-LV" w:eastAsia="lv-LV" w:bidi="lv-LV"/>
        </w:rPr>
        <w:fldChar w:fldCharType="end"/>
      </w:r>
      <w:r w:rsidR="00C40620" w:rsidRPr="00C40620">
        <w:rPr>
          <w:rFonts w:ascii="Times New Roman" w:eastAsia="Times New Roman" w:hAnsi="Times New Roman"/>
          <w:sz w:val="24"/>
          <w:szCs w:val="24"/>
          <w:lang w:val="lv-LV" w:eastAsia="lv-LV" w:bidi="lv-LV"/>
        </w:rPr>
        <w:tab/>
        <w:t>pasīvās infrastruktūras elementus;</w:t>
      </w:r>
    </w:p>
    <w:p w14:paraId="75BA16E4" w14:textId="3FD917AC" w:rsidR="00C40620" w:rsidRPr="00C40620" w:rsidRDefault="00A814CE"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Pr>
          <w:rFonts w:ascii="Times New Roman" w:eastAsia="Times New Roman" w:hAnsi="Times New Roman"/>
          <w:sz w:val="24"/>
          <w:szCs w:val="24"/>
          <w:lang w:val="lv-LV" w:eastAsia="lv-LV" w:bidi="lv-LV"/>
        </w:rPr>
        <w:fldChar w:fldCharType="end"/>
      </w:r>
      <w:r w:rsidR="00C40620" w:rsidRPr="00C40620">
        <w:rPr>
          <w:rFonts w:ascii="Times New Roman" w:eastAsia="Times New Roman" w:hAnsi="Times New Roman"/>
          <w:sz w:val="24"/>
          <w:szCs w:val="24"/>
          <w:lang w:val="lv-LV" w:eastAsia="lv-LV" w:bidi="lv-LV"/>
        </w:rPr>
        <w:tab/>
        <w:t>aktīvās infrastruktūras aprīkojumu.</w:t>
      </w:r>
    </w:p>
    <w:p w14:paraId="7F0D1625" w14:textId="77777777" w:rsidR="00C40620" w:rsidRPr="00C40620" w:rsidRDefault="00C40620" w:rsidP="00C40620">
      <w:pPr>
        <w:keepNext/>
        <w:keepLines/>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 veida platjoslas tīklus ar atbalsta pasākumu ir paredzēts atbalstīt?</w:t>
      </w:r>
    </w:p>
    <w:p w14:paraId="34178A3F" w14:textId="77777777" w:rsidR="00C40620" w:rsidRPr="00C40620" w:rsidRDefault="00C40620" w:rsidP="00C40620">
      <w:pPr>
        <w:keepNext/>
        <w:keepLines/>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fldChar w:fldCharType="begin">
          <w:ffData>
            <w:name w:val="Check1"/>
            <w:enabled/>
            <w:calcOnExit w:val="0"/>
            <w:checkBox>
              <w:sizeAuto/>
              <w:default w:val="0"/>
            </w:checkBox>
          </w:ffData>
        </w:fldChar>
      </w:r>
      <w:r w:rsidRPr="00C40620">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Pr="00C40620">
        <w:rPr>
          <w:rFonts w:ascii="Times New Roman" w:eastAsia="Times New Roman" w:hAnsi="Times New Roman"/>
          <w:sz w:val="24"/>
          <w:szCs w:val="24"/>
          <w:lang w:val="lv-LV" w:eastAsia="lv-LV" w:bidi="lv-LV"/>
        </w:rPr>
        <w:fldChar w:fldCharType="end"/>
      </w:r>
      <w:r w:rsidRPr="00C40620">
        <w:rPr>
          <w:rFonts w:ascii="Times New Roman" w:eastAsia="Times New Roman" w:hAnsi="Times New Roman"/>
          <w:sz w:val="24"/>
          <w:szCs w:val="24"/>
          <w:lang w:val="lv-LV" w:eastAsia="lv-LV" w:bidi="lv-LV"/>
        </w:rPr>
        <w:tab/>
        <w:t xml:space="preserve">pamata platjoslas tīklus (kas nodrošina lejupielādes ātrumu ne mazāku par 2Mbps); </w:t>
      </w:r>
    </w:p>
    <w:p w14:paraId="061F4FA8" w14:textId="77777777" w:rsidR="00C40620" w:rsidRPr="00C40620" w:rsidRDefault="00C40620" w:rsidP="00C40620">
      <w:pPr>
        <w:keepNext/>
        <w:keepLines/>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fldChar w:fldCharType="begin">
          <w:ffData>
            <w:name w:val="Check1"/>
            <w:enabled/>
            <w:calcOnExit w:val="0"/>
            <w:checkBox>
              <w:sizeAuto/>
              <w:default w:val="0"/>
            </w:checkBox>
          </w:ffData>
        </w:fldChar>
      </w:r>
      <w:r w:rsidRPr="00C40620">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Pr="00C40620">
        <w:rPr>
          <w:rFonts w:ascii="Times New Roman" w:eastAsia="Times New Roman" w:hAnsi="Times New Roman"/>
          <w:sz w:val="24"/>
          <w:szCs w:val="24"/>
          <w:lang w:val="lv-LV" w:eastAsia="lv-LV" w:bidi="lv-LV"/>
        </w:rPr>
        <w:fldChar w:fldCharType="end"/>
      </w:r>
      <w:r w:rsidRPr="00C40620">
        <w:rPr>
          <w:rFonts w:ascii="Times New Roman" w:eastAsia="Times New Roman" w:hAnsi="Times New Roman"/>
          <w:sz w:val="24"/>
          <w:szCs w:val="24"/>
          <w:lang w:val="lv-LV" w:eastAsia="lv-LV" w:bidi="lv-LV"/>
        </w:rPr>
        <w:tab/>
        <w:t>nākamās paaudzes piekļuves tīklus (“</w:t>
      </w:r>
      <w:r w:rsidRPr="00C40620">
        <w:rPr>
          <w:rFonts w:ascii="Times New Roman" w:eastAsia="Times New Roman" w:hAnsi="Times New Roman"/>
          <w:i/>
          <w:sz w:val="24"/>
          <w:szCs w:val="24"/>
          <w:lang w:val="lv-LV" w:eastAsia="lv-LV" w:bidi="lv-LV"/>
        </w:rPr>
        <w:t>NGA</w:t>
      </w:r>
      <w:r w:rsidRPr="00C40620">
        <w:rPr>
          <w:rFonts w:ascii="Times New Roman" w:eastAsia="Times New Roman" w:hAnsi="Times New Roman"/>
          <w:sz w:val="24"/>
          <w:szCs w:val="24"/>
          <w:lang w:val="lv-LV" w:eastAsia="lv-LV" w:bidi="lv-LV"/>
        </w:rPr>
        <w:t>”)</w:t>
      </w:r>
      <w:r w:rsidRPr="00C40620">
        <w:rPr>
          <w:rFonts w:ascii="Times New Roman" w:eastAsia="Times New Roman" w:hAnsi="Times New Roman"/>
          <w:sz w:val="24"/>
          <w:szCs w:val="24"/>
          <w:vertAlign w:val="superscript"/>
          <w:lang w:val="lv-LV" w:eastAsia="lv-LV" w:bidi="lv-LV"/>
        </w:rPr>
        <w:footnoteReference w:id="12"/>
      </w:r>
      <w:r w:rsidRPr="00C40620">
        <w:rPr>
          <w:rFonts w:ascii="Times New Roman" w:eastAsia="Times New Roman" w:hAnsi="Times New Roman"/>
          <w:sz w:val="24"/>
          <w:szCs w:val="24"/>
          <w:lang w:val="lv-LV" w:eastAsia="lv-LV" w:bidi="lv-LV"/>
        </w:rPr>
        <w:t>;</w:t>
      </w:r>
    </w:p>
    <w:p w14:paraId="7A3F9F6B" w14:textId="77777777" w:rsidR="00C40620" w:rsidRPr="00C40620" w:rsidRDefault="005476E7" w:rsidP="00C40620">
      <w:pPr>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Pr>
          <w:rFonts w:ascii="Times New Roman" w:eastAsia="Times New Roman" w:hAnsi="Times New Roman"/>
          <w:sz w:val="24"/>
          <w:szCs w:val="24"/>
          <w:lang w:val="lv-LV" w:eastAsia="lv-LV" w:bidi="lv-LV"/>
        </w:rPr>
        <w:fldChar w:fldCharType="end"/>
      </w:r>
      <w:r w:rsidR="00C40620" w:rsidRPr="00C40620">
        <w:rPr>
          <w:rFonts w:ascii="Times New Roman" w:eastAsia="Times New Roman" w:hAnsi="Times New Roman"/>
          <w:sz w:val="24"/>
          <w:szCs w:val="24"/>
          <w:lang w:val="lv-LV" w:eastAsia="lv-LV" w:bidi="lv-LV"/>
        </w:rPr>
        <w:tab/>
        <w:t>īpaši ātrdarbīgas platjoslas tīklus</w:t>
      </w:r>
      <w:r w:rsidR="00C40620" w:rsidRPr="00C40620">
        <w:rPr>
          <w:rFonts w:ascii="Times New Roman" w:eastAsia="Times New Roman" w:hAnsi="Times New Roman"/>
          <w:sz w:val="24"/>
          <w:szCs w:val="24"/>
          <w:vertAlign w:val="superscript"/>
          <w:lang w:val="lv-LV" w:eastAsia="lv-LV" w:bidi="lv-LV"/>
        </w:rPr>
        <w:footnoteReference w:id="13"/>
      </w:r>
      <w:r w:rsidR="00C40620" w:rsidRPr="00C40620">
        <w:rPr>
          <w:rFonts w:ascii="Times New Roman" w:eastAsia="Times New Roman" w:hAnsi="Times New Roman"/>
          <w:sz w:val="24"/>
          <w:szCs w:val="24"/>
          <w:lang w:val="lv-LV" w:eastAsia="lv-LV" w:bidi="lv-LV"/>
        </w:rPr>
        <w:t>.</w:t>
      </w:r>
    </w:p>
    <w:p w14:paraId="75D3BF55" w14:textId="77777777" w:rsidR="00C40620" w:rsidRPr="0069641A" w:rsidRDefault="00C40620" w:rsidP="00C40620">
      <w:pPr>
        <w:keepNext/>
        <w:keepLines/>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69641A">
        <w:rPr>
          <w:rFonts w:ascii="Times New Roman" w:eastAsia="Times New Roman" w:hAnsi="Times New Roman"/>
          <w:sz w:val="24"/>
          <w:szCs w:val="24"/>
          <w:lang w:val="lv-LV" w:eastAsia="lv-LV" w:bidi="lv-LV"/>
        </w:rPr>
        <w:t xml:space="preserve">Uz kāda veida teritorijām attiecas atbalsta pasākums? Klasificējiet </w:t>
      </w:r>
      <w:proofErr w:type="spellStart"/>
      <w:r w:rsidRPr="0069641A">
        <w:rPr>
          <w:rFonts w:ascii="Times New Roman" w:eastAsia="Times New Roman" w:hAnsi="Times New Roman"/>
          <w:sz w:val="24"/>
          <w:szCs w:val="24"/>
          <w:lang w:val="lv-LV" w:eastAsia="lv-LV" w:bidi="lv-LV"/>
        </w:rPr>
        <w:t>mērķteritorijas</w:t>
      </w:r>
      <w:proofErr w:type="spellEnd"/>
      <w:r w:rsidRPr="0069641A">
        <w:rPr>
          <w:rFonts w:ascii="Times New Roman" w:eastAsia="Times New Roman" w:hAnsi="Times New Roman"/>
          <w:sz w:val="24"/>
          <w:szCs w:val="24"/>
          <w:lang w:val="lv-LV" w:eastAsia="lv-LV" w:bidi="lv-LV"/>
        </w:rPr>
        <w:t>, ņemot vērā atbalstītā tīkla segmentu un veidu, un pamatojiet klasifikāciju ar pārbaudāmiem datiem.</w:t>
      </w:r>
    </w:p>
    <w:p w14:paraId="57601CA2" w14:textId="2F8A96AF" w:rsidR="00C40620" w:rsidRPr="004356A6" w:rsidRDefault="005476E7" w:rsidP="00C40620">
      <w:pPr>
        <w:keepNext/>
        <w:keepLines/>
        <w:tabs>
          <w:tab w:val="left" w:pos="1560"/>
        </w:tabs>
        <w:spacing w:before="100" w:beforeAutospacing="1" w:after="100" w:afterAutospacing="1" w:line="240" w:lineRule="auto"/>
        <w:ind w:left="1077"/>
        <w:jc w:val="both"/>
        <w:rPr>
          <w:rFonts w:ascii="Times New Roman" w:eastAsia="Times New Roman" w:hAnsi="Times New Roman"/>
          <w:sz w:val="24"/>
          <w:szCs w:val="24"/>
          <w:lang w:val="lv-LV" w:eastAsia="lv-LV" w:bidi="lv-LV"/>
        </w:rPr>
      </w:pPr>
      <w:r w:rsidRPr="004356A6">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Pr="004356A6">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t>Pamata balta</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370929">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sidR="00370929">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00370929">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t xml:space="preserve">Pamata pelēka </w:t>
      </w:r>
      <w:r w:rsidR="00C40620" w:rsidRPr="004356A6">
        <w:rPr>
          <w:rFonts w:ascii="Times New Roman" w:eastAsia="Times New Roman" w:hAnsi="Times New Roman"/>
          <w:sz w:val="24"/>
          <w:szCs w:val="24"/>
          <w:lang w:val="lv-LV" w:eastAsia="lv-LV" w:bidi="lv-LV"/>
        </w:rPr>
        <w:tab/>
      </w:r>
      <w:r w:rsidR="00370929">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sidR="00370929">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00370929">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t>Pamata melna</w:t>
      </w:r>
    </w:p>
    <w:p w14:paraId="1D375D54" w14:textId="229F86F0" w:rsidR="00C40620" w:rsidRPr="004356A6" w:rsidRDefault="005476E7" w:rsidP="00C40620">
      <w:pPr>
        <w:tabs>
          <w:tab w:val="left" w:pos="1560"/>
        </w:tabs>
        <w:spacing w:before="100" w:beforeAutospacing="1" w:after="100" w:afterAutospacing="1" w:line="240" w:lineRule="auto"/>
        <w:ind w:left="1077"/>
        <w:jc w:val="both"/>
        <w:rPr>
          <w:rFonts w:ascii="Times New Roman" w:eastAsia="Times New Roman" w:hAnsi="Times New Roman"/>
          <w:sz w:val="24"/>
          <w:szCs w:val="24"/>
          <w:lang w:val="lv-LV" w:eastAsia="lv-LV" w:bidi="lv-LV"/>
        </w:rPr>
      </w:pPr>
      <w:r w:rsidRPr="004356A6">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Pr="004356A6">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balta</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370929">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sidR="00370929">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00370929">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pelēka </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370929">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sidR="00370929">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00370929">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melna</w:t>
      </w:r>
    </w:p>
    <w:p w14:paraId="70041742" w14:textId="37DDB9DE" w:rsidR="00C40620" w:rsidRDefault="005476E7" w:rsidP="00C40620">
      <w:pPr>
        <w:tabs>
          <w:tab w:val="left" w:pos="1560"/>
        </w:tabs>
        <w:spacing w:before="100" w:beforeAutospacing="1" w:after="100" w:afterAutospacing="1" w:line="240" w:lineRule="auto"/>
        <w:ind w:left="1077"/>
        <w:jc w:val="both"/>
        <w:rPr>
          <w:rFonts w:ascii="Times New Roman" w:eastAsia="Times New Roman" w:hAnsi="Times New Roman"/>
          <w:spacing w:val="-14"/>
          <w:sz w:val="24"/>
          <w:szCs w:val="24"/>
          <w:lang w:val="lv-LV" w:eastAsia="lv-LV" w:bidi="lv-LV"/>
        </w:rPr>
      </w:pPr>
      <w:r w:rsidRPr="004356A6">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Pr="004356A6">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8"/>
          <w:sz w:val="24"/>
          <w:szCs w:val="24"/>
          <w:lang w:val="lv-LV" w:eastAsia="lv-LV" w:bidi="lv-LV"/>
        </w:rPr>
        <w:t>Īpaši ātrdarbīga balta</w:t>
      </w:r>
      <w:r w:rsidR="00C40620" w:rsidRPr="004356A6">
        <w:rPr>
          <w:rFonts w:ascii="Times New Roman" w:eastAsia="Times New Roman" w:hAnsi="Times New Roman"/>
          <w:sz w:val="24"/>
          <w:szCs w:val="24"/>
          <w:lang w:val="lv-LV" w:eastAsia="lv-LV" w:bidi="lv-LV"/>
        </w:rPr>
        <w:tab/>
      </w:r>
      <w:r w:rsidR="00370929">
        <w:rPr>
          <w:rFonts w:ascii="Times New Roman" w:eastAsia="Times New Roman" w:hAnsi="Times New Roman"/>
          <w:sz w:val="24"/>
          <w:szCs w:val="24"/>
          <w:lang w:val="lv-LV" w:eastAsia="lv-LV" w:bidi="lv-LV"/>
        </w:rPr>
        <w:fldChar w:fldCharType="begin">
          <w:ffData>
            <w:name w:val=""/>
            <w:enabled/>
            <w:calcOnExit w:val="0"/>
            <w:checkBox>
              <w:sizeAuto/>
              <w:default w:val="0"/>
            </w:checkBox>
          </w:ffData>
        </w:fldChar>
      </w:r>
      <w:r w:rsidR="00370929">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00370929">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8"/>
          <w:sz w:val="24"/>
          <w:szCs w:val="24"/>
          <w:lang w:val="lv-LV" w:eastAsia="lv-LV" w:bidi="lv-LV"/>
        </w:rPr>
        <w:t>Īpaši ātrdarbīga pelēk</w:t>
      </w:r>
      <w:r w:rsidR="00C40620" w:rsidRPr="004356A6">
        <w:rPr>
          <w:rFonts w:ascii="Times New Roman" w:eastAsia="Times New Roman" w:hAnsi="Times New Roman"/>
          <w:sz w:val="24"/>
          <w:szCs w:val="24"/>
          <w:lang w:val="lv-LV" w:eastAsia="lv-LV" w:bidi="lv-LV"/>
        </w:rPr>
        <w:t xml:space="preserve">a </w:t>
      </w:r>
      <w:r w:rsidR="00C40620" w:rsidRPr="004356A6">
        <w:rPr>
          <w:rFonts w:ascii="Times New Roman" w:eastAsia="Times New Roman" w:hAnsi="Times New Roman"/>
          <w:sz w:val="24"/>
          <w:szCs w:val="24"/>
          <w:lang w:val="lv-LV" w:eastAsia="lv-LV" w:bidi="lv-LV"/>
        </w:rPr>
        <w:tab/>
      </w:r>
      <w:r w:rsidR="0069641A" w:rsidRPr="004356A6">
        <w:rPr>
          <w:rFonts w:ascii="Times New Roman" w:eastAsia="Times New Roman" w:hAnsi="Times New Roman"/>
          <w:sz w:val="24"/>
          <w:szCs w:val="24"/>
          <w:lang w:val="lv-LV" w:eastAsia="lv-LV" w:bidi="lv-LV"/>
        </w:rPr>
        <w:fldChar w:fldCharType="begin">
          <w:ffData>
            <w:name w:val=""/>
            <w:enabled/>
            <w:calcOnExit w:val="0"/>
            <w:checkBox>
              <w:sizeAuto/>
              <w:default w:val="0"/>
            </w:checkBox>
          </w:ffData>
        </w:fldChar>
      </w:r>
      <w:r w:rsidR="0069641A" w:rsidRPr="004356A6">
        <w:rPr>
          <w:rFonts w:ascii="Times New Roman" w:eastAsia="Times New Roman" w:hAnsi="Times New Roman"/>
          <w:sz w:val="24"/>
          <w:szCs w:val="24"/>
          <w:lang w:val="lv-LV" w:eastAsia="lv-LV" w:bidi="lv-LV"/>
        </w:rPr>
        <w:instrText xml:space="preserve"> FORMCHECKBOX </w:instrText>
      </w:r>
      <w:r w:rsidR="00880D8B">
        <w:rPr>
          <w:rFonts w:ascii="Times New Roman" w:eastAsia="Times New Roman" w:hAnsi="Times New Roman"/>
          <w:sz w:val="24"/>
          <w:szCs w:val="24"/>
          <w:lang w:val="lv-LV" w:eastAsia="lv-LV" w:bidi="lv-LV"/>
        </w:rPr>
      </w:r>
      <w:r w:rsidR="00880D8B">
        <w:rPr>
          <w:rFonts w:ascii="Times New Roman" w:eastAsia="Times New Roman" w:hAnsi="Times New Roman"/>
          <w:sz w:val="24"/>
          <w:szCs w:val="24"/>
          <w:lang w:val="lv-LV" w:eastAsia="lv-LV" w:bidi="lv-LV"/>
        </w:rPr>
        <w:fldChar w:fldCharType="separate"/>
      </w:r>
      <w:r w:rsidR="0069641A" w:rsidRPr="004356A6">
        <w:rPr>
          <w:rFonts w:ascii="Times New Roman" w:eastAsia="Times New Roman" w:hAnsi="Times New Roman"/>
          <w:sz w:val="24"/>
          <w:szCs w:val="24"/>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14"/>
          <w:sz w:val="24"/>
          <w:szCs w:val="24"/>
          <w:lang w:val="lv-LV" w:eastAsia="lv-LV" w:bidi="lv-LV"/>
        </w:rPr>
        <w:t>Īpaši ātrdarbīga melna</w:t>
      </w:r>
    </w:p>
    <w:p w14:paraId="4800F9B2" w14:textId="41BDF60F" w:rsidR="00AE42B6" w:rsidRPr="00A814CE" w:rsidRDefault="00466DF2" w:rsidP="00AE42B6">
      <w:pPr>
        <w:tabs>
          <w:tab w:val="left" w:leader="dot" w:pos="9072"/>
        </w:tabs>
        <w:spacing w:before="120" w:after="120" w:line="240" w:lineRule="auto"/>
        <w:ind w:left="709"/>
        <w:jc w:val="both"/>
        <w:rPr>
          <w:rFonts w:ascii="Times New Roman" w:hAnsi="Times New Roman"/>
          <w:sz w:val="24"/>
          <w:szCs w:val="20"/>
          <w:highlight w:val="cyan"/>
          <w:lang w:val="lv-LV" w:eastAsia="lv-LV" w:bidi="lv-LV"/>
        </w:rPr>
      </w:pPr>
      <w:r>
        <w:rPr>
          <w:rFonts w:ascii="Times New Roman" w:hAnsi="Times New Roman"/>
          <w:sz w:val="24"/>
          <w:szCs w:val="20"/>
          <w:lang w:val="lv-LV" w:eastAsia="lv-LV" w:bidi="lv-LV"/>
        </w:rPr>
        <w:t>Baltoties uz Pētījumu</w:t>
      </w:r>
      <w:r>
        <w:rPr>
          <w:rStyle w:val="FootnoteReference"/>
          <w:rFonts w:ascii="Times New Roman" w:hAnsi="Times New Roman"/>
          <w:sz w:val="24"/>
          <w:szCs w:val="20"/>
          <w:lang w:val="lv-LV" w:eastAsia="lv-LV" w:bidi="lv-LV"/>
        </w:rPr>
        <w:footnoteReference w:id="14"/>
      </w:r>
      <w:r w:rsidR="00647775">
        <w:rPr>
          <w:rFonts w:ascii="Times New Roman" w:hAnsi="Times New Roman"/>
          <w:sz w:val="24"/>
          <w:szCs w:val="20"/>
          <w:lang w:val="lv-LV" w:eastAsia="lv-LV" w:bidi="lv-LV"/>
        </w:rPr>
        <w:t xml:space="preserve"> (turpmāk – Pētījums)</w:t>
      </w:r>
      <w:r>
        <w:rPr>
          <w:rFonts w:ascii="Times New Roman" w:hAnsi="Times New Roman"/>
          <w:sz w:val="24"/>
          <w:szCs w:val="20"/>
          <w:lang w:val="lv-LV" w:eastAsia="lv-LV" w:bidi="lv-LV"/>
        </w:rPr>
        <w:t xml:space="preserve">, </w:t>
      </w:r>
      <w:r w:rsidRPr="00466DF2">
        <w:rPr>
          <w:rFonts w:ascii="Times New Roman" w:hAnsi="Times New Roman"/>
          <w:sz w:val="24"/>
          <w:szCs w:val="20"/>
          <w:lang w:val="lv-LV" w:eastAsia="lv-LV" w:bidi="lv-LV"/>
        </w:rPr>
        <w:t>VHCN ar piekļuves ātrumu vismaz 100</w:t>
      </w:r>
      <w:r>
        <w:rPr>
          <w:rFonts w:ascii="Times New Roman" w:hAnsi="Times New Roman"/>
          <w:sz w:val="24"/>
          <w:szCs w:val="20"/>
          <w:lang w:val="lv-LV" w:eastAsia="lv-LV" w:bidi="lv-LV"/>
        </w:rPr>
        <w:t xml:space="preserve"> </w:t>
      </w:r>
      <w:r w:rsidRPr="00466DF2">
        <w:rPr>
          <w:rFonts w:ascii="Times New Roman" w:hAnsi="Times New Roman"/>
          <w:sz w:val="24"/>
          <w:szCs w:val="20"/>
          <w:lang w:val="lv-LV" w:eastAsia="lv-LV" w:bidi="lv-LV"/>
        </w:rPr>
        <w:t>Mb</w:t>
      </w:r>
      <w:r>
        <w:rPr>
          <w:rFonts w:ascii="Times New Roman" w:hAnsi="Times New Roman"/>
          <w:sz w:val="24"/>
          <w:szCs w:val="20"/>
          <w:lang w:val="lv-LV" w:eastAsia="lv-LV" w:bidi="lv-LV"/>
        </w:rPr>
        <w:t>it/</w:t>
      </w:r>
      <w:r w:rsidRPr="00466DF2">
        <w:rPr>
          <w:rFonts w:ascii="Times New Roman" w:hAnsi="Times New Roman"/>
          <w:sz w:val="24"/>
          <w:szCs w:val="20"/>
          <w:lang w:val="lv-LV" w:eastAsia="lv-LV" w:bidi="lv-LV"/>
        </w:rPr>
        <w:t>s pieejamība ir tikai teritorijās, kurās ir pieeja platjoslas optikai</w:t>
      </w:r>
      <w:r w:rsidR="001D6E6F">
        <w:rPr>
          <w:rFonts w:ascii="Times New Roman" w:hAnsi="Times New Roman"/>
          <w:sz w:val="24"/>
          <w:szCs w:val="20"/>
          <w:lang w:val="lv-LV" w:eastAsia="lv-LV" w:bidi="lv-LV"/>
        </w:rPr>
        <w:t xml:space="preserve"> (skat. </w:t>
      </w:r>
      <w:r w:rsidR="00212432">
        <w:rPr>
          <w:rFonts w:ascii="Times New Roman" w:hAnsi="Times New Roman"/>
          <w:sz w:val="24"/>
          <w:szCs w:val="20"/>
          <w:lang w:val="lv-LV" w:eastAsia="lv-LV" w:bidi="lv-LV"/>
        </w:rPr>
        <w:t>attēlu 3</w:t>
      </w:r>
      <w:r w:rsidR="001D6E6F">
        <w:rPr>
          <w:rFonts w:ascii="Times New Roman" w:hAnsi="Times New Roman"/>
          <w:sz w:val="24"/>
          <w:szCs w:val="20"/>
          <w:lang w:val="lv-LV" w:eastAsia="lv-LV" w:bidi="lv-LV"/>
        </w:rPr>
        <w:t>.</w:t>
      </w:r>
      <w:r w:rsidR="00212432">
        <w:rPr>
          <w:rFonts w:ascii="Times New Roman" w:hAnsi="Times New Roman"/>
          <w:sz w:val="24"/>
          <w:szCs w:val="20"/>
          <w:lang w:val="lv-LV" w:eastAsia="lv-LV" w:bidi="lv-LV"/>
        </w:rPr>
        <w:t xml:space="preserve"> pielikumā</w:t>
      </w:r>
      <w:r w:rsidR="00212432">
        <w:t xml:space="preserve">, </w:t>
      </w:r>
      <w:proofErr w:type="spellStart"/>
      <w:r w:rsidR="00212432">
        <w:t>ar</w:t>
      </w:r>
      <w:proofErr w:type="spellEnd"/>
      <w:r w:rsidR="00212432">
        <w:t xml:space="preserve"> t</w:t>
      </w:r>
      <w:proofErr w:type="spellStart"/>
      <w:r w:rsidR="00212432" w:rsidRPr="00212432">
        <w:rPr>
          <w:rFonts w:ascii="Times New Roman" w:hAnsi="Times New Roman"/>
          <w:sz w:val="24"/>
          <w:szCs w:val="20"/>
          <w:lang w:val="lv-LV" w:eastAsia="lv-LV" w:bidi="lv-LV"/>
        </w:rPr>
        <w:t>eritorij</w:t>
      </w:r>
      <w:r w:rsidR="00927300">
        <w:rPr>
          <w:rFonts w:ascii="Times New Roman" w:hAnsi="Times New Roman"/>
          <w:sz w:val="24"/>
          <w:szCs w:val="20"/>
          <w:lang w:val="lv-LV" w:eastAsia="lv-LV" w:bidi="lv-LV"/>
        </w:rPr>
        <w:t>ām</w:t>
      </w:r>
      <w:proofErr w:type="spellEnd"/>
      <w:r w:rsidR="00212432" w:rsidRPr="00212432">
        <w:rPr>
          <w:rFonts w:ascii="Times New Roman" w:hAnsi="Times New Roman"/>
          <w:sz w:val="24"/>
          <w:szCs w:val="20"/>
          <w:lang w:val="lv-LV" w:eastAsia="lv-LV" w:bidi="lv-LV"/>
        </w:rPr>
        <w:t>, kurās iespējams valsta atbalsta pasākuma īstenošana</w:t>
      </w:r>
      <w:r w:rsidR="001D6E6F">
        <w:rPr>
          <w:rFonts w:ascii="Times New Roman" w:hAnsi="Times New Roman"/>
          <w:sz w:val="24"/>
          <w:szCs w:val="20"/>
          <w:lang w:val="lv-LV" w:eastAsia="lv-LV" w:bidi="lv-LV"/>
        </w:rPr>
        <w:t>)</w:t>
      </w:r>
      <w:r>
        <w:rPr>
          <w:rFonts w:ascii="Times New Roman" w:hAnsi="Times New Roman"/>
          <w:sz w:val="24"/>
          <w:szCs w:val="20"/>
          <w:lang w:val="lv-LV" w:eastAsia="lv-LV" w:bidi="lv-LV"/>
        </w:rPr>
        <w:t xml:space="preserve">. </w:t>
      </w:r>
      <w:r w:rsidRPr="00466DF2">
        <w:rPr>
          <w:rFonts w:ascii="Times New Roman" w:hAnsi="Times New Roman"/>
          <w:sz w:val="24"/>
          <w:szCs w:val="20"/>
          <w:lang w:val="lv-LV" w:eastAsia="lv-LV" w:bidi="lv-LV"/>
        </w:rPr>
        <w:t xml:space="preserve"> </w:t>
      </w:r>
      <w:r w:rsidR="00D16C14" w:rsidRPr="00D16C14">
        <w:rPr>
          <w:rFonts w:ascii="Times New Roman" w:hAnsi="Times New Roman"/>
          <w:sz w:val="24"/>
          <w:szCs w:val="20"/>
          <w:lang w:val="lv-LV" w:eastAsia="lv-LV" w:bidi="lv-LV"/>
        </w:rPr>
        <w:t xml:space="preserve">Dati uzrāda, ka identificētās VHCN baltās teritorijas, ko veido visa Latvijas valsts teritorija, izņemot tās teritorijas, kurās ir piekļuve platjoslas optikai, </w:t>
      </w:r>
      <w:r w:rsidR="006C1967">
        <w:rPr>
          <w:rFonts w:ascii="Times New Roman" w:hAnsi="Times New Roman"/>
          <w:sz w:val="24"/>
          <w:szCs w:val="20"/>
          <w:lang w:val="lv-LV" w:eastAsia="lv-LV" w:bidi="lv-LV"/>
        </w:rPr>
        <w:t xml:space="preserve">ir </w:t>
      </w:r>
      <w:r w:rsidR="00D16C14" w:rsidRPr="00D16C14">
        <w:rPr>
          <w:rFonts w:ascii="Times New Roman" w:hAnsi="Times New Roman"/>
          <w:sz w:val="24"/>
          <w:szCs w:val="20"/>
          <w:lang w:val="lv-LV" w:eastAsia="lv-LV" w:bidi="lv-LV"/>
        </w:rPr>
        <w:t>98.4% no visas Latvijas valsts teritorijas</w:t>
      </w:r>
      <w:r w:rsidR="00D16C14">
        <w:rPr>
          <w:rFonts w:ascii="Times New Roman" w:hAnsi="Times New Roman"/>
          <w:sz w:val="24"/>
          <w:szCs w:val="20"/>
          <w:lang w:val="lv-LV" w:eastAsia="lv-LV" w:bidi="lv-LV"/>
        </w:rPr>
        <w:t>, savukārt, š</w:t>
      </w:r>
      <w:r w:rsidR="00D16C14" w:rsidRPr="00D16C14">
        <w:rPr>
          <w:rFonts w:ascii="Times New Roman" w:hAnsi="Times New Roman"/>
          <w:sz w:val="24"/>
          <w:szCs w:val="20"/>
          <w:lang w:val="lv-LV" w:eastAsia="lv-LV" w:bidi="lv-LV"/>
        </w:rPr>
        <w:t xml:space="preserve">ajā teritorijā </w:t>
      </w:r>
      <w:r w:rsidR="00D16C14">
        <w:rPr>
          <w:rFonts w:ascii="Times New Roman" w:hAnsi="Times New Roman"/>
          <w:sz w:val="24"/>
          <w:szCs w:val="20"/>
          <w:lang w:val="lv-LV" w:eastAsia="lv-LV" w:bidi="lv-LV"/>
        </w:rPr>
        <w:t>dzīvo</w:t>
      </w:r>
      <w:r w:rsidR="00D16C14" w:rsidRPr="00D16C14">
        <w:rPr>
          <w:rFonts w:ascii="Times New Roman" w:hAnsi="Times New Roman"/>
          <w:sz w:val="24"/>
          <w:szCs w:val="20"/>
          <w:lang w:val="lv-LV" w:eastAsia="lv-LV" w:bidi="lv-LV"/>
        </w:rPr>
        <w:t xml:space="preserve"> 577</w:t>
      </w:r>
      <w:r w:rsidR="00D16C14">
        <w:rPr>
          <w:rFonts w:ascii="Times New Roman" w:hAnsi="Times New Roman"/>
          <w:sz w:val="24"/>
          <w:szCs w:val="20"/>
          <w:lang w:val="lv-LV" w:eastAsia="lv-LV" w:bidi="lv-LV"/>
        </w:rPr>
        <w:t xml:space="preserve"> </w:t>
      </w:r>
      <w:r w:rsidR="00D16C14" w:rsidRPr="00D16C14">
        <w:rPr>
          <w:rFonts w:ascii="Times New Roman" w:hAnsi="Times New Roman"/>
          <w:sz w:val="24"/>
          <w:szCs w:val="20"/>
          <w:lang w:val="lv-LV" w:eastAsia="lv-LV" w:bidi="lv-LV"/>
        </w:rPr>
        <w:t>95</w:t>
      </w:r>
      <w:r w:rsidR="00D16C14">
        <w:rPr>
          <w:rFonts w:ascii="Times New Roman" w:hAnsi="Times New Roman"/>
          <w:sz w:val="24"/>
          <w:szCs w:val="20"/>
          <w:lang w:val="lv-LV" w:eastAsia="lv-LV" w:bidi="lv-LV"/>
        </w:rPr>
        <w:t>0</w:t>
      </w:r>
      <w:r w:rsidR="00D16C14" w:rsidRPr="00D16C14">
        <w:rPr>
          <w:rFonts w:ascii="Times New Roman" w:hAnsi="Times New Roman"/>
          <w:sz w:val="24"/>
          <w:szCs w:val="20"/>
          <w:lang w:val="lv-LV" w:eastAsia="lv-LV" w:bidi="lv-LV"/>
        </w:rPr>
        <w:t xml:space="preserve"> iedzīvotāj</w:t>
      </w:r>
      <w:r w:rsidR="006C1967">
        <w:rPr>
          <w:rFonts w:ascii="Times New Roman" w:hAnsi="Times New Roman"/>
          <w:sz w:val="24"/>
          <w:szCs w:val="20"/>
          <w:lang w:val="lv-LV" w:eastAsia="lv-LV" w:bidi="lv-LV"/>
        </w:rPr>
        <w:t>u</w:t>
      </w:r>
      <w:r w:rsidR="00D16C14" w:rsidRPr="00D16C14">
        <w:rPr>
          <w:rFonts w:ascii="Times New Roman" w:hAnsi="Times New Roman"/>
          <w:sz w:val="24"/>
          <w:szCs w:val="20"/>
          <w:lang w:val="lv-LV" w:eastAsia="lv-LV" w:bidi="lv-LV"/>
        </w:rPr>
        <w:t xml:space="preserve"> jeb 30.3%.</w:t>
      </w:r>
    </w:p>
    <w:p w14:paraId="67FD4492" w14:textId="65E03D1C"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sniedziet jebkādu citu būtisku informāciju, kas var būt noderīga, lai noskaidrotu atbalsta pasākuma vispārējo kontekstu:</w:t>
      </w:r>
    </w:p>
    <w:p w14:paraId="00564E63" w14:textId="691C1DEB" w:rsidR="00C40620" w:rsidRDefault="005133BE" w:rsidP="005D7E73">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Baltoties uz Pētījuma datiem, </w:t>
      </w:r>
      <w:r w:rsidR="00647775">
        <w:rPr>
          <w:rFonts w:ascii="Times New Roman" w:eastAsia="Times New Roman" w:hAnsi="Times New Roman"/>
          <w:sz w:val="24"/>
          <w:szCs w:val="24"/>
          <w:lang w:val="lv-LV" w:eastAsia="lv-LV" w:bidi="lv-LV"/>
        </w:rPr>
        <w:t>i</w:t>
      </w:r>
      <w:r w:rsidR="00647775" w:rsidRPr="00647775">
        <w:rPr>
          <w:rFonts w:ascii="Times New Roman" w:eastAsia="Times New Roman" w:hAnsi="Times New Roman"/>
          <w:sz w:val="24"/>
          <w:szCs w:val="24"/>
          <w:lang w:val="lv-LV" w:eastAsia="lv-LV" w:bidi="lv-LV"/>
        </w:rPr>
        <w:t>nvestīciju nepietiekamība “pēdējās jūdzes” infrastruktūrai</w:t>
      </w:r>
      <w:r>
        <w:rPr>
          <w:rFonts w:ascii="Times New Roman" w:eastAsia="Times New Roman" w:hAnsi="Times New Roman"/>
          <w:sz w:val="24"/>
          <w:szCs w:val="24"/>
          <w:lang w:val="lv-LV" w:eastAsia="lv-LV" w:bidi="lv-LV"/>
        </w:rPr>
        <w:t xml:space="preserve"> sasniedz </w:t>
      </w:r>
      <w:r w:rsidR="00647775" w:rsidRPr="00647775">
        <w:rPr>
          <w:rFonts w:ascii="Times New Roman" w:eastAsia="Times New Roman" w:hAnsi="Times New Roman"/>
          <w:sz w:val="24"/>
          <w:szCs w:val="24"/>
          <w:lang w:val="lv-LV" w:eastAsia="lv-LV" w:bidi="lv-LV"/>
        </w:rPr>
        <w:t>līdz 957 milj. EUR</w:t>
      </w:r>
      <w:r>
        <w:rPr>
          <w:rFonts w:ascii="Times New Roman" w:eastAsia="Times New Roman" w:hAnsi="Times New Roman"/>
          <w:sz w:val="24"/>
          <w:szCs w:val="24"/>
          <w:lang w:val="lv-LV" w:eastAsia="lv-LV" w:bidi="lv-LV"/>
        </w:rPr>
        <w:t>. Vienlaikus jāņem vērā, ka Pētījuma laikā</w:t>
      </w:r>
      <w:r w:rsidRPr="005133BE">
        <w:rPr>
          <w:rFonts w:ascii="Times New Roman" w:eastAsia="Times New Roman" w:hAnsi="Times New Roman"/>
          <w:sz w:val="24"/>
          <w:szCs w:val="24"/>
          <w:lang w:val="lv-LV" w:eastAsia="lv-LV" w:bidi="lv-LV"/>
        </w:rPr>
        <w:t xml:space="preserve"> netika iegūta informācija par elektronisko sakaru komersantu attīstības plāniem (neviens no elektronisko sakaru komersantiem pētījuma laikā organizētās aptaujas </w:t>
      </w:r>
      <w:r w:rsidRPr="005133BE">
        <w:rPr>
          <w:rFonts w:ascii="Times New Roman" w:eastAsia="Times New Roman" w:hAnsi="Times New Roman"/>
          <w:sz w:val="24"/>
          <w:szCs w:val="24"/>
          <w:lang w:val="lv-LV" w:eastAsia="lv-LV" w:bidi="lv-LV"/>
        </w:rPr>
        <w:lastRenderedPageBreak/>
        <w:t>ietvaros neiesniedza šādu informāciju), līdz ar to investīciju nepietiekamības aprēķins ietver arī daļu no privātajām investīcijām.</w:t>
      </w:r>
      <w:r w:rsidR="00254AB5">
        <w:rPr>
          <w:rFonts w:ascii="Times New Roman" w:eastAsia="Times New Roman" w:hAnsi="Times New Roman"/>
          <w:sz w:val="24"/>
          <w:szCs w:val="24"/>
          <w:lang w:val="lv-LV" w:eastAsia="lv-LV" w:bidi="lv-LV"/>
        </w:rPr>
        <w:t xml:space="preserve"> Ņemot to vērā, īpaša uzmanība tiks veltīta sabiedriskās apspriešanas nodrošināšanai. </w:t>
      </w:r>
    </w:p>
    <w:p w14:paraId="0A09E8E3" w14:textId="77777777" w:rsidR="00C40620" w:rsidRPr="009B1719"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Kāda veida ieguldījumu un uzņēmējdarbības </w:t>
      </w:r>
      <w:r w:rsidRPr="009B1719">
        <w:rPr>
          <w:rFonts w:ascii="Times New Roman" w:eastAsia="Times New Roman" w:hAnsi="Times New Roman"/>
          <w:sz w:val="24"/>
          <w:szCs w:val="24"/>
          <w:lang w:val="lv-LV" w:eastAsia="lv-LV" w:bidi="lv-LV"/>
        </w:rPr>
        <w:t>modelis tiks izvēlēts</w:t>
      </w:r>
      <w:r w:rsidRPr="009B1719">
        <w:rPr>
          <w:rFonts w:ascii="Times New Roman" w:eastAsia="Times New Roman" w:hAnsi="Times New Roman"/>
          <w:sz w:val="24"/>
          <w:szCs w:val="24"/>
          <w:vertAlign w:val="superscript"/>
          <w:lang w:val="lv-LV" w:eastAsia="lv-LV" w:bidi="lv-LV"/>
        </w:rPr>
        <w:footnoteReference w:id="15"/>
      </w:r>
      <w:r w:rsidRPr="009B1719">
        <w:rPr>
          <w:rFonts w:ascii="Times New Roman" w:eastAsia="Times New Roman" w:hAnsi="Times New Roman"/>
          <w:sz w:val="24"/>
          <w:szCs w:val="24"/>
          <w:lang w:val="lv-LV" w:eastAsia="lv-LV" w:bidi="lv-LV"/>
        </w:rPr>
        <w:t>?</w:t>
      </w:r>
    </w:p>
    <w:p w14:paraId="3937F36E" w14:textId="5FBD5426" w:rsidR="00C40620" w:rsidRPr="00C40620" w:rsidRDefault="002D7459"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9B1719">
        <w:rPr>
          <w:rFonts w:ascii="Times New Roman" w:eastAsia="Times New Roman" w:hAnsi="Times New Roman"/>
          <w:sz w:val="24"/>
          <w:szCs w:val="24"/>
          <w:lang w:val="lv-LV" w:eastAsia="lv-LV" w:bidi="lv-LV"/>
        </w:rPr>
        <w:t xml:space="preserve">Kā ieguldījumu modelis izvēlēts </w:t>
      </w:r>
      <w:r w:rsidR="00811B0D" w:rsidRPr="009B1719">
        <w:rPr>
          <w:rFonts w:ascii="Times New Roman" w:eastAsia="Times New Roman" w:hAnsi="Times New Roman"/>
          <w:sz w:val="24"/>
          <w:szCs w:val="24"/>
          <w:lang w:val="lv-LV" w:eastAsia="lv-LV" w:bidi="lv-LV"/>
        </w:rPr>
        <w:t>privāti</w:t>
      </w:r>
      <w:r w:rsidRPr="009B1719">
        <w:rPr>
          <w:rFonts w:ascii="Times New Roman" w:eastAsia="Times New Roman" w:hAnsi="Times New Roman"/>
          <w:sz w:val="24"/>
          <w:szCs w:val="24"/>
          <w:lang w:val="lv-LV" w:eastAsia="lv-LV" w:bidi="lv-LV"/>
        </w:rPr>
        <w:t xml:space="preserve"> pārvaldīta tīkla modelis un attiecīgi kā uzņēmējdarbības modelis - </w:t>
      </w:r>
      <w:r w:rsidR="003060E9" w:rsidRPr="009B1719">
        <w:rPr>
          <w:rFonts w:ascii="Times New Roman" w:eastAsia="Times New Roman" w:hAnsi="Times New Roman"/>
          <w:sz w:val="24"/>
          <w:szCs w:val="24"/>
          <w:lang w:val="lv-LV" w:eastAsia="lv-LV" w:bidi="lv-LV"/>
        </w:rPr>
        <w:t>aktīvā</w:t>
      </w:r>
      <w:r w:rsidRPr="009B1719">
        <w:rPr>
          <w:rFonts w:ascii="Times New Roman" w:eastAsia="Times New Roman" w:hAnsi="Times New Roman"/>
          <w:sz w:val="24"/>
          <w:szCs w:val="24"/>
          <w:lang w:val="lv-LV" w:eastAsia="lv-LV" w:bidi="lv-LV"/>
        </w:rPr>
        <w:t xml:space="preserve"> slāņa atvērtais modelis. Tie paredz, ka investīcijas infrastruktūrā veic </w:t>
      </w:r>
      <w:r w:rsidR="003060E9" w:rsidRPr="009B1719">
        <w:rPr>
          <w:rFonts w:ascii="Times New Roman" w:eastAsia="Times New Roman" w:hAnsi="Times New Roman"/>
          <w:sz w:val="24"/>
          <w:szCs w:val="24"/>
          <w:lang w:val="lv-LV" w:eastAsia="lv-LV" w:bidi="lv-LV"/>
        </w:rPr>
        <w:t>par publiskiem līdzekļiem</w:t>
      </w:r>
      <w:r w:rsidR="00822AAA" w:rsidRPr="009B1719">
        <w:rPr>
          <w:rFonts w:ascii="Times New Roman" w:eastAsia="Times New Roman" w:hAnsi="Times New Roman"/>
          <w:sz w:val="24"/>
          <w:szCs w:val="24"/>
          <w:lang w:val="lv-LV" w:eastAsia="lv-LV" w:bidi="lv-LV"/>
        </w:rPr>
        <w:t xml:space="preserve"> ar elektroniskā sakara operatora līdzfinansējumu 15%</w:t>
      </w:r>
      <w:r w:rsidR="000025B6" w:rsidRPr="009B1719">
        <w:rPr>
          <w:rFonts w:ascii="Times New Roman" w:eastAsia="Times New Roman" w:hAnsi="Times New Roman"/>
          <w:sz w:val="24"/>
          <w:szCs w:val="24"/>
          <w:lang w:val="lv-LV" w:eastAsia="lv-LV" w:bidi="lv-LV"/>
        </w:rPr>
        <w:t>-21%</w:t>
      </w:r>
      <w:r w:rsidR="00822AAA" w:rsidRPr="009B1719">
        <w:rPr>
          <w:rFonts w:ascii="Times New Roman" w:eastAsia="Times New Roman" w:hAnsi="Times New Roman"/>
          <w:sz w:val="24"/>
          <w:szCs w:val="24"/>
          <w:lang w:val="lv-LV" w:eastAsia="lv-LV" w:bidi="lv-LV"/>
        </w:rPr>
        <w:t xml:space="preserve"> apmērā</w:t>
      </w:r>
      <w:r w:rsidR="000025B6" w:rsidRPr="009B1719">
        <w:rPr>
          <w:rFonts w:ascii="Times New Roman" w:eastAsia="Times New Roman" w:hAnsi="Times New Roman"/>
          <w:sz w:val="24"/>
          <w:szCs w:val="24"/>
          <w:lang w:val="lv-LV" w:eastAsia="lv-LV" w:bidi="lv-LV"/>
        </w:rPr>
        <w:t xml:space="preserve"> (Līdzfinansējums 15% Eiropas attīstības Reģionālā attīstības fonda projektu gadījumā vai finansējums pievienotās vērtības nodokļa 21% apmērā Atveseļošanās un noturības mehānisma projektu gadījumā plānots no elektronisko sakaru operatoru līdzekļiem).</w:t>
      </w:r>
      <w:r w:rsidR="00822AAA" w:rsidRPr="009B1719">
        <w:rPr>
          <w:rFonts w:ascii="Times New Roman" w:eastAsia="Times New Roman" w:hAnsi="Times New Roman"/>
          <w:sz w:val="24"/>
          <w:szCs w:val="24"/>
          <w:lang w:val="lv-LV" w:eastAsia="lv-LV" w:bidi="lv-LV"/>
        </w:rPr>
        <w:t xml:space="preserve"> Ar valsts atbalstu izveidotā </w:t>
      </w:r>
      <w:r w:rsidRPr="009B1719">
        <w:rPr>
          <w:rFonts w:ascii="Times New Roman" w:eastAsia="Times New Roman" w:hAnsi="Times New Roman"/>
          <w:sz w:val="24"/>
          <w:szCs w:val="24"/>
          <w:lang w:val="lv-LV" w:eastAsia="lv-LV" w:bidi="lv-LV"/>
        </w:rPr>
        <w:t xml:space="preserve">infrastruktūra pieder </w:t>
      </w:r>
      <w:r w:rsidR="003060E9" w:rsidRPr="009B1719">
        <w:rPr>
          <w:rFonts w:ascii="Times New Roman" w:eastAsia="Times New Roman" w:hAnsi="Times New Roman"/>
          <w:sz w:val="24"/>
          <w:szCs w:val="24"/>
          <w:lang w:val="lv-LV" w:eastAsia="lv-LV" w:bidi="lv-LV"/>
        </w:rPr>
        <w:t>elektronisko sakaru komersantam, bet elektronisko sakaru komersantam ir jānodrošina koplietošana citiem e</w:t>
      </w:r>
      <w:r w:rsidR="001939AD" w:rsidRPr="009B1719">
        <w:rPr>
          <w:rFonts w:ascii="Times New Roman" w:eastAsia="Times New Roman" w:hAnsi="Times New Roman"/>
          <w:sz w:val="24"/>
          <w:szCs w:val="24"/>
          <w:lang w:val="lv-LV" w:eastAsia="lv-LV" w:bidi="lv-LV"/>
        </w:rPr>
        <w:t>lektronisko sakaru operatoriem uz godīgiem un nediskriminējošiem noteikumiem</w:t>
      </w:r>
      <w:r w:rsidR="003060E9" w:rsidRPr="009B1719">
        <w:rPr>
          <w:rFonts w:ascii="Times New Roman" w:eastAsia="Times New Roman" w:hAnsi="Times New Roman"/>
          <w:sz w:val="24"/>
          <w:szCs w:val="24"/>
          <w:lang w:val="lv-LV" w:eastAsia="lv-LV" w:bidi="lv-LV"/>
        </w:rPr>
        <w:t xml:space="preserve"> pēc galalietotāja pieprasījuma</w:t>
      </w:r>
      <w:r w:rsidR="001939AD" w:rsidRPr="009B1719">
        <w:rPr>
          <w:rFonts w:ascii="Times New Roman" w:eastAsia="Times New Roman" w:hAnsi="Times New Roman"/>
          <w:sz w:val="24"/>
          <w:szCs w:val="24"/>
          <w:lang w:val="lv-LV" w:eastAsia="lv-LV" w:bidi="lv-LV"/>
        </w:rPr>
        <w:t>.</w:t>
      </w:r>
      <w:r w:rsidR="001939AD">
        <w:rPr>
          <w:rFonts w:ascii="Times New Roman" w:eastAsia="Times New Roman" w:hAnsi="Times New Roman"/>
          <w:sz w:val="24"/>
          <w:szCs w:val="24"/>
          <w:lang w:val="lv-LV" w:eastAsia="lv-LV" w:bidi="lv-LV"/>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56C8E583" w14:textId="77777777" w:rsidTr="00C40620">
        <w:tc>
          <w:tcPr>
            <w:tcW w:w="9356" w:type="dxa"/>
            <w:shd w:val="clear" w:color="auto" w:fill="D9D9D9"/>
          </w:tcPr>
          <w:p w14:paraId="32829633"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Atbalsta pasākuma process un piešķiršana</w:t>
            </w:r>
          </w:p>
        </w:tc>
      </w:tr>
    </w:tbl>
    <w:p w14:paraId="7419BB43" w14:textId="77777777" w:rsidR="00C40620" w:rsidRPr="00C40620" w:rsidRDefault="00C40620" w:rsidP="00C40620">
      <w:pPr>
        <w:keepNext/>
        <w:spacing w:before="240" w:after="120" w:line="240" w:lineRule="auto"/>
        <w:ind w:left="482"/>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Kartēšana, pārklājuma analīze </w:t>
      </w:r>
    </w:p>
    <w:p w14:paraId="1A31F007"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 ir atbalsta darbības joma teritoriālā pārklājuma ziņā?</w:t>
      </w:r>
    </w:p>
    <w:p w14:paraId="08D20B99" w14:textId="5EC3449F" w:rsidR="002E5D27" w:rsidRPr="002E5D27" w:rsidRDefault="00012D16" w:rsidP="00012D16">
      <w:pPr>
        <w:spacing w:after="0" w:line="240" w:lineRule="auto"/>
        <w:ind w:left="709"/>
        <w:jc w:val="both"/>
        <w:rPr>
          <w:rFonts w:ascii="Times New Roman" w:hAnsi="Times New Roman"/>
          <w:sz w:val="24"/>
          <w:szCs w:val="24"/>
          <w:lang w:val="lv-LV"/>
        </w:rPr>
      </w:pPr>
      <w:r>
        <w:rPr>
          <w:rFonts w:ascii="Times New Roman" w:hAnsi="Times New Roman"/>
          <w:sz w:val="24"/>
          <w:szCs w:val="24"/>
          <w:lang w:val="lv-LV"/>
        </w:rPr>
        <w:t>Atbalsta darbības joma teritoriālā pārklājuma ziņā, b</w:t>
      </w:r>
      <w:r w:rsidR="002E5D27" w:rsidRPr="002E5D27">
        <w:rPr>
          <w:rFonts w:ascii="Times New Roman" w:hAnsi="Times New Roman"/>
          <w:sz w:val="24"/>
          <w:szCs w:val="24"/>
          <w:lang w:val="lv-LV"/>
        </w:rPr>
        <w:t xml:space="preserve">alstoties uz Pētījumā </w:t>
      </w:r>
      <w:r w:rsidR="00FE72D7">
        <w:rPr>
          <w:rFonts w:ascii="Times New Roman" w:hAnsi="Times New Roman"/>
          <w:sz w:val="24"/>
          <w:szCs w:val="24"/>
          <w:lang w:val="lv-LV"/>
        </w:rPr>
        <w:t xml:space="preserve">minēto </w:t>
      </w:r>
      <w:r w:rsidR="002E5D27" w:rsidRPr="002E5D27">
        <w:rPr>
          <w:rFonts w:ascii="Times New Roman" w:hAnsi="Times New Roman"/>
          <w:sz w:val="24"/>
          <w:szCs w:val="24"/>
          <w:lang w:val="lv-LV"/>
        </w:rPr>
        <w:t>informāciju</w:t>
      </w:r>
      <w:r w:rsidR="00204650">
        <w:rPr>
          <w:rFonts w:ascii="Times New Roman" w:hAnsi="Times New Roman"/>
          <w:sz w:val="24"/>
          <w:szCs w:val="24"/>
          <w:lang w:val="lv-LV"/>
        </w:rPr>
        <w:t xml:space="preserve"> (skat. </w:t>
      </w:r>
      <w:r w:rsidR="00AE5459">
        <w:rPr>
          <w:rFonts w:ascii="Times New Roman" w:hAnsi="Times New Roman"/>
          <w:sz w:val="24"/>
          <w:szCs w:val="24"/>
          <w:lang w:val="lv-LV"/>
        </w:rPr>
        <w:t xml:space="preserve">papildu informāciju </w:t>
      </w:r>
      <w:r w:rsidR="00204650">
        <w:rPr>
          <w:rFonts w:ascii="Times New Roman" w:hAnsi="Times New Roman"/>
          <w:sz w:val="24"/>
          <w:szCs w:val="24"/>
          <w:lang w:val="lv-LV"/>
        </w:rPr>
        <w:t>1.7. un 2.2. punkt</w:t>
      </w:r>
      <w:r w:rsidR="00AE5459">
        <w:rPr>
          <w:rFonts w:ascii="Times New Roman" w:hAnsi="Times New Roman"/>
          <w:sz w:val="24"/>
          <w:szCs w:val="24"/>
          <w:lang w:val="lv-LV"/>
        </w:rPr>
        <w:t>ā</w:t>
      </w:r>
      <w:r w:rsidR="00204650">
        <w:rPr>
          <w:rFonts w:ascii="Times New Roman" w:hAnsi="Times New Roman"/>
          <w:sz w:val="24"/>
          <w:szCs w:val="24"/>
          <w:lang w:val="lv-LV"/>
        </w:rPr>
        <w:t>)</w:t>
      </w:r>
      <w:r w:rsidR="002E5D27" w:rsidRPr="002E5D27">
        <w:rPr>
          <w:rFonts w:ascii="Times New Roman" w:hAnsi="Times New Roman"/>
          <w:sz w:val="24"/>
          <w:szCs w:val="24"/>
          <w:lang w:val="lv-LV"/>
        </w:rPr>
        <w:t xml:space="preserve">, </w:t>
      </w:r>
      <w:r w:rsidR="00204650" w:rsidRPr="00D16C14">
        <w:rPr>
          <w:rFonts w:ascii="Times New Roman" w:hAnsi="Times New Roman"/>
          <w:sz w:val="24"/>
          <w:szCs w:val="20"/>
          <w:lang w:val="lv-LV" w:eastAsia="lv-LV" w:bidi="lv-LV"/>
        </w:rPr>
        <w:t xml:space="preserve">VHCN baltās teritorijas, ko veido visa Latvijas valsts teritorija, izņemot tās teritorijas, kurās ir piekļuve platjoslas optikai, </w:t>
      </w:r>
      <w:r w:rsidR="00204650">
        <w:rPr>
          <w:rFonts w:ascii="Times New Roman" w:hAnsi="Times New Roman"/>
          <w:sz w:val="24"/>
          <w:szCs w:val="20"/>
          <w:lang w:val="lv-LV" w:eastAsia="lv-LV" w:bidi="lv-LV"/>
        </w:rPr>
        <w:t xml:space="preserve">ir </w:t>
      </w:r>
      <w:r w:rsidR="00204650" w:rsidRPr="00D16C14">
        <w:rPr>
          <w:rFonts w:ascii="Times New Roman" w:hAnsi="Times New Roman"/>
          <w:sz w:val="24"/>
          <w:szCs w:val="20"/>
          <w:lang w:val="lv-LV" w:eastAsia="lv-LV" w:bidi="lv-LV"/>
        </w:rPr>
        <w:t>98.4% no visas Latvijas valsts teritorijas</w:t>
      </w:r>
      <w:r w:rsidR="00204650">
        <w:rPr>
          <w:rFonts w:ascii="Times New Roman" w:hAnsi="Times New Roman"/>
          <w:sz w:val="24"/>
          <w:szCs w:val="20"/>
          <w:lang w:val="lv-LV" w:eastAsia="lv-LV" w:bidi="lv-LV"/>
        </w:rPr>
        <w:t>, savukārt, š</w:t>
      </w:r>
      <w:r w:rsidR="00204650" w:rsidRPr="00D16C14">
        <w:rPr>
          <w:rFonts w:ascii="Times New Roman" w:hAnsi="Times New Roman"/>
          <w:sz w:val="24"/>
          <w:szCs w:val="20"/>
          <w:lang w:val="lv-LV" w:eastAsia="lv-LV" w:bidi="lv-LV"/>
        </w:rPr>
        <w:t xml:space="preserve">ajā teritorijā </w:t>
      </w:r>
      <w:r w:rsidR="00204650">
        <w:rPr>
          <w:rFonts w:ascii="Times New Roman" w:hAnsi="Times New Roman"/>
          <w:sz w:val="24"/>
          <w:szCs w:val="20"/>
          <w:lang w:val="lv-LV" w:eastAsia="lv-LV" w:bidi="lv-LV"/>
        </w:rPr>
        <w:t>dzīvo</w:t>
      </w:r>
      <w:r w:rsidR="00204650" w:rsidRPr="00D16C14">
        <w:rPr>
          <w:rFonts w:ascii="Times New Roman" w:hAnsi="Times New Roman"/>
          <w:sz w:val="24"/>
          <w:szCs w:val="20"/>
          <w:lang w:val="lv-LV" w:eastAsia="lv-LV" w:bidi="lv-LV"/>
        </w:rPr>
        <w:t xml:space="preserve"> 577</w:t>
      </w:r>
      <w:r w:rsidR="00204650">
        <w:rPr>
          <w:rFonts w:ascii="Times New Roman" w:hAnsi="Times New Roman"/>
          <w:sz w:val="24"/>
          <w:szCs w:val="20"/>
          <w:lang w:val="lv-LV" w:eastAsia="lv-LV" w:bidi="lv-LV"/>
        </w:rPr>
        <w:t xml:space="preserve"> </w:t>
      </w:r>
      <w:r w:rsidR="00204650" w:rsidRPr="00D16C14">
        <w:rPr>
          <w:rFonts w:ascii="Times New Roman" w:hAnsi="Times New Roman"/>
          <w:sz w:val="24"/>
          <w:szCs w:val="20"/>
          <w:lang w:val="lv-LV" w:eastAsia="lv-LV" w:bidi="lv-LV"/>
        </w:rPr>
        <w:t>95</w:t>
      </w:r>
      <w:r w:rsidR="00204650">
        <w:rPr>
          <w:rFonts w:ascii="Times New Roman" w:hAnsi="Times New Roman"/>
          <w:sz w:val="24"/>
          <w:szCs w:val="20"/>
          <w:lang w:val="lv-LV" w:eastAsia="lv-LV" w:bidi="lv-LV"/>
        </w:rPr>
        <w:t>0</w:t>
      </w:r>
      <w:r w:rsidR="00204650" w:rsidRPr="00D16C14">
        <w:rPr>
          <w:rFonts w:ascii="Times New Roman" w:hAnsi="Times New Roman"/>
          <w:sz w:val="24"/>
          <w:szCs w:val="20"/>
          <w:lang w:val="lv-LV" w:eastAsia="lv-LV" w:bidi="lv-LV"/>
        </w:rPr>
        <w:t xml:space="preserve"> iedzīvotāj</w:t>
      </w:r>
      <w:r w:rsidR="00204650">
        <w:rPr>
          <w:rFonts w:ascii="Times New Roman" w:hAnsi="Times New Roman"/>
          <w:sz w:val="24"/>
          <w:szCs w:val="20"/>
          <w:lang w:val="lv-LV" w:eastAsia="lv-LV" w:bidi="lv-LV"/>
        </w:rPr>
        <w:t>u</w:t>
      </w:r>
      <w:r w:rsidR="00204650" w:rsidRPr="00D16C14">
        <w:rPr>
          <w:rFonts w:ascii="Times New Roman" w:hAnsi="Times New Roman"/>
          <w:sz w:val="24"/>
          <w:szCs w:val="20"/>
          <w:lang w:val="lv-LV" w:eastAsia="lv-LV" w:bidi="lv-LV"/>
        </w:rPr>
        <w:t xml:space="preserve"> jeb 30.3%</w:t>
      </w:r>
      <w:r w:rsidR="009A425C">
        <w:rPr>
          <w:rFonts w:ascii="Times New Roman" w:hAnsi="Times New Roman"/>
          <w:sz w:val="24"/>
          <w:szCs w:val="20"/>
          <w:lang w:val="lv-LV" w:eastAsia="lv-LV" w:bidi="lv-LV"/>
        </w:rPr>
        <w:t xml:space="preserve"> (</w:t>
      </w:r>
      <w:r w:rsidR="00441E06">
        <w:rPr>
          <w:rFonts w:ascii="Times New Roman" w:hAnsi="Times New Roman"/>
          <w:sz w:val="24"/>
          <w:szCs w:val="20"/>
          <w:lang w:val="lv-LV" w:eastAsia="lv-LV" w:bidi="lv-LV"/>
        </w:rPr>
        <w:t xml:space="preserve">Skat. </w:t>
      </w:r>
      <w:r w:rsidR="00202FE5">
        <w:rPr>
          <w:rFonts w:ascii="Times New Roman" w:hAnsi="Times New Roman"/>
          <w:sz w:val="24"/>
          <w:szCs w:val="20"/>
          <w:lang w:val="lv-LV" w:eastAsia="lv-LV" w:bidi="lv-LV"/>
        </w:rPr>
        <w:t>3. un 4. pielikumu</w:t>
      </w:r>
      <w:r w:rsidR="009A425C">
        <w:rPr>
          <w:rFonts w:ascii="Times New Roman" w:hAnsi="Times New Roman"/>
          <w:sz w:val="24"/>
          <w:szCs w:val="20"/>
          <w:lang w:val="lv-LV" w:eastAsia="lv-LV" w:bidi="lv-LV"/>
        </w:rPr>
        <w:t>)</w:t>
      </w:r>
      <w:r w:rsidR="00202FE5">
        <w:rPr>
          <w:rFonts w:ascii="Times New Roman" w:hAnsi="Times New Roman"/>
          <w:sz w:val="24"/>
          <w:szCs w:val="20"/>
          <w:lang w:val="lv-LV" w:eastAsia="lv-LV" w:bidi="lv-LV"/>
        </w:rPr>
        <w:t xml:space="preserve">. </w:t>
      </w:r>
      <w:r w:rsidR="007C770A">
        <w:rPr>
          <w:rFonts w:ascii="Times New Roman" w:hAnsi="Times New Roman"/>
          <w:sz w:val="24"/>
          <w:szCs w:val="20"/>
          <w:lang w:val="lv-LV" w:eastAsia="lv-LV" w:bidi="lv-LV"/>
        </w:rPr>
        <w:t xml:space="preserve">Ņemot vērā plānošanas reģiona priekšlikumus, ir </w:t>
      </w:r>
      <w:r w:rsidR="00B35AE4">
        <w:rPr>
          <w:rFonts w:ascii="Times New Roman" w:hAnsi="Times New Roman"/>
          <w:sz w:val="24"/>
          <w:szCs w:val="20"/>
          <w:lang w:val="lv-LV" w:eastAsia="lv-LV" w:bidi="lv-LV"/>
        </w:rPr>
        <w:t>identificēti objekti, kuros ir nepieciešams V</w:t>
      </w:r>
      <w:r w:rsidR="007C09CD">
        <w:rPr>
          <w:rFonts w:ascii="Times New Roman" w:hAnsi="Times New Roman"/>
          <w:sz w:val="24"/>
          <w:szCs w:val="20"/>
          <w:lang w:val="lv-LV" w:eastAsia="lv-LV" w:bidi="lv-LV"/>
        </w:rPr>
        <w:t xml:space="preserve">HCN (skat. </w:t>
      </w:r>
      <w:r w:rsidR="00730740">
        <w:rPr>
          <w:rFonts w:ascii="Times New Roman" w:hAnsi="Times New Roman"/>
          <w:sz w:val="24"/>
          <w:szCs w:val="20"/>
          <w:lang w:val="lv-LV" w:eastAsia="lv-LV" w:bidi="lv-LV"/>
        </w:rPr>
        <w:t>5. pielikumu). Daļ</w:t>
      </w:r>
      <w:r w:rsidR="00D65D80">
        <w:rPr>
          <w:rFonts w:ascii="Times New Roman" w:hAnsi="Times New Roman"/>
          <w:sz w:val="24"/>
          <w:szCs w:val="20"/>
          <w:lang w:val="lv-LV" w:eastAsia="lv-LV" w:bidi="lv-LV"/>
        </w:rPr>
        <w:t>a</w:t>
      </w:r>
      <w:r w:rsidR="00730740">
        <w:rPr>
          <w:rFonts w:ascii="Times New Roman" w:hAnsi="Times New Roman"/>
          <w:sz w:val="24"/>
          <w:szCs w:val="20"/>
          <w:lang w:val="lv-LV" w:eastAsia="lv-LV" w:bidi="lv-LV"/>
        </w:rPr>
        <w:t xml:space="preserve"> no objektiem</w:t>
      </w:r>
      <w:r w:rsidR="00D65D80">
        <w:rPr>
          <w:rFonts w:ascii="Times New Roman" w:hAnsi="Times New Roman"/>
          <w:sz w:val="24"/>
          <w:szCs w:val="20"/>
          <w:lang w:val="lv-LV" w:eastAsia="lv-LV" w:bidi="lv-LV"/>
        </w:rPr>
        <w:t xml:space="preserve"> projektu atlases nolikuma prasībās tiks noteikti kā obligāti ierīkojami, daļa</w:t>
      </w:r>
      <w:r w:rsidR="00096FB5">
        <w:rPr>
          <w:rFonts w:ascii="Times New Roman" w:hAnsi="Times New Roman"/>
          <w:sz w:val="24"/>
          <w:szCs w:val="20"/>
          <w:lang w:val="lv-LV" w:eastAsia="lv-LV" w:bidi="lv-LV"/>
        </w:rPr>
        <w:t xml:space="preserve"> – kā tādi, par kuriem var saņemt papildu punktus</w:t>
      </w:r>
      <w:r w:rsidR="001A117F">
        <w:rPr>
          <w:rFonts w:ascii="Times New Roman" w:hAnsi="Times New Roman"/>
          <w:sz w:val="24"/>
          <w:szCs w:val="20"/>
          <w:lang w:val="lv-LV" w:eastAsia="lv-LV" w:bidi="lv-LV"/>
        </w:rPr>
        <w:t xml:space="preserve"> projektu atlases konkursā</w:t>
      </w:r>
      <w:r w:rsidR="00096FB5">
        <w:rPr>
          <w:rFonts w:ascii="Times New Roman" w:hAnsi="Times New Roman"/>
          <w:sz w:val="24"/>
          <w:szCs w:val="20"/>
          <w:lang w:val="lv-LV" w:eastAsia="lv-LV" w:bidi="lv-LV"/>
        </w:rPr>
        <w:t xml:space="preserve">. </w:t>
      </w:r>
    </w:p>
    <w:p w14:paraId="539D1E64"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sniedziet informāciju (norādot datumu) un iesniedziet rezultātus, kuri izriet no detalizētās kartēšanas un pārklājuma analīzes, kas veiktas, lai skaidri noteiktu </w:t>
      </w:r>
      <w:proofErr w:type="spellStart"/>
      <w:r w:rsidRPr="00C40620">
        <w:rPr>
          <w:rFonts w:ascii="Times New Roman" w:eastAsia="Times New Roman" w:hAnsi="Times New Roman"/>
          <w:sz w:val="24"/>
          <w:szCs w:val="24"/>
          <w:lang w:val="lv-LV" w:eastAsia="lv-LV" w:bidi="lv-LV"/>
        </w:rPr>
        <w:t>mērķteritorijas</w:t>
      </w:r>
      <w:proofErr w:type="spellEnd"/>
      <w:r w:rsidRPr="00C40620">
        <w:rPr>
          <w:rFonts w:ascii="Times New Roman" w:eastAsia="Times New Roman" w:hAnsi="Times New Roman"/>
          <w:sz w:val="24"/>
          <w:szCs w:val="24"/>
          <w:lang w:val="lv-LV" w:eastAsia="lv-LV" w:bidi="lv-LV"/>
        </w:rPr>
        <w:t xml:space="preserve">: </w:t>
      </w:r>
    </w:p>
    <w:p w14:paraId="3CD9804B" w14:textId="5C2A3008" w:rsidR="001C4D47" w:rsidRPr="008E1A38" w:rsidRDefault="001C4D47" w:rsidP="008E1A38">
      <w:pPr>
        <w:spacing w:after="0" w:line="240" w:lineRule="auto"/>
        <w:ind w:left="709"/>
        <w:jc w:val="both"/>
        <w:rPr>
          <w:rFonts w:ascii="Times New Roman" w:hAnsi="Times New Roman"/>
          <w:sz w:val="24"/>
          <w:szCs w:val="24"/>
          <w:lang w:val="lv-LV"/>
        </w:rPr>
      </w:pPr>
      <w:r w:rsidRPr="008E1A38">
        <w:rPr>
          <w:rFonts w:ascii="Times New Roman" w:hAnsi="Times New Roman"/>
          <w:sz w:val="24"/>
          <w:szCs w:val="24"/>
          <w:lang w:val="lv-LV"/>
        </w:rPr>
        <w:t>Laikā no</w:t>
      </w:r>
      <w:r w:rsidR="004E2CB0" w:rsidRPr="008E1A38">
        <w:rPr>
          <w:rFonts w:ascii="Times New Roman" w:hAnsi="Times New Roman"/>
          <w:sz w:val="24"/>
          <w:szCs w:val="24"/>
          <w:lang w:val="lv-LV"/>
        </w:rPr>
        <w:t xml:space="preserve"> </w:t>
      </w:r>
      <w:r w:rsidRPr="008E1A38">
        <w:rPr>
          <w:rFonts w:ascii="Times New Roman" w:hAnsi="Times New Roman"/>
          <w:sz w:val="24"/>
          <w:szCs w:val="24"/>
          <w:lang w:val="lv-LV"/>
        </w:rPr>
        <w:t>2020</w:t>
      </w:r>
      <w:r w:rsidR="004E2CB0" w:rsidRPr="008E1A38">
        <w:rPr>
          <w:rFonts w:ascii="Times New Roman" w:hAnsi="Times New Roman"/>
          <w:sz w:val="24"/>
          <w:szCs w:val="24"/>
          <w:lang w:val="lv-LV"/>
        </w:rPr>
        <w:t>. gada 1</w:t>
      </w:r>
      <w:r w:rsidRPr="008E1A38">
        <w:rPr>
          <w:rFonts w:ascii="Times New Roman" w:hAnsi="Times New Roman"/>
          <w:sz w:val="24"/>
          <w:szCs w:val="24"/>
          <w:lang w:val="lv-LV"/>
        </w:rPr>
        <w:t>6</w:t>
      </w:r>
      <w:r w:rsidR="004E2CB0" w:rsidRPr="008E1A38">
        <w:rPr>
          <w:rFonts w:ascii="Times New Roman" w:hAnsi="Times New Roman"/>
          <w:sz w:val="24"/>
          <w:szCs w:val="24"/>
          <w:lang w:val="lv-LV"/>
        </w:rPr>
        <w:t xml:space="preserve">. </w:t>
      </w:r>
      <w:r w:rsidRPr="008E1A38">
        <w:rPr>
          <w:rFonts w:ascii="Times New Roman" w:hAnsi="Times New Roman"/>
          <w:sz w:val="24"/>
          <w:szCs w:val="24"/>
          <w:lang w:val="lv-LV"/>
        </w:rPr>
        <w:t>jūlija līdz 2020. gada 3. decembrim</w:t>
      </w:r>
      <w:r w:rsidR="004E2CB0" w:rsidRPr="008E1A38">
        <w:rPr>
          <w:rFonts w:ascii="Times New Roman" w:hAnsi="Times New Roman"/>
          <w:sz w:val="24"/>
          <w:szCs w:val="24"/>
          <w:lang w:val="lv-LV"/>
        </w:rPr>
        <w:t xml:space="preserve"> tika veikta </w:t>
      </w:r>
      <w:r w:rsidRPr="008E1A38">
        <w:rPr>
          <w:rFonts w:ascii="Times New Roman" w:hAnsi="Times New Roman"/>
          <w:sz w:val="24"/>
          <w:szCs w:val="24"/>
          <w:lang w:val="lv-LV"/>
        </w:rPr>
        <w:t xml:space="preserve">detalizētās kartēšanas un pārklājuma analīze Satiksmes ministrijas pasūtītā Pētījuma ietvaros. Lai gan kopumā sakaru nozares attīstības rādītāji ir vērtējami ļoti labi, tomēr, vērtējot reģionālajā dalījumā, teritorijās ārpus lielākajām pilsētām, ieskaitot tām pieguļošās teritorijās, trūkst “pēdējās jūdzes” infrastruktūras, kas spētu nodrošināt </w:t>
      </w:r>
      <w:r w:rsidR="008E1A38" w:rsidRPr="008E1A38">
        <w:rPr>
          <w:rFonts w:ascii="Times New Roman" w:hAnsi="Times New Roman"/>
          <w:sz w:val="24"/>
          <w:szCs w:val="24"/>
          <w:lang w:val="lv-LV"/>
        </w:rPr>
        <w:t>ES un nacionālajiem stratēģiskajiem</w:t>
      </w:r>
      <w:r w:rsidRPr="008E1A38">
        <w:rPr>
          <w:rFonts w:ascii="Times New Roman" w:hAnsi="Times New Roman"/>
          <w:sz w:val="24"/>
          <w:szCs w:val="24"/>
          <w:lang w:val="lv-LV"/>
        </w:rPr>
        <w:t xml:space="preserve"> mērķiem atbilstošus interneta piekļuves pakalpojumus galalietotājiem. Tīklu izbūves dārdzības dēļ elektronisko sakaru komersantiem nav pietiekošas ekonomiskās iniciatīvas izvērst </w:t>
      </w:r>
      <w:r w:rsidR="00234F58">
        <w:rPr>
          <w:rFonts w:ascii="Times New Roman" w:hAnsi="Times New Roman"/>
          <w:sz w:val="24"/>
          <w:szCs w:val="24"/>
          <w:lang w:val="lv-LV"/>
        </w:rPr>
        <w:t>VHCN</w:t>
      </w:r>
      <w:r w:rsidR="0001573F">
        <w:rPr>
          <w:rFonts w:ascii="Times New Roman" w:hAnsi="Times New Roman"/>
          <w:sz w:val="24"/>
          <w:szCs w:val="24"/>
          <w:lang w:val="lv-LV"/>
        </w:rPr>
        <w:t xml:space="preserve">. </w:t>
      </w:r>
      <w:r w:rsidRPr="008E1A38">
        <w:rPr>
          <w:rFonts w:ascii="Times New Roman" w:hAnsi="Times New Roman"/>
          <w:sz w:val="24"/>
          <w:szCs w:val="24"/>
          <w:lang w:val="lv-LV"/>
        </w:rPr>
        <w:t xml:space="preserve">Pētījumā konstatēts, ka valsts atbalsta programmas Nr.SA.33324 (2011/N) „Nākamās paaudzes tīkli lauku teritorijās” projekta ietvaros izbūvēto infrastruktūru operatori izmanto, galvenokārt, </w:t>
      </w:r>
      <w:r w:rsidRPr="008E1A38">
        <w:rPr>
          <w:rFonts w:ascii="Times New Roman" w:hAnsi="Times New Roman"/>
          <w:sz w:val="24"/>
          <w:szCs w:val="24"/>
          <w:lang w:val="lv-LV"/>
        </w:rPr>
        <w:lastRenderedPageBreak/>
        <w:t xml:space="preserve">vietās, kur jau vēsturiski tiem ir bijusi izveidota infrastruktūra “pēdējās jūdzes” risinājumiem. </w:t>
      </w:r>
    </w:p>
    <w:p w14:paraId="7F1B89D2" w14:textId="59ABB9B5" w:rsidR="001C4D47" w:rsidRPr="001C4D47" w:rsidRDefault="001C4D47" w:rsidP="008E1A38">
      <w:pPr>
        <w:spacing w:after="0" w:line="240" w:lineRule="auto"/>
        <w:ind w:left="142" w:firstLine="567"/>
        <w:jc w:val="both"/>
        <w:rPr>
          <w:rFonts w:ascii="Times New Roman" w:hAnsi="Times New Roman"/>
          <w:sz w:val="24"/>
          <w:szCs w:val="24"/>
          <w:lang w:val="lv-LV"/>
        </w:rPr>
      </w:pPr>
      <w:r w:rsidRPr="008E1A38">
        <w:rPr>
          <w:rFonts w:ascii="Times New Roman" w:hAnsi="Times New Roman"/>
          <w:sz w:val="24"/>
          <w:szCs w:val="24"/>
          <w:lang w:val="lv-LV"/>
        </w:rPr>
        <w:t xml:space="preserve">Balstoties uz </w:t>
      </w:r>
      <w:r w:rsidR="008E1A38" w:rsidRPr="008E1A38">
        <w:rPr>
          <w:rFonts w:ascii="Times New Roman" w:hAnsi="Times New Roman"/>
          <w:sz w:val="24"/>
          <w:szCs w:val="24"/>
          <w:lang w:val="lv-LV"/>
        </w:rPr>
        <w:t>P</w:t>
      </w:r>
      <w:r w:rsidRPr="008E1A38">
        <w:rPr>
          <w:rFonts w:ascii="Times New Roman" w:hAnsi="Times New Roman"/>
          <w:sz w:val="24"/>
          <w:szCs w:val="24"/>
          <w:lang w:val="lv-LV"/>
        </w:rPr>
        <w:t>ētījumu, secināms</w:t>
      </w:r>
      <w:r w:rsidRPr="008E1A38">
        <w:rPr>
          <w:rStyle w:val="FootnoteReference"/>
          <w:rFonts w:ascii="Times New Roman" w:hAnsi="Times New Roman"/>
          <w:sz w:val="24"/>
          <w:szCs w:val="24"/>
          <w:lang w:val="lv-LV"/>
        </w:rPr>
        <w:footnoteReference w:id="16"/>
      </w:r>
      <w:r w:rsidRPr="008E1A38">
        <w:rPr>
          <w:rFonts w:ascii="Times New Roman" w:hAnsi="Times New Roman"/>
          <w:sz w:val="24"/>
          <w:szCs w:val="24"/>
          <w:lang w:val="lv-LV"/>
        </w:rPr>
        <w:t>, ka:</w:t>
      </w:r>
    </w:p>
    <w:p w14:paraId="5E832F8E" w14:textId="3958E51D" w:rsidR="001C4D47" w:rsidRPr="008E1A38" w:rsidRDefault="001C4D47" w:rsidP="001C4D47">
      <w:pPr>
        <w:pStyle w:val="ListParagraph"/>
        <w:numPr>
          <w:ilvl w:val="0"/>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platjoslas fiksētie NGA pakalpojumi ar datu lejupielādes ātrumu vismaz 30 Mbit/s ir pieejami apmēram 9,34% valsts teritoriju, taču tajās dzīvo 84,1% valsts iedzīvotāju (pilsētās un lielākajās apdzīvotajās vietās).</w:t>
      </w:r>
    </w:p>
    <w:p w14:paraId="69C43493" w14:textId="276D6393" w:rsidR="001C4D47" w:rsidRPr="008E1A38" w:rsidRDefault="001C4D47" w:rsidP="001C4D47">
      <w:pPr>
        <w:pStyle w:val="ListParagraph"/>
        <w:numPr>
          <w:ilvl w:val="0"/>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VHC tīkli ar augšupielādes un lejupielādes datu pārraides ātrumu vismaz 100</w:t>
      </w:r>
      <w:r w:rsidR="00D8319E">
        <w:rPr>
          <w:rFonts w:ascii="Times New Roman" w:hAnsi="Times New Roman"/>
          <w:sz w:val="24"/>
          <w:szCs w:val="24"/>
          <w:lang w:val="lv-LV"/>
        </w:rPr>
        <w:t xml:space="preserve"> </w:t>
      </w:r>
      <w:r w:rsidRPr="008E1A38">
        <w:rPr>
          <w:rFonts w:ascii="Times New Roman" w:hAnsi="Times New Roman"/>
          <w:sz w:val="24"/>
          <w:szCs w:val="24"/>
          <w:lang w:val="lv-LV"/>
        </w:rPr>
        <w:t xml:space="preserve">Mbit/s, savukārt, pieejami tikai apmēram 1,6% valsts teritoriju (lielajās pilsētās un apdzīvotajās vietās), taču tajās dzīvo 70,1% iedzīvotāju. </w:t>
      </w:r>
    </w:p>
    <w:p w14:paraId="2721CB03" w14:textId="77777777" w:rsidR="001C4D47" w:rsidRPr="008E1A38" w:rsidRDefault="001C4D47" w:rsidP="001C4D47">
      <w:pPr>
        <w:pStyle w:val="ListParagraph"/>
        <w:numPr>
          <w:ilvl w:val="0"/>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tā kā šīs teritorijas, kur VHC tīkla pakalpojumi ir pieejami, ir pilsētas un lielākās apdzīvotās vietas, valstī ir ļoti lielas pilsētu un lauku teritoriju atšķirības platjoslas tīklu pārklājuma ziņā. Šī situācija nav apmierinoša un ir jāuzlabo, lai gan tā ir objektīvi saistīta ar zemu iedzīvotāju vidējo apdzīvotības blīvumu valstī, t.i., vēsturiski lielu iedzīvotāju koncentrāciju Rīgas areālā un reģionālajos centros, kā arī ar aktīvu migrāciju no lauku teritorijām uz šiem centriem vai uz ārvalstīm.</w:t>
      </w:r>
    </w:p>
    <w:p w14:paraId="5676033C" w14:textId="77777777" w:rsidR="001C4D47" w:rsidRPr="008E1A38" w:rsidRDefault="001C4D47" w:rsidP="001C4D47">
      <w:pPr>
        <w:pStyle w:val="ListParagraph"/>
        <w:numPr>
          <w:ilvl w:val="0"/>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mobilo sakaru tīkli ir pieejami apmēram 90% valsts teritorijas un tajās dzīvo apmēram 97,7% iedzīvotāju. Praktisko mobilo sakaru tīkla ātrdarbību var novērtēt, balstoties uz SPRK regulāri veiktajiem mērījumiem. Atbilstoši SPRK 2019.gada mērījumiem</w:t>
      </w:r>
      <w:r w:rsidRPr="008E1A38">
        <w:rPr>
          <w:rStyle w:val="FootnoteReference"/>
          <w:rFonts w:ascii="Times New Roman" w:hAnsi="Times New Roman"/>
          <w:sz w:val="24"/>
          <w:szCs w:val="24"/>
          <w:lang w:val="lv-LV"/>
        </w:rPr>
        <w:footnoteReference w:id="17"/>
      </w:r>
      <w:r w:rsidRPr="008E1A38">
        <w:rPr>
          <w:rFonts w:ascii="Times New Roman" w:hAnsi="Times New Roman"/>
          <w:sz w:val="24"/>
          <w:szCs w:val="24"/>
          <w:lang w:val="lv-LV"/>
        </w:rPr>
        <w:t xml:space="preserve">, </w:t>
      </w:r>
      <w:proofErr w:type="spellStart"/>
      <w:r w:rsidRPr="008E1A38">
        <w:rPr>
          <w:rFonts w:ascii="Times New Roman" w:hAnsi="Times New Roman"/>
          <w:sz w:val="24"/>
          <w:szCs w:val="24"/>
          <w:lang w:val="lv-LV"/>
        </w:rPr>
        <w:t>pieslēguma</w:t>
      </w:r>
      <w:proofErr w:type="spellEnd"/>
      <w:r w:rsidRPr="008E1A38">
        <w:rPr>
          <w:rFonts w:ascii="Times New Roman" w:hAnsi="Times New Roman"/>
          <w:sz w:val="24"/>
          <w:szCs w:val="24"/>
          <w:lang w:val="lv-LV"/>
        </w:rPr>
        <w:t xml:space="preserve"> ātruma vidējās vērtības 4G datu pārraides tehnoloģijā 2019.gadā Latvijā bija 36,6 Mbit/s lejupielādei un 19,15 Mbit/s augšupielādei. Tādējādi var uzskatīt, ka valstī ir nodrošināts labs mobilās interneta piekļuves pārklājums ar vidējo datu pārraides ātrumu ap 30 Mbit/s. Taču vienlaicīgi lejupielādes ātrums virs 30 Mbit/s ir bijis tikai 64% no mērījumu, kas veikti dažādās vietās valstī. SPRK atzīmē, ka, lai gan kopumā pakalpojuma pieejamība valstī ir laba, tomēr atsevišķos mērījumos novērotas augšupielādes ātruma vērtības, kas ir zemākas pat par 256 </w:t>
      </w:r>
      <w:proofErr w:type="spellStart"/>
      <w:r w:rsidRPr="008E1A38">
        <w:rPr>
          <w:rFonts w:ascii="Times New Roman" w:hAnsi="Times New Roman"/>
          <w:sz w:val="24"/>
          <w:szCs w:val="24"/>
          <w:lang w:val="lv-LV"/>
        </w:rPr>
        <w:t>Kbit</w:t>
      </w:r>
      <w:proofErr w:type="spellEnd"/>
      <w:r w:rsidRPr="008E1A38">
        <w:rPr>
          <w:rFonts w:ascii="Times New Roman" w:hAnsi="Times New Roman"/>
          <w:sz w:val="24"/>
          <w:szCs w:val="24"/>
          <w:lang w:val="lv-LV"/>
        </w:rPr>
        <w:t xml:space="preserve">/s, un šādās teritorijās pakalpojuma pieejamība elektroniskajā vidē var būt būtiski traucēta. </w:t>
      </w:r>
    </w:p>
    <w:p w14:paraId="08670A23" w14:textId="77777777" w:rsidR="001C4D47" w:rsidRPr="008E1A38" w:rsidRDefault="001C4D47" w:rsidP="001C4D47">
      <w:pPr>
        <w:pStyle w:val="ListParagraph"/>
        <w:numPr>
          <w:ilvl w:val="0"/>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teritorijās, kurās šobrīd nav pieejams platjoslas pakalpojums ar piekļuves ātrumu vismaz 30 Mbit/s, aizņem 10 106 km</w:t>
      </w:r>
      <w:r w:rsidRPr="008E1A38">
        <w:rPr>
          <w:rFonts w:ascii="Times New Roman" w:hAnsi="Times New Roman"/>
          <w:sz w:val="24"/>
          <w:szCs w:val="24"/>
          <w:vertAlign w:val="superscript"/>
          <w:lang w:val="lv-LV"/>
        </w:rPr>
        <w:t>2</w:t>
      </w:r>
      <w:r w:rsidRPr="008E1A38">
        <w:rPr>
          <w:rFonts w:ascii="Times New Roman" w:hAnsi="Times New Roman"/>
          <w:sz w:val="24"/>
          <w:szCs w:val="24"/>
          <w:lang w:val="lv-LV"/>
        </w:rPr>
        <w:t xml:space="preserve"> lielu teritoriju jeb 15,65% no visas Latvijas valsts teritorijas, kur dzīvo 43,3 tūkstoši iedzīvotāju. </w:t>
      </w:r>
    </w:p>
    <w:p w14:paraId="73FCA56C" w14:textId="77777777" w:rsidR="001C4D47" w:rsidRPr="008E1A38" w:rsidRDefault="001C4D47" w:rsidP="001C4D47">
      <w:pPr>
        <w:pStyle w:val="ListParagraph"/>
        <w:numPr>
          <w:ilvl w:val="0"/>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 xml:space="preserve">teritorijās, kurās šobrīd nav pieejami platjoslas piekļuves pakalpojumi ar datu pārraides ātrumu vismaz 100 Mbit/s (VHC tīklu baltās teritorijas) veido visa Latvijas valsts teritorija, izņemot tās teritorijas, kurās ir piekļuve platjoslas optiskajam tīklam, aptver 98,4% no visas Latvijas valsts teritorijas, kur dzīvo 577,95 tūkst. iedzīvotāji jeb 30,3%. Tiklīdz būs iespējams, tā atbalstāmās teritorijas tiks aktualizētas un noteiktas pēc jaunā ģeogrāfiskā </w:t>
      </w:r>
      <w:proofErr w:type="spellStart"/>
      <w:r w:rsidRPr="008E1A38">
        <w:rPr>
          <w:rFonts w:ascii="Times New Roman" w:hAnsi="Times New Roman"/>
          <w:sz w:val="24"/>
          <w:szCs w:val="24"/>
          <w:lang w:val="lv-LV"/>
        </w:rPr>
        <w:t>apsekojuma</w:t>
      </w:r>
      <w:proofErr w:type="spellEnd"/>
      <w:r w:rsidRPr="008E1A38">
        <w:rPr>
          <w:rFonts w:ascii="Times New Roman" w:hAnsi="Times New Roman"/>
          <w:sz w:val="24"/>
          <w:szCs w:val="24"/>
          <w:lang w:val="lv-LV"/>
        </w:rPr>
        <w:t>, kas veikts atbilstoši BEREC vadlīnijām.</w:t>
      </w:r>
    </w:p>
    <w:p w14:paraId="3E630FBA" w14:textId="77777777" w:rsidR="001C4D47" w:rsidRPr="008E1A38" w:rsidRDefault="001C4D47" w:rsidP="001C4D47">
      <w:pPr>
        <w:pStyle w:val="ListParagraph"/>
        <w:numPr>
          <w:ilvl w:val="0"/>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 xml:space="preserve">analizējot sociālekonomiskos virzītājspēkus – ārstniecības iestādes, izglītības iestādes un kultūras iestādes – ir šādi secinājumi: </w:t>
      </w:r>
    </w:p>
    <w:p w14:paraId="795F3732" w14:textId="77777777" w:rsidR="001C4D47" w:rsidRPr="008E1A38" w:rsidRDefault="001C4D47" w:rsidP="001C4D47">
      <w:pPr>
        <w:pStyle w:val="ListParagraph"/>
        <w:numPr>
          <w:ilvl w:val="1"/>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 xml:space="preserve">46,3% jeb 25 ārstniecības iestādēm jau šobrīd ir pieejams ātrgaitas interneta </w:t>
      </w:r>
      <w:proofErr w:type="spellStart"/>
      <w:r w:rsidRPr="008E1A38">
        <w:rPr>
          <w:rFonts w:ascii="Times New Roman" w:hAnsi="Times New Roman"/>
          <w:sz w:val="24"/>
          <w:szCs w:val="24"/>
          <w:lang w:val="lv-LV"/>
        </w:rPr>
        <w:t>pieslēgums</w:t>
      </w:r>
      <w:proofErr w:type="spellEnd"/>
      <w:r w:rsidRPr="008E1A38">
        <w:rPr>
          <w:rFonts w:ascii="Times New Roman" w:hAnsi="Times New Roman"/>
          <w:sz w:val="24"/>
          <w:szCs w:val="24"/>
          <w:lang w:val="lv-LV"/>
        </w:rPr>
        <w:t xml:space="preserve">. 29 ārstniecības iestādēm piekļuves VHC tīklam šobrīd nav un optiskā </w:t>
      </w:r>
      <w:proofErr w:type="spellStart"/>
      <w:r w:rsidRPr="008E1A38">
        <w:rPr>
          <w:rFonts w:ascii="Times New Roman" w:hAnsi="Times New Roman"/>
          <w:sz w:val="24"/>
          <w:szCs w:val="24"/>
          <w:lang w:val="lv-LV"/>
        </w:rPr>
        <w:t>pieslēguma</w:t>
      </w:r>
      <w:proofErr w:type="spellEnd"/>
      <w:r w:rsidRPr="008E1A38">
        <w:rPr>
          <w:rFonts w:ascii="Times New Roman" w:hAnsi="Times New Roman"/>
          <w:sz w:val="24"/>
          <w:szCs w:val="24"/>
          <w:lang w:val="lv-LV"/>
        </w:rPr>
        <w:t xml:space="preserve"> izveide būtu viens no risinājumiem </w:t>
      </w:r>
      <w:r w:rsidRPr="008E1A38">
        <w:rPr>
          <w:rFonts w:ascii="Times New Roman" w:hAnsi="Times New Roman"/>
          <w:sz w:val="24"/>
          <w:szCs w:val="24"/>
          <w:lang w:val="lv-LV"/>
        </w:rPr>
        <w:lastRenderedPageBreak/>
        <w:t xml:space="preserve">(tikai vienā gadījumā tuvākais optiska tīkla piekļuves punkts ir tālāk par 3 km). Kopējais iespējamā optiskā tīkla trases garums no tuvākā pieejamā optiskā </w:t>
      </w:r>
      <w:proofErr w:type="spellStart"/>
      <w:r w:rsidRPr="008E1A38">
        <w:rPr>
          <w:rFonts w:ascii="Times New Roman" w:hAnsi="Times New Roman"/>
          <w:sz w:val="24"/>
          <w:szCs w:val="24"/>
          <w:lang w:val="lv-LV"/>
        </w:rPr>
        <w:t>pieslēguma</w:t>
      </w:r>
      <w:proofErr w:type="spellEnd"/>
      <w:r w:rsidRPr="008E1A38">
        <w:rPr>
          <w:rFonts w:ascii="Times New Roman" w:hAnsi="Times New Roman"/>
          <w:sz w:val="24"/>
          <w:szCs w:val="24"/>
          <w:lang w:val="lv-LV"/>
        </w:rPr>
        <w:t xml:space="preserve"> punkta līdz ārstniecības iestādēm ir 25,8 km.</w:t>
      </w:r>
    </w:p>
    <w:p w14:paraId="54D57731" w14:textId="77777777" w:rsidR="001C4D47" w:rsidRPr="008E1A38" w:rsidRDefault="001C4D47" w:rsidP="001C4D47">
      <w:pPr>
        <w:pStyle w:val="ListParagraph"/>
        <w:numPr>
          <w:ilvl w:val="1"/>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 xml:space="preserve">ātrgaitas optiskais internets pieejams 457 izglītības iestādēs jeb 50,6%.  445 izglītības iestādēm piekļuves VHC tīklam šobrīd nav un optiskā </w:t>
      </w:r>
      <w:proofErr w:type="spellStart"/>
      <w:r w:rsidRPr="008E1A38">
        <w:rPr>
          <w:rFonts w:ascii="Times New Roman" w:hAnsi="Times New Roman"/>
          <w:sz w:val="24"/>
          <w:szCs w:val="24"/>
          <w:lang w:val="lv-LV"/>
        </w:rPr>
        <w:t>pieslēguma</w:t>
      </w:r>
      <w:proofErr w:type="spellEnd"/>
      <w:r w:rsidRPr="008E1A38">
        <w:rPr>
          <w:rFonts w:ascii="Times New Roman" w:hAnsi="Times New Roman"/>
          <w:sz w:val="24"/>
          <w:szCs w:val="24"/>
          <w:lang w:val="lv-LV"/>
        </w:rPr>
        <w:t xml:space="preserve"> izveide būtu viens no risinājumiem (103 gadījumos tuvākais optiska tīkla piekļuves punkts ir tālāk par 3 km). </w:t>
      </w:r>
    </w:p>
    <w:p w14:paraId="1C4A80B9" w14:textId="77777777" w:rsidR="001C4D47" w:rsidRPr="008E1A38" w:rsidRDefault="001C4D47" w:rsidP="001C4D47">
      <w:pPr>
        <w:pStyle w:val="ListParagraph"/>
        <w:ind w:left="2064"/>
        <w:jc w:val="both"/>
        <w:rPr>
          <w:rFonts w:ascii="Times New Roman" w:hAnsi="Times New Roman"/>
          <w:sz w:val="24"/>
          <w:szCs w:val="24"/>
          <w:lang w:val="lv-LV"/>
        </w:rPr>
      </w:pPr>
      <w:r w:rsidRPr="008E1A38">
        <w:rPr>
          <w:rFonts w:ascii="Times New Roman" w:hAnsi="Times New Roman"/>
          <w:sz w:val="24"/>
          <w:szCs w:val="24"/>
          <w:lang w:val="lv-LV"/>
        </w:rPr>
        <w:t xml:space="preserve">Kopējais iespējamā optiskā tīkla garums no tuvākā pieejamā optiskā piekļuves punkta līdz 342 izglītības iestādēm ir 166,7 km. Atlikušajām 103 izglītības iestādēm kopīgais iespējamā optiskā tīkla garums sastāda 1087,7 km, un tām pētījumā Nr.1 izteikts ieteikums meklēt alternatīvu </w:t>
      </w:r>
      <w:proofErr w:type="spellStart"/>
      <w:r w:rsidRPr="008E1A38">
        <w:rPr>
          <w:rFonts w:ascii="Times New Roman" w:hAnsi="Times New Roman"/>
          <w:sz w:val="24"/>
          <w:szCs w:val="24"/>
          <w:lang w:val="lv-LV"/>
        </w:rPr>
        <w:t>pieslēguma</w:t>
      </w:r>
      <w:proofErr w:type="spellEnd"/>
      <w:r w:rsidRPr="008E1A38">
        <w:rPr>
          <w:rFonts w:ascii="Times New Roman" w:hAnsi="Times New Roman"/>
          <w:sz w:val="24"/>
          <w:szCs w:val="24"/>
          <w:lang w:val="lv-LV"/>
        </w:rPr>
        <w:t xml:space="preserve"> risinājumu.</w:t>
      </w:r>
    </w:p>
    <w:p w14:paraId="7138FE97" w14:textId="77777777" w:rsidR="001C4D47" w:rsidRPr="008E1A38" w:rsidRDefault="001C4D47" w:rsidP="001C4D47">
      <w:pPr>
        <w:pStyle w:val="ListParagraph"/>
        <w:numPr>
          <w:ilvl w:val="1"/>
          <w:numId w:val="14"/>
        </w:numPr>
        <w:spacing w:after="0" w:line="240" w:lineRule="auto"/>
        <w:jc w:val="both"/>
        <w:rPr>
          <w:rFonts w:ascii="Times New Roman" w:hAnsi="Times New Roman"/>
          <w:sz w:val="24"/>
          <w:szCs w:val="24"/>
          <w:lang w:val="lv-LV"/>
        </w:rPr>
      </w:pPr>
      <w:r w:rsidRPr="008E1A38">
        <w:rPr>
          <w:rFonts w:ascii="Times New Roman" w:hAnsi="Times New Roman"/>
          <w:sz w:val="24"/>
          <w:szCs w:val="24"/>
          <w:lang w:val="lv-LV"/>
        </w:rPr>
        <w:t xml:space="preserve">748 kultūras objektiem, kas veido 42,6%, ir pieejams optiskais interneta </w:t>
      </w:r>
      <w:proofErr w:type="spellStart"/>
      <w:r w:rsidRPr="008E1A38">
        <w:rPr>
          <w:rFonts w:ascii="Times New Roman" w:hAnsi="Times New Roman"/>
          <w:sz w:val="24"/>
          <w:szCs w:val="24"/>
          <w:lang w:val="lv-LV"/>
        </w:rPr>
        <w:t>pieslēgums</w:t>
      </w:r>
      <w:proofErr w:type="spellEnd"/>
      <w:r w:rsidRPr="008E1A38">
        <w:rPr>
          <w:rFonts w:ascii="Times New Roman" w:hAnsi="Times New Roman"/>
          <w:sz w:val="24"/>
          <w:szCs w:val="24"/>
          <w:lang w:val="lv-LV"/>
        </w:rPr>
        <w:t xml:space="preserve">. 1006 kultūras objektiem piekļuves VHC tīklam šobrīd nav un optiskā </w:t>
      </w:r>
      <w:proofErr w:type="spellStart"/>
      <w:r w:rsidRPr="008E1A38">
        <w:rPr>
          <w:rFonts w:ascii="Times New Roman" w:hAnsi="Times New Roman"/>
          <w:sz w:val="24"/>
          <w:szCs w:val="24"/>
          <w:lang w:val="lv-LV"/>
        </w:rPr>
        <w:t>pieslēguma</w:t>
      </w:r>
      <w:proofErr w:type="spellEnd"/>
      <w:r w:rsidRPr="008E1A38">
        <w:rPr>
          <w:rFonts w:ascii="Times New Roman" w:hAnsi="Times New Roman"/>
          <w:sz w:val="24"/>
          <w:szCs w:val="24"/>
          <w:lang w:val="lv-LV"/>
        </w:rPr>
        <w:t xml:space="preserve"> izveide būtu viens no risinājumiem (439 gadījumos tuvākais optiskā tīkla piekļuves punkts ir tālāk par 3 km).</w:t>
      </w:r>
    </w:p>
    <w:p w14:paraId="328BC857" w14:textId="77777777" w:rsidR="001C4D47" w:rsidRPr="008E1A38" w:rsidRDefault="001C4D47" w:rsidP="001C4D47">
      <w:pPr>
        <w:pStyle w:val="ListParagraph"/>
        <w:ind w:left="2064"/>
        <w:jc w:val="both"/>
        <w:rPr>
          <w:rFonts w:ascii="Times New Roman" w:hAnsi="Times New Roman"/>
          <w:sz w:val="24"/>
          <w:szCs w:val="24"/>
          <w:lang w:val="lv-LV"/>
        </w:rPr>
      </w:pPr>
      <w:r w:rsidRPr="008E1A38">
        <w:rPr>
          <w:rFonts w:ascii="Times New Roman" w:hAnsi="Times New Roman"/>
          <w:sz w:val="24"/>
          <w:szCs w:val="24"/>
          <w:lang w:val="lv-LV"/>
        </w:rPr>
        <w:t xml:space="preserve">Kopējais iespējamā optiskā tīkla garums no tuvākā pieejamā optiskā piekļuves punkta līdz 657 kultūras objektiem ir 398,3 km. Atlikušajiem 439 kultūras objektiem kopējais iespējamā optiskā tīkla garums ir 4784,3 km un tām būtu jāmeklē alternatīvi </w:t>
      </w:r>
      <w:proofErr w:type="spellStart"/>
      <w:r w:rsidRPr="008E1A38">
        <w:rPr>
          <w:rFonts w:ascii="Times New Roman" w:hAnsi="Times New Roman"/>
          <w:sz w:val="24"/>
          <w:szCs w:val="24"/>
          <w:lang w:val="lv-LV"/>
        </w:rPr>
        <w:t>pieslēguma</w:t>
      </w:r>
      <w:proofErr w:type="spellEnd"/>
      <w:r w:rsidRPr="008E1A38">
        <w:rPr>
          <w:rFonts w:ascii="Times New Roman" w:hAnsi="Times New Roman"/>
          <w:sz w:val="24"/>
          <w:szCs w:val="24"/>
          <w:lang w:val="lv-LV"/>
        </w:rPr>
        <w:t xml:space="preserve"> risinājumi.</w:t>
      </w:r>
    </w:p>
    <w:p w14:paraId="29577BAB" w14:textId="77777777" w:rsidR="00C40620" w:rsidRPr="00FB3AFC"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FB3AFC">
        <w:rPr>
          <w:rFonts w:ascii="Times New Roman" w:eastAsia="Times New Roman" w:hAnsi="Times New Roman"/>
          <w:i/>
          <w:sz w:val="24"/>
          <w:szCs w:val="24"/>
          <w:lang w:val="lv-LV" w:eastAsia="lv-LV" w:bidi="lv-LV"/>
        </w:rPr>
        <w:t>Sabiedriskā apspriešana</w:t>
      </w:r>
    </w:p>
    <w:p w14:paraId="1C302418" w14:textId="77777777" w:rsidR="00C40620" w:rsidRPr="00FB3AFC"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FB3AFC">
        <w:rPr>
          <w:rFonts w:ascii="Times New Roman" w:eastAsia="Times New Roman" w:hAnsi="Times New Roman"/>
          <w:sz w:val="24"/>
          <w:szCs w:val="24"/>
          <w:lang w:val="lv-LV" w:eastAsia="lv-LV" w:bidi="lv-LV"/>
        </w:rPr>
        <w:t>Lūdzu, aprakstiet atklātās, pārredzamās sabiedriskās apspriešanas procesu un rezultātus, kas deva iespēju visām ieinteresētajām personām sniegt savus apsvērumus par plānoto atbalsta pasākumu. Lūdzu, norādiet attiecīgās interneta saites, kurās ir publicēta informācija par atbalsta pasākumu:</w:t>
      </w:r>
    </w:p>
    <w:p w14:paraId="7DE55F71" w14:textId="2C003A82" w:rsidR="002E5D27" w:rsidRDefault="00CB5DDF" w:rsidP="00C4062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1) </w:t>
      </w:r>
      <w:r w:rsidR="00A350F8">
        <w:rPr>
          <w:rFonts w:ascii="Times New Roman" w:eastAsia="Times New Roman" w:hAnsi="Times New Roman"/>
          <w:sz w:val="24"/>
          <w:szCs w:val="24"/>
          <w:lang w:val="lv-LV" w:eastAsia="en-GB"/>
        </w:rPr>
        <w:t xml:space="preserve">Pētījuma </w:t>
      </w:r>
      <w:r w:rsidR="00B72AC9">
        <w:rPr>
          <w:rFonts w:ascii="Times New Roman" w:eastAsia="Times New Roman" w:hAnsi="Times New Roman"/>
          <w:sz w:val="24"/>
          <w:szCs w:val="24"/>
          <w:lang w:val="lv-LV" w:eastAsia="en-GB"/>
        </w:rPr>
        <w:t xml:space="preserve">viens no uzdevumiem bija veikt </w:t>
      </w:r>
      <w:r w:rsidR="00B72AC9" w:rsidRPr="00B72AC9">
        <w:rPr>
          <w:rFonts w:ascii="Times New Roman" w:eastAsia="Times New Roman" w:hAnsi="Times New Roman"/>
          <w:sz w:val="24"/>
          <w:szCs w:val="24"/>
          <w:lang w:val="lv-LV" w:eastAsia="en-GB"/>
        </w:rPr>
        <w:t xml:space="preserve">esošās un plānotās platjoslas piekļuves pakalpojumu pieejamības un infrastruktūras kartējumu </w:t>
      </w:r>
      <w:r w:rsidR="00B72AC9">
        <w:rPr>
          <w:rFonts w:ascii="Times New Roman" w:eastAsia="Times New Roman" w:hAnsi="Times New Roman"/>
          <w:sz w:val="24"/>
          <w:szCs w:val="24"/>
          <w:lang w:val="lv-LV" w:eastAsia="en-GB"/>
        </w:rPr>
        <w:t>kartografēšanu. P</w:t>
      </w:r>
      <w:r>
        <w:rPr>
          <w:rFonts w:ascii="Times New Roman" w:eastAsia="Times New Roman" w:hAnsi="Times New Roman"/>
          <w:sz w:val="24"/>
          <w:szCs w:val="24"/>
          <w:lang w:val="lv-LV" w:eastAsia="en-GB"/>
        </w:rPr>
        <w:t>ētījuma veikšanas laikā</w:t>
      </w:r>
      <w:r w:rsidR="00432EF5">
        <w:rPr>
          <w:rFonts w:ascii="Times New Roman" w:eastAsia="Times New Roman" w:hAnsi="Times New Roman"/>
          <w:sz w:val="24"/>
          <w:szCs w:val="24"/>
          <w:lang w:val="lv-LV" w:eastAsia="en-GB"/>
        </w:rPr>
        <w:t>, tas ir, 2020. gada 6. novembrī,</w:t>
      </w:r>
      <w:r>
        <w:rPr>
          <w:rFonts w:ascii="Times New Roman" w:eastAsia="Times New Roman" w:hAnsi="Times New Roman"/>
          <w:sz w:val="24"/>
          <w:szCs w:val="24"/>
          <w:lang w:val="lv-LV" w:eastAsia="en-GB"/>
        </w:rPr>
        <w:t xml:space="preserve"> pētījuma veicējs prezentēja valsts atbalsta intervences modeli </w:t>
      </w:r>
      <w:r w:rsidRPr="00CB5DDF">
        <w:rPr>
          <w:rFonts w:ascii="Times New Roman" w:eastAsia="Times New Roman" w:hAnsi="Times New Roman"/>
          <w:sz w:val="24"/>
          <w:szCs w:val="24"/>
          <w:lang w:val="lv-LV" w:eastAsia="en-GB"/>
        </w:rPr>
        <w:t>Optiskā tīkla uzraudzības komiteja</w:t>
      </w:r>
      <w:r>
        <w:rPr>
          <w:rFonts w:ascii="Times New Roman" w:eastAsia="Times New Roman" w:hAnsi="Times New Roman"/>
          <w:sz w:val="24"/>
          <w:szCs w:val="24"/>
          <w:lang w:val="lv-LV" w:eastAsia="en-GB"/>
        </w:rPr>
        <w:t xml:space="preserve">i, kas ir atbildīga par līdzšinējās </w:t>
      </w:r>
      <w:r w:rsidRPr="00CB5DDF">
        <w:rPr>
          <w:rFonts w:ascii="Times New Roman" w:eastAsia="Times New Roman" w:hAnsi="Times New Roman"/>
          <w:sz w:val="24"/>
          <w:szCs w:val="24"/>
          <w:lang w:val="lv-LV" w:eastAsia="en-GB"/>
        </w:rPr>
        <w:t>valsts atbalsta programmas Nr.SA.33324 (2011/N) “Nākamās paaudzes tīkli lauku teritorijās” uzraudzīb</w:t>
      </w:r>
      <w:r>
        <w:rPr>
          <w:rFonts w:ascii="Times New Roman" w:eastAsia="Times New Roman" w:hAnsi="Times New Roman"/>
          <w:sz w:val="24"/>
          <w:szCs w:val="24"/>
          <w:lang w:val="lv-LV" w:eastAsia="en-GB"/>
        </w:rPr>
        <w:t>u un kurā ir gan elektronisko sakaru nozares pārstāvji, gan plānošanas reģionu pārstāvji, kas iztei</w:t>
      </w:r>
      <w:r w:rsidR="00432EF5">
        <w:rPr>
          <w:rFonts w:ascii="Times New Roman" w:eastAsia="Times New Roman" w:hAnsi="Times New Roman"/>
          <w:sz w:val="24"/>
          <w:szCs w:val="24"/>
          <w:lang w:val="lv-LV" w:eastAsia="en-GB"/>
        </w:rPr>
        <w:t>ca savu</w:t>
      </w:r>
      <w:r>
        <w:rPr>
          <w:rFonts w:ascii="Times New Roman" w:eastAsia="Times New Roman" w:hAnsi="Times New Roman"/>
          <w:sz w:val="24"/>
          <w:szCs w:val="24"/>
          <w:lang w:val="lv-LV" w:eastAsia="en-GB"/>
        </w:rPr>
        <w:t xml:space="preserve"> viedokli.</w:t>
      </w:r>
    </w:p>
    <w:p w14:paraId="120D6BDB" w14:textId="77777777" w:rsidR="00880D8B" w:rsidRDefault="002E5D27" w:rsidP="001D0E7F">
      <w:pPr>
        <w:tabs>
          <w:tab w:val="left" w:leader="dot" w:pos="9072"/>
        </w:tabs>
        <w:spacing w:before="120" w:after="120" w:line="240" w:lineRule="auto"/>
        <w:ind w:left="709"/>
        <w:jc w:val="both"/>
        <w:rPr>
          <w:rFonts w:ascii="Times New Roman" w:hAnsi="Times New Roman"/>
          <w:sz w:val="24"/>
          <w:szCs w:val="24"/>
          <w:lang w:val="lv-LV"/>
        </w:rPr>
      </w:pPr>
      <w:r w:rsidRPr="00FB3AFC">
        <w:rPr>
          <w:rFonts w:ascii="Times New Roman" w:eastAsia="Times New Roman" w:hAnsi="Times New Roman"/>
          <w:sz w:val="24"/>
          <w:szCs w:val="24"/>
          <w:lang w:val="lv-LV" w:eastAsia="en-GB"/>
        </w:rPr>
        <w:t xml:space="preserve">2) </w:t>
      </w:r>
      <w:r w:rsidR="00880D15" w:rsidRPr="006857BC">
        <w:rPr>
          <w:rFonts w:ascii="Times New Roman" w:hAnsi="Times New Roman"/>
          <w:sz w:val="24"/>
          <w:szCs w:val="24"/>
          <w:lang w:val="lv-LV"/>
        </w:rPr>
        <w:t xml:space="preserve">Laikā no 2022. gada </w:t>
      </w:r>
      <w:r w:rsidR="00533F45">
        <w:rPr>
          <w:rFonts w:ascii="Times New Roman" w:hAnsi="Times New Roman"/>
          <w:sz w:val="24"/>
          <w:szCs w:val="24"/>
          <w:lang w:val="lv-LV"/>
        </w:rPr>
        <w:t>__</w:t>
      </w:r>
      <w:r w:rsidR="00880D15" w:rsidRPr="00CD4B71">
        <w:rPr>
          <w:rFonts w:ascii="Times New Roman" w:hAnsi="Times New Roman"/>
          <w:sz w:val="24"/>
          <w:szCs w:val="24"/>
          <w:lang w:val="lv-LV"/>
        </w:rPr>
        <w:t xml:space="preserve">. </w:t>
      </w:r>
      <w:r w:rsidR="00CD4B71" w:rsidRPr="00CD4B71">
        <w:rPr>
          <w:rFonts w:ascii="Times New Roman" w:hAnsi="Times New Roman"/>
          <w:sz w:val="24"/>
          <w:szCs w:val="24"/>
          <w:lang w:val="lv-LV"/>
        </w:rPr>
        <w:t>augusta</w:t>
      </w:r>
      <w:r w:rsidR="00880D15" w:rsidRPr="006857BC">
        <w:rPr>
          <w:rFonts w:ascii="Times New Roman" w:hAnsi="Times New Roman"/>
          <w:sz w:val="24"/>
          <w:szCs w:val="24"/>
          <w:lang w:val="lv-LV"/>
        </w:rPr>
        <w:t xml:space="preserve"> līdz 2022. </w:t>
      </w:r>
      <w:r w:rsidR="00880D15" w:rsidRPr="00533F45">
        <w:rPr>
          <w:rFonts w:ascii="Times New Roman" w:hAnsi="Times New Roman"/>
          <w:sz w:val="24"/>
          <w:szCs w:val="24"/>
          <w:lang w:val="lv-LV"/>
        </w:rPr>
        <w:t xml:space="preserve">gada </w:t>
      </w:r>
      <w:r w:rsidR="00533F45" w:rsidRPr="00533F45">
        <w:rPr>
          <w:rFonts w:ascii="Times New Roman" w:hAnsi="Times New Roman"/>
          <w:sz w:val="24"/>
          <w:szCs w:val="24"/>
          <w:lang w:val="lv-LV"/>
        </w:rPr>
        <w:t>__</w:t>
      </w:r>
      <w:r w:rsidR="00880D15" w:rsidRPr="00533F45">
        <w:rPr>
          <w:rFonts w:ascii="Times New Roman" w:hAnsi="Times New Roman"/>
          <w:sz w:val="24"/>
          <w:szCs w:val="24"/>
          <w:lang w:val="lv-LV"/>
        </w:rPr>
        <w:t xml:space="preserve">. </w:t>
      </w:r>
      <w:r w:rsidR="00533F45" w:rsidRPr="00533F45">
        <w:rPr>
          <w:rFonts w:ascii="Times New Roman" w:hAnsi="Times New Roman"/>
          <w:sz w:val="24"/>
          <w:szCs w:val="24"/>
          <w:lang w:val="lv-LV"/>
        </w:rPr>
        <w:t>septembrim</w:t>
      </w:r>
      <w:r w:rsidR="00880D15" w:rsidRPr="006857BC">
        <w:rPr>
          <w:rFonts w:ascii="Times New Roman" w:hAnsi="Times New Roman"/>
          <w:sz w:val="24"/>
          <w:szCs w:val="24"/>
          <w:lang w:val="lv-LV"/>
        </w:rPr>
        <w:t xml:space="preserve"> a</w:t>
      </w:r>
      <w:r w:rsidR="00A350F8" w:rsidRPr="006857BC">
        <w:rPr>
          <w:rFonts w:ascii="Times New Roman" w:hAnsi="Times New Roman"/>
          <w:sz w:val="24"/>
          <w:szCs w:val="24"/>
          <w:lang w:val="lv-LV"/>
        </w:rPr>
        <w:t>tbilstoši Komisijas paziņojuma projektam “Pamatnostādnes par valsts atbalstu platjoslas tīkliem” tik</w:t>
      </w:r>
      <w:r w:rsidR="006857BC" w:rsidRPr="006857BC">
        <w:rPr>
          <w:rFonts w:ascii="Times New Roman" w:hAnsi="Times New Roman"/>
          <w:sz w:val="24"/>
          <w:szCs w:val="24"/>
          <w:lang w:val="lv-LV"/>
        </w:rPr>
        <w:t>a</w:t>
      </w:r>
      <w:r w:rsidR="00A350F8" w:rsidRPr="006857BC">
        <w:rPr>
          <w:rFonts w:ascii="Times New Roman" w:hAnsi="Times New Roman"/>
          <w:sz w:val="24"/>
          <w:szCs w:val="24"/>
          <w:lang w:val="lv-LV"/>
        </w:rPr>
        <w:t xml:space="preserve"> nodrošināta</w:t>
      </w:r>
      <w:r w:rsidR="006857BC" w:rsidRPr="006857BC">
        <w:rPr>
          <w:rFonts w:ascii="Times New Roman" w:hAnsi="Times New Roman"/>
          <w:sz w:val="24"/>
          <w:szCs w:val="24"/>
          <w:lang w:val="lv-LV"/>
        </w:rPr>
        <w:t>s</w:t>
      </w:r>
      <w:r w:rsidR="00A350F8" w:rsidRPr="006857BC">
        <w:rPr>
          <w:rFonts w:ascii="Times New Roman" w:hAnsi="Times New Roman"/>
          <w:sz w:val="24"/>
          <w:szCs w:val="24"/>
          <w:lang w:val="lv-LV"/>
        </w:rPr>
        <w:t xml:space="preserve"> sabiedriskās apspriešanas prasības, t.sk. </w:t>
      </w:r>
      <w:r w:rsidR="00833832" w:rsidRPr="006857BC">
        <w:rPr>
          <w:rFonts w:ascii="Times New Roman" w:hAnsi="Times New Roman"/>
          <w:sz w:val="24"/>
          <w:szCs w:val="24"/>
          <w:lang w:val="lv-LV"/>
        </w:rPr>
        <w:t>s</w:t>
      </w:r>
      <w:r w:rsidR="00A350F8" w:rsidRPr="006857BC">
        <w:rPr>
          <w:rFonts w:ascii="Times New Roman" w:hAnsi="Times New Roman"/>
          <w:sz w:val="24"/>
          <w:szCs w:val="24"/>
          <w:lang w:val="lv-LV"/>
        </w:rPr>
        <w:t xml:space="preserve">abiedriskajā apspriešanā </w:t>
      </w:r>
      <w:r w:rsidR="00BF4DAA" w:rsidRPr="006857BC">
        <w:rPr>
          <w:rFonts w:ascii="Times New Roman" w:hAnsi="Times New Roman"/>
          <w:sz w:val="24"/>
          <w:szCs w:val="24"/>
          <w:lang w:val="lv-LV"/>
        </w:rPr>
        <w:t>tik</w:t>
      </w:r>
      <w:r w:rsidR="006857BC" w:rsidRPr="006857BC">
        <w:rPr>
          <w:rFonts w:ascii="Times New Roman" w:hAnsi="Times New Roman"/>
          <w:sz w:val="24"/>
          <w:szCs w:val="24"/>
          <w:lang w:val="lv-LV"/>
        </w:rPr>
        <w:t>a</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aicin</w:t>
      </w:r>
      <w:r w:rsidR="00BF4DAA" w:rsidRPr="006857BC">
        <w:rPr>
          <w:rFonts w:ascii="Times New Roman" w:hAnsi="Times New Roman"/>
          <w:sz w:val="24"/>
          <w:szCs w:val="24"/>
          <w:lang w:val="lv-LV"/>
        </w:rPr>
        <w:t>ātas</w:t>
      </w:r>
      <w:r w:rsidR="00A350F8" w:rsidRPr="006857BC">
        <w:rPr>
          <w:rFonts w:ascii="Times New Roman" w:hAnsi="Times New Roman"/>
          <w:sz w:val="24"/>
          <w:szCs w:val="24"/>
          <w:lang w:val="lv-LV"/>
        </w:rPr>
        <w:t xml:space="preserve"> ieinteresētās personas izteikt komentārus par</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pasākumu un iesniegt pamatotu informāciju par to tīkliem, kuri atrodas vai kurus</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ticami plānots ierīkot mērķa teritorijā attiecīgajā laikposmā</w:t>
      </w:r>
      <w:r w:rsidR="006857BC">
        <w:rPr>
          <w:rFonts w:ascii="Times New Roman" w:hAnsi="Times New Roman"/>
          <w:sz w:val="24"/>
          <w:szCs w:val="24"/>
          <w:lang w:val="lv-LV"/>
        </w:rPr>
        <w:t>, publicējot informāciju Satiksmes ministrijas tīmekļa vietnē</w:t>
      </w:r>
      <w:r w:rsidR="006857BC" w:rsidRPr="006857BC">
        <w:rPr>
          <w:rFonts w:ascii="Times New Roman" w:hAnsi="Times New Roman"/>
          <w:sz w:val="24"/>
          <w:szCs w:val="24"/>
          <w:lang w:val="lv-LV"/>
        </w:rPr>
        <w:t xml:space="preserve">. </w:t>
      </w:r>
      <w:r w:rsidR="006857BC">
        <w:rPr>
          <w:rFonts w:ascii="Times New Roman" w:hAnsi="Times New Roman"/>
          <w:sz w:val="24"/>
          <w:szCs w:val="24"/>
          <w:lang w:val="lv-LV"/>
        </w:rPr>
        <w:t xml:space="preserve">Papildus par plānoto sabiedrisko apspriešanu un pasākumu </w:t>
      </w:r>
      <w:r w:rsidR="00F77927">
        <w:rPr>
          <w:rFonts w:ascii="Times New Roman" w:hAnsi="Times New Roman"/>
          <w:sz w:val="24"/>
          <w:szCs w:val="24"/>
          <w:lang w:val="lv-LV"/>
        </w:rPr>
        <w:t xml:space="preserve">2022. gada </w:t>
      </w:r>
      <w:r w:rsidR="00533F45">
        <w:rPr>
          <w:rFonts w:ascii="Times New Roman" w:hAnsi="Times New Roman"/>
          <w:sz w:val="24"/>
          <w:szCs w:val="24"/>
          <w:lang w:val="lv-LV"/>
        </w:rPr>
        <w:t>___</w:t>
      </w:r>
      <w:r w:rsidR="00F77927" w:rsidRPr="00CD4B71">
        <w:rPr>
          <w:rFonts w:ascii="Times New Roman" w:hAnsi="Times New Roman"/>
          <w:sz w:val="24"/>
          <w:szCs w:val="24"/>
          <w:lang w:val="lv-LV"/>
        </w:rPr>
        <w:t xml:space="preserve">. </w:t>
      </w:r>
      <w:r w:rsidR="00533F45">
        <w:rPr>
          <w:rFonts w:ascii="Times New Roman" w:hAnsi="Times New Roman"/>
          <w:sz w:val="24"/>
          <w:szCs w:val="24"/>
          <w:lang w:val="lv-LV"/>
        </w:rPr>
        <w:t>augustā</w:t>
      </w:r>
      <w:r w:rsidR="00F77927" w:rsidRPr="006857BC">
        <w:rPr>
          <w:rFonts w:ascii="Times New Roman" w:hAnsi="Times New Roman"/>
          <w:sz w:val="24"/>
          <w:szCs w:val="24"/>
          <w:lang w:val="lv-LV"/>
        </w:rPr>
        <w:t xml:space="preserve"> </w:t>
      </w:r>
      <w:r w:rsidR="006857BC">
        <w:rPr>
          <w:rFonts w:ascii="Times New Roman" w:hAnsi="Times New Roman"/>
          <w:sz w:val="24"/>
          <w:szCs w:val="24"/>
          <w:lang w:val="lv-LV"/>
        </w:rPr>
        <w:t xml:space="preserve">tika informācija sniegta </w:t>
      </w:r>
      <w:r w:rsidR="00F77927">
        <w:rPr>
          <w:rFonts w:ascii="Times New Roman" w:hAnsi="Times New Roman"/>
          <w:sz w:val="24"/>
          <w:szCs w:val="24"/>
          <w:lang w:val="lv-LV"/>
        </w:rPr>
        <w:t xml:space="preserve">Satiksmes ministrijas </w:t>
      </w:r>
      <w:r w:rsidR="006857BC">
        <w:rPr>
          <w:rFonts w:ascii="Times New Roman" w:hAnsi="Times New Roman"/>
          <w:sz w:val="24"/>
          <w:szCs w:val="24"/>
          <w:lang w:val="lv-LV"/>
        </w:rPr>
        <w:t xml:space="preserve">izveidotajā </w:t>
      </w:r>
      <w:r w:rsidR="00F77927" w:rsidRPr="00F77927">
        <w:rPr>
          <w:rFonts w:ascii="Times New Roman" w:hAnsi="Times New Roman"/>
          <w:sz w:val="24"/>
          <w:szCs w:val="24"/>
          <w:lang w:val="lv-LV"/>
        </w:rPr>
        <w:t>darba grup</w:t>
      </w:r>
      <w:r w:rsidR="00F77927">
        <w:rPr>
          <w:rFonts w:ascii="Times New Roman" w:hAnsi="Times New Roman"/>
          <w:sz w:val="24"/>
          <w:szCs w:val="24"/>
          <w:lang w:val="lv-LV"/>
        </w:rPr>
        <w:t>ā</w:t>
      </w:r>
      <w:r w:rsidR="00F77927" w:rsidRPr="00F77927">
        <w:rPr>
          <w:rFonts w:ascii="Times New Roman" w:hAnsi="Times New Roman"/>
          <w:sz w:val="24"/>
          <w:szCs w:val="24"/>
          <w:lang w:val="lv-LV"/>
        </w:rPr>
        <w:t xml:space="preserve"> valsts atbalsta programmu nosacījumu izstrādei, īstenošanai un uzraudzībai elektronisko sakaru tīklu, tostarp “pēdējās jūdzes” infrastruktūras attīstībai</w:t>
      </w:r>
      <w:r w:rsidR="00F77927">
        <w:rPr>
          <w:rFonts w:ascii="Times New Roman" w:hAnsi="Times New Roman"/>
          <w:sz w:val="24"/>
          <w:szCs w:val="24"/>
          <w:lang w:val="lv-LV"/>
        </w:rPr>
        <w:t xml:space="preserve">, kuru sastāvā ir arī nozares asociācijas. </w:t>
      </w:r>
    </w:p>
    <w:p w14:paraId="7F0A0A8C" w14:textId="3FC56055" w:rsidR="006857BC" w:rsidRPr="00CD4B71" w:rsidRDefault="00CD4B71" w:rsidP="001D0E7F">
      <w:pPr>
        <w:tabs>
          <w:tab w:val="left" w:leader="dot" w:pos="9072"/>
        </w:tabs>
        <w:spacing w:before="120" w:after="120" w:line="240" w:lineRule="auto"/>
        <w:ind w:left="709"/>
        <w:jc w:val="both"/>
        <w:rPr>
          <w:rFonts w:ascii="Times New Roman" w:hAnsi="Times New Roman"/>
          <w:i/>
          <w:iCs/>
          <w:sz w:val="24"/>
          <w:szCs w:val="24"/>
          <w:lang w:val="lv-LV"/>
        </w:rPr>
      </w:pPr>
      <w:r w:rsidRPr="00CD4B71">
        <w:rPr>
          <w:rFonts w:ascii="Times New Roman" w:hAnsi="Times New Roman"/>
          <w:i/>
          <w:iCs/>
          <w:sz w:val="24"/>
          <w:szCs w:val="24"/>
          <w:lang w:val="lv-LV"/>
        </w:rPr>
        <w:t xml:space="preserve">Tiks papildināts ar sabiedriskās apspriešanas rezultātiem. </w:t>
      </w:r>
    </w:p>
    <w:p w14:paraId="3F438BFA" w14:textId="252E27EB" w:rsidR="00FA4FE5" w:rsidRPr="00BF4DAA" w:rsidRDefault="007905AD" w:rsidP="00BF4DAA">
      <w:pPr>
        <w:tabs>
          <w:tab w:val="left" w:leader="dot" w:pos="9072"/>
        </w:tabs>
        <w:spacing w:before="120" w:after="120" w:line="240" w:lineRule="auto"/>
        <w:ind w:left="709"/>
        <w:jc w:val="both"/>
        <w:rPr>
          <w:rFonts w:ascii="Times New Roman" w:hAnsi="Times New Roman"/>
          <w:sz w:val="24"/>
          <w:szCs w:val="24"/>
          <w:lang w:val="lv-LV"/>
        </w:rPr>
      </w:pPr>
      <w:r>
        <w:rPr>
          <w:rFonts w:ascii="Times New Roman" w:hAnsi="Times New Roman"/>
          <w:sz w:val="24"/>
          <w:szCs w:val="24"/>
          <w:lang w:val="lv-LV"/>
        </w:rPr>
        <w:lastRenderedPageBreak/>
        <w:t>3</w:t>
      </w:r>
      <w:r w:rsidR="006857BC">
        <w:rPr>
          <w:rFonts w:ascii="Times New Roman" w:hAnsi="Times New Roman"/>
          <w:sz w:val="24"/>
          <w:szCs w:val="24"/>
          <w:lang w:val="lv-LV"/>
        </w:rPr>
        <w:t xml:space="preserve">) Papildus nepieciešamības gadījumā sabiedriskā apspriešana tiks </w:t>
      </w:r>
      <w:r w:rsidR="006857BC" w:rsidRPr="006857BC">
        <w:rPr>
          <w:rFonts w:ascii="Times New Roman" w:hAnsi="Times New Roman"/>
          <w:sz w:val="24"/>
          <w:szCs w:val="24"/>
          <w:lang w:val="lv-LV"/>
        </w:rPr>
        <w:t xml:space="preserve">veikta </w:t>
      </w:r>
      <w:r w:rsidR="00BF4DAA" w:rsidRPr="006857BC">
        <w:rPr>
          <w:rFonts w:ascii="Times New Roman" w:hAnsi="Times New Roman"/>
          <w:sz w:val="24"/>
          <w:szCs w:val="24"/>
          <w:lang w:val="lv-LV"/>
        </w:rPr>
        <w:t>ne vēlāk kā vienu gadu pirms projekta uzsākšanas.</w:t>
      </w:r>
      <w:r w:rsidR="00BF4DAA">
        <w:rPr>
          <w:rFonts w:ascii="Times New Roman" w:hAnsi="Times New Roman"/>
          <w:sz w:val="24"/>
          <w:szCs w:val="24"/>
          <w:lang w:val="lv-LV"/>
        </w:rPr>
        <w:t xml:space="preserve"> </w:t>
      </w:r>
    </w:p>
    <w:p w14:paraId="1D5DDE0C" w14:textId="77777777" w:rsidR="00C40620" w:rsidRPr="00C40620" w:rsidRDefault="00C40620" w:rsidP="00C40620">
      <w:pPr>
        <w:keepNext/>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Konkursa atlases procedūra</w:t>
      </w:r>
    </w:p>
    <w:p w14:paraId="351C3F3D" w14:textId="77777777" w:rsidR="00C40620" w:rsidRPr="00904156"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904156">
        <w:rPr>
          <w:rFonts w:ascii="Times New Roman" w:eastAsia="Times New Roman" w:hAnsi="Times New Roman"/>
          <w:sz w:val="24"/>
          <w:szCs w:val="24"/>
          <w:lang w:val="lv-LV" w:eastAsia="lv-LV" w:bidi="lv-LV"/>
        </w:rPr>
        <w:t>Ja subsidēto tīklu izvērš un/vai ekspluatē trešā persona (operators), lūdzu, apstipriniet, ka tiks organizēta konkursa atlases procedūra atbilstoši ES Publiskā iepirkuma direktīvām</w:t>
      </w:r>
      <w:r w:rsidRPr="00904156">
        <w:rPr>
          <w:rFonts w:ascii="Times New Roman" w:eastAsia="Times New Roman" w:hAnsi="Times New Roman"/>
          <w:sz w:val="24"/>
          <w:szCs w:val="24"/>
          <w:vertAlign w:val="superscript"/>
          <w:lang w:val="lv-LV" w:eastAsia="lv-LV" w:bidi="lv-LV"/>
        </w:rPr>
        <w:footnoteReference w:id="18"/>
      </w:r>
      <w:r w:rsidRPr="00904156">
        <w:rPr>
          <w:rFonts w:ascii="Times New Roman" w:eastAsia="Times New Roman" w:hAnsi="Times New Roman"/>
          <w:sz w:val="24"/>
          <w:szCs w:val="24"/>
          <w:lang w:val="lv-LV" w:eastAsia="lv-LV" w:bidi="lv-LV"/>
        </w:rPr>
        <w:t>. Lūdzu, sniedziet visu šajā sakarā būtisko informāciju:</w:t>
      </w:r>
    </w:p>
    <w:p w14:paraId="47717F8A" w14:textId="24DB8818" w:rsidR="00BA5835" w:rsidRPr="00BA5835" w:rsidRDefault="00F333E9" w:rsidP="00BA5835">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5251BD">
        <w:rPr>
          <w:rFonts w:ascii="Times New Roman" w:eastAsia="Times New Roman" w:hAnsi="Times New Roman"/>
          <w:sz w:val="24"/>
          <w:szCs w:val="24"/>
          <w:lang w:val="lv-LV" w:eastAsia="en-GB"/>
        </w:rPr>
        <w:t>Centrālā finanšu un līgumu aģentūra</w:t>
      </w:r>
      <w:r w:rsidR="004D76A9" w:rsidRPr="005251BD">
        <w:rPr>
          <w:rFonts w:ascii="Times New Roman" w:eastAsia="Times New Roman" w:hAnsi="Times New Roman"/>
          <w:sz w:val="24"/>
          <w:szCs w:val="24"/>
          <w:lang w:val="lv-LV" w:eastAsia="en-GB"/>
        </w:rPr>
        <w:t>, kas ir atbalsta sniedzējs, veiks atklātu projektu iesniegumu atlasi</w:t>
      </w:r>
      <w:r w:rsidR="00B51391" w:rsidRPr="005251BD">
        <w:rPr>
          <w:rFonts w:ascii="Times New Roman" w:eastAsia="Times New Roman" w:hAnsi="Times New Roman"/>
          <w:sz w:val="24"/>
          <w:szCs w:val="24"/>
          <w:lang w:val="lv-LV" w:eastAsia="en-GB"/>
        </w:rPr>
        <w:t xml:space="preserve"> atbilstoši</w:t>
      </w:r>
      <w:r w:rsidR="006C7DCF" w:rsidRPr="005251BD">
        <w:rPr>
          <w:rFonts w:ascii="Times New Roman" w:eastAsia="Times New Roman" w:hAnsi="Times New Roman"/>
          <w:sz w:val="24"/>
          <w:szCs w:val="24"/>
          <w:lang w:val="lv-LV" w:eastAsia="en-GB"/>
        </w:rPr>
        <w:t xml:space="preserve"> </w:t>
      </w:r>
      <w:r w:rsidR="00B51391" w:rsidRPr="005251BD">
        <w:rPr>
          <w:rFonts w:ascii="Times New Roman" w:eastAsia="Times New Roman" w:hAnsi="Times New Roman"/>
          <w:sz w:val="24"/>
          <w:szCs w:val="24"/>
          <w:lang w:val="lv-LV" w:eastAsia="en-GB"/>
        </w:rPr>
        <w:t>Eiropas Reģionālā attīstības fonda vai Atveseļošanās un noturības mehānisma</w:t>
      </w:r>
      <w:r w:rsidR="00B71574" w:rsidRPr="005251BD">
        <w:rPr>
          <w:rFonts w:ascii="Times New Roman" w:eastAsia="Times New Roman" w:hAnsi="Times New Roman"/>
          <w:sz w:val="24"/>
          <w:szCs w:val="24"/>
          <w:lang w:val="lv-LV" w:eastAsia="en-GB"/>
        </w:rPr>
        <w:t xml:space="preserve"> finansējuma saņemšanas nosacījumiem</w:t>
      </w:r>
      <w:r w:rsidR="004D76A9" w:rsidRPr="005251BD">
        <w:rPr>
          <w:rFonts w:ascii="Times New Roman" w:eastAsia="Times New Roman" w:hAnsi="Times New Roman"/>
          <w:sz w:val="24"/>
          <w:szCs w:val="24"/>
          <w:lang w:val="lv-LV" w:eastAsia="en-GB"/>
        </w:rPr>
        <w:t xml:space="preserve">, </w:t>
      </w:r>
      <w:r w:rsidR="006C7DCF" w:rsidRPr="005251BD">
        <w:rPr>
          <w:rFonts w:ascii="Times New Roman" w:eastAsia="Times New Roman" w:hAnsi="Times New Roman"/>
          <w:sz w:val="24"/>
          <w:szCs w:val="24"/>
          <w:lang w:val="lv-LV" w:eastAsia="en-GB"/>
        </w:rPr>
        <w:t>ievērojot Eiropas Savienības un nacionālās likumdošanas prasības</w:t>
      </w:r>
      <w:r w:rsidR="00141EC7" w:rsidRPr="005251BD">
        <w:rPr>
          <w:rFonts w:ascii="Times New Roman" w:eastAsia="Times New Roman" w:hAnsi="Times New Roman"/>
          <w:sz w:val="24"/>
          <w:szCs w:val="24"/>
          <w:lang w:val="lv-LV" w:eastAsia="en-GB"/>
        </w:rPr>
        <w:t>. Tajā</w:t>
      </w:r>
      <w:r w:rsidR="004D76A9" w:rsidRPr="005251BD">
        <w:rPr>
          <w:rFonts w:ascii="Times New Roman" w:eastAsia="Times New Roman" w:hAnsi="Times New Roman"/>
          <w:sz w:val="24"/>
          <w:szCs w:val="24"/>
          <w:lang w:val="lv-LV" w:eastAsia="en-GB"/>
        </w:rPr>
        <w:t xml:space="preserve"> varēs pieteikties jebkurš </w:t>
      </w:r>
      <w:r w:rsidR="00A17943" w:rsidRPr="005251BD">
        <w:rPr>
          <w:rFonts w:ascii="Times New Roman" w:eastAsia="Times New Roman" w:hAnsi="Times New Roman"/>
          <w:sz w:val="24"/>
          <w:szCs w:val="24"/>
          <w:lang w:val="lv-LV" w:eastAsia="en-GB"/>
        </w:rPr>
        <w:t xml:space="preserve">elektronisko sakaru operators, kuram ir tiesības Latvijas teritorija sniegt </w:t>
      </w:r>
      <w:r w:rsidR="00057411" w:rsidRPr="005251BD">
        <w:rPr>
          <w:rFonts w:ascii="Times New Roman" w:eastAsia="Times New Roman" w:hAnsi="Times New Roman"/>
          <w:sz w:val="24"/>
          <w:szCs w:val="24"/>
          <w:lang w:val="lv-LV" w:eastAsia="en-GB"/>
        </w:rPr>
        <w:t xml:space="preserve">“pēdējās jūdzes” pakalpojumus. </w:t>
      </w:r>
      <w:r w:rsidR="00F51CC2" w:rsidRPr="005251BD">
        <w:rPr>
          <w:rFonts w:ascii="Times New Roman" w:eastAsia="Times New Roman" w:hAnsi="Times New Roman"/>
          <w:sz w:val="24"/>
          <w:szCs w:val="24"/>
          <w:lang w:val="lv-LV" w:eastAsia="en-GB"/>
        </w:rPr>
        <w:t xml:space="preserve">Atklāta projektu iesniegumu atlases </w:t>
      </w:r>
      <w:r w:rsidR="00BA5835" w:rsidRPr="005251BD">
        <w:rPr>
          <w:rFonts w:ascii="Times New Roman" w:eastAsia="Times New Roman" w:hAnsi="Times New Roman"/>
          <w:sz w:val="24"/>
          <w:szCs w:val="24"/>
          <w:lang w:val="lv-LV" w:eastAsia="en-GB"/>
        </w:rPr>
        <w:t>kārtībā izvēlēt</w:t>
      </w:r>
      <w:r w:rsidR="00F51CC2" w:rsidRPr="005251BD">
        <w:rPr>
          <w:rFonts w:ascii="Times New Roman" w:eastAsia="Times New Roman" w:hAnsi="Times New Roman"/>
          <w:sz w:val="24"/>
          <w:szCs w:val="24"/>
          <w:lang w:val="lv-LV" w:eastAsia="en-GB"/>
        </w:rPr>
        <w:t>ie</w:t>
      </w:r>
      <w:r w:rsidR="00BA5835" w:rsidRPr="005251BD">
        <w:rPr>
          <w:rFonts w:ascii="Times New Roman" w:eastAsia="Times New Roman" w:hAnsi="Times New Roman"/>
          <w:sz w:val="24"/>
          <w:szCs w:val="24"/>
          <w:lang w:val="lv-LV" w:eastAsia="en-GB"/>
        </w:rPr>
        <w:t xml:space="preserve"> privāt</w:t>
      </w:r>
      <w:r w:rsidR="00F51CC2" w:rsidRPr="005251BD">
        <w:rPr>
          <w:rFonts w:ascii="Times New Roman" w:eastAsia="Times New Roman" w:hAnsi="Times New Roman"/>
          <w:sz w:val="24"/>
          <w:szCs w:val="24"/>
          <w:lang w:val="lv-LV" w:eastAsia="en-GB"/>
        </w:rPr>
        <w:t>ie elektronisko sakaru</w:t>
      </w:r>
      <w:r w:rsidR="00BA5835" w:rsidRPr="005251BD">
        <w:rPr>
          <w:rFonts w:ascii="Times New Roman" w:eastAsia="Times New Roman" w:hAnsi="Times New Roman"/>
          <w:sz w:val="24"/>
          <w:szCs w:val="24"/>
          <w:lang w:val="lv-LV" w:eastAsia="en-GB"/>
        </w:rPr>
        <w:t xml:space="preserve"> </w:t>
      </w:r>
      <w:r w:rsidR="00141EC7" w:rsidRPr="005251BD">
        <w:rPr>
          <w:rFonts w:ascii="Times New Roman" w:eastAsia="Times New Roman" w:hAnsi="Times New Roman"/>
          <w:sz w:val="24"/>
          <w:szCs w:val="24"/>
          <w:lang w:val="lv-LV" w:eastAsia="en-GB"/>
        </w:rPr>
        <w:t>komersanti</w:t>
      </w:r>
      <w:r w:rsidR="00BA5835" w:rsidRPr="005251BD">
        <w:rPr>
          <w:rFonts w:ascii="Times New Roman" w:eastAsia="Times New Roman" w:hAnsi="Times New Roman"/>
          <w:sz w:val="24"/>
          <w:szCs w:val="24"/>
          <w:lang w:val="lv-LV" w:eastAsia="en-GB"/>
        </w:rPr>
        <w:t xml:space="preserve"> </w:t>
      </w:r>
      <w:proofErr w:type="spellStart"/>
      <w:r w:rsidR="009B47EF" w:rsidRPr="005251BD">
        <w:rPr>
          <w:rFonts w:ascii="Times New Roman" w:eastAsia="Times New Roman" w:hAnsi="Times New Roman"/>
          <w:sz w:val="24"/>
          <w:szCs w:val="24"/>
          <w:lang w:val="lv-LV" w:eastAsia="en-GB"/>
        </w:rPr>
        <w:t>izvērtīs</w:t>
      </w:r>
      <w:proofErr w:type="spellEnd"/>
      <w:r w:rsidR="009B47EF" w:rsidRPr="005251BD">
        <w:rPr>
          <w:rFonts w:ascii="Times New Roman" w:eastAsia="Times New Roman" w:hAnsi="Times New Roman"/>
          <w:sz w:val="24"/>
          <w:szCs w:val="24"/>
          <w:lang w:val="lv-LV" w:eastAsia="en-GB"/>
        </w:rPr>
        <w:t xml:space="preserve"> un </w:t>
      </w:r>
      <w:proofErr w:type="spellStart"/>
      <w:r w:rsidR="009B47EF" w:rsidRPr="005251BD">
        <w:rPr>
          <w:rFonts w:ascii="Times New Roman" w:eastAsia="Times New Roman" w:hAnsi="Times New Roman"/>
          <w:sz w:val="24"/>
          <w:szCs w:val="24"/>
          <w:lang w:val="lv-LV" w:eastAsia="en-GB"/>
        </w:rPr>
        <w:t>ekpluatēs</w:t>
      </w:r>
      <w:proofErr w:type="spellEnd"/>
      <w:r w:rsidR="009B47EF" w:rsidRPr="005251BD">
        <w:rPr>
          <w:rFonts w:ascii="Times New Roman" w:eastAsia="Times New Roman" w:hAnsi="Times New Roman"/>
          <w:sz w:val="24"/>
          <w:szCs w:val="24"/>
          <w:lang w:val="lv-LV" w:eastAsia="en-GB"/>
        </w:rPr>
        <w:t xml:space="preserve"> sub</w:t>
      </w:r>
      <w:r w:rsidR="00B829F8" w:rsidRPr="005251BD">
        <w:rPr>
          <w:rFonts w:ascii="Times New Roman" w:eastAsia="Times New Roman" w:hAnsi="Times New Roman"/>
          <w:sz w:val="24"/>
          <w:szCs w:val="24"/>
          <w:lang w:val="lv-LV" w:eastAsia="en-GB"/>
        </w:rPr>
        <w:t>s</w:t>
      </w:r>
      <w:r w:rsidR="009B47EF" w:rsidRPr="005251BD">
        <w:rPr>
          <w:rFonts w:ascii="Times New Roman" w:eastAsia="Times New Roman" w:hAnsi="Times New Roman"/>
          <w:sz w:val="24"/>
          <w:szCs w:val="24"/>
          <w:lang w:val="lv-LV" w:eastAsia="en-GB"/>
        </w:rPr>
        <w:t>idēto tīklu, kā arī</w:t>
      </w:r>
      <w:r w:rsidR="00BA5835" w:rsidRPr="005251BD">
        <w:rPr>
          <w:rFonts w:ascii="Times New Roman" w:eastAsia="Times New Roman" w:hAnsi="Times New Roman"/>
          <w:sz w:val="24"/>
          <w:szCs w:val="24"/>
          <w:lang w:val="lv-LV" w:eastAsia="en-GB"/>
        </w:rPr>
        <w:t xml:space="preserve"> nodrošin</w:t>
      </w:r>
      <w:r w:rsidR="009B47EF" w:rsidRPr="005251BD">
        <w:rPr>
          <w:rFonts w:ascii="Times New Roman" w:eastAsia="Times New Roman" w:hAnsi="Times New Roman"/>
          <w:sz w:val="24"/>
          <w:szCs w:val="24"/>
          <w:lang w:val="lv-LV" w:eastAsia="en-GB"/>
        </w:rPr>
        <w:t>ās</w:t>
      </w:r>
      <w:r w:rsidR="00BA5835" w:rsidRPr="005251BD">
        <w:rPr>
          <w:rFonts w:ascii="Times New Roman" w:eastAsia="Times New Roman" w:hAnsi="Times New Roman"/>
          <w:sz w:val="24"/>
          <w:szCs w:val="24"/>
          <w:lang w:val="lv-LV" w:eastAsia="en-GB"/>
        </w:rPr>
        <w:t xml:space="preserve"> interneta pakalpojumu pieejamību </w:t>
      </w:r>
      <w:r w:rsidR="009B47EF" w:rsidRPr="005251BD">
        <w:rPr>
          <w:rFonts w:ascii="Times New Roman" w:eastAsia="Times New Roman" w:hAnsi="Times New Roman"/>
          <w:sz w:val="24"/>
          <w:szCs w:val="24"/>
          <w:lang w:val="lv-LV" w:eastAsia="en-GB"/>
        </w:rPr>
        <w:t xml:space="preserve">un piekļuvi citiem elektronisko sakaru </w:t>
      </w:r>
      <w:r w:rsidR="00141EC7" w:rsidRPr="005251BD">
        <w:rPr>
          <w:rFonts w:ascii="Times New Roman" w:eastAsia="Times New Roman" w:hAnsi="Times New Roman"/>
          <w:sz w:val="24"/>
          <w:szCs w:val="24"/>
          <w:lang w:val="lv-LV" w:eastAsia="en-GB"/>
        </w:rPr>
        <w:t>komersantiem</w:t>
      </w:r>
      <w:r w:rsidR="001E1EEE" w:rsidRPr="005251BD">
        <w:rPr>
          <w:rFonts w:ascii="Times New Roman" w:eastAsia="Times New Roman" w:hAnsi="Times New Roman"/>
          <w:sz w:val="24"/>
          <w:szCs w:val="24"/>
          <w:lang w:val="lv-LV" w:eastAsia="en-GB"/>
        </w:rPr>
        <w:t xml:space="preserve">, ņemot vērā </w:t>
      </w:r>
      <w:r w:rsidR="000B2DF7" w:rsidRPr="005251BD">
        <w:rPr>
          <w:rFonts w:ascii="Times New Roman" w:eastAsia="Times New Roman" w:hAnsi="Times New Roman"/>
          <w:sz w:val="24"/>
          <w:szCs w:val="24"/>
          <w:lang w:val="lv-LV" w:eastAsia="en-GB"/>
        </w:rPr>
        <w:t>2.12. un 2.13. punktos minētos nosacījumus</w:t>
      </w:r>
      <w:r w:rsidR="009B47EF" w:rsidRPr="005251BD">
        <w:rPr>
          <w:rFonts w:ascii="Times New Roman" w:eastAsia="Times New Roman" w:hAnsi="Times New Roman"/>
          <w:sz w:val="24"/>
          <w:szCs w:val="24"/>
          <w:lang w:val="lv-LV" w:eastAsia="en-GB"/>
        </w:rPr>
        <w:t>.</w:t>
      </w:r>
      <w:r w:rsidR="009B47EF">
        <w:rPr>
          <w:rFonts w:ascii="Times New Roman" w:eastAsia="Times New Roman" w:hAnsi="Times New Roman"/>
          <w:sz w:val="24"/>
          <w:szCs w:val="24"/>
          <w:lang w:val="lv-LV" w:eastAsia="en-GB"/>
        </w:rPr>
        <w:t xml:space="preserve"> </w:t>
      </w:r>
    </w:p>
    <w:p w14:paraId="72B95D84" w14:textId="77777777" w:rsidR="00C40620" w:rsidRPr="002F76D5"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2F76D5">
        <w:rPr>
          <w:rFonts w:ascii="Times New Roman" w:eastAsia="Times New Roman" w:hAnsi="Times New Roman"/>
          <w:spacing w:val="-4"/>
          <w:sz w:val="24"/>
          <w:szCs w:val="24"/>
          <w:lang w:val="lv-LV" w:eastAsia="lv-LV" w:bidi="lv-LV"/>
        </w:rPr>
        <w:t>Lūdzu, sniedziet informāciju par to, kā izvēlēsies ekonomiski visizdevīgāko piedāvājumu</w:t>
      </w:r>
      <w:r w:rsidRPr="002F76D5">
        <w:rPr>
          <w:rFonts w:ascii="Times New Roman" w:eastAsia="Times New Roman" w:hAnsi="Times New Roman"/>
          <w:sz w:val="24"/>
          <w:szCs w:val="24"/>
          <w:lang w:val="lv-LV" w:eastAsia="lv-LV" w:bidi="lv-LV"/>
        </w:rPr>
        <w:t xml:space="preserve"> (tostarp par atbalsta piešķiršanas kritērijiem un katram izvēlētajam kritērijam piešķirto relatīvo nozīmi), ņemot vērā kvalitatīvos kritērijus (piemēram, pārklājumu, tehnoloģiskās pieejas ilgtspēju vai risinājuma ietekmi uz konkurenci) un cenu:</w:t>
      </w:r>
    </w:p>
    <w:p w14:paraId="4FD2F8D8" w14:textId="46DE0604" w:rsidR="001452D9" w:rsidRPr="001452D9" w:rsidRDefault="00E77EDD" w:rsidP="001452D9">
      <w:pPr>
        <w:pStyle w:val="ListParagraph"/>
        <w:tabs>
          <w:tab w:val="left" w:leader="dot" w:pos="9072"/>
        </w:tabs>
        <w:spacing w:after="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P</w:t>
      </w:r>
      <w:r w:rsidR="0036132E" w:rsidRPr="0036132E">
        <w:rPr>
          <w:rFonts w:ascii="Times New Roman" w:eastAsia="Times New Roman" w:hAnsi="Times New Roman"/>
          <w:sz w:val="24"/>
          <w:szCs w:val="24"/>
          <w:lang w:val="lv-LV" w:eastAsia="en-GB"/>
        </w:rPr>
        <w:t>rojektu iesniegumu atlas</w:t>
      </w:r>
      <w:r w:rsidR="0036132E">
        <w:rPr>
          <w:rFonts w:ascii="Times New Roman" w:eastAsia="Times New Roman" w:hAnsi="Times New Roman"/>
          <w:sz w:val="24"/>
          <w:szCs w:val="24"/>
          <w:lang w:val="lv-LV" w:eastAsia="en-GB"/>
        </w:rPr>
        <w:t>es n</w:t>
      </w:r>
      <w:r w:rsidR="001452D9" w:rsidRPr="001452D9">
        <w:rPr>
          <w:rFonts w:ascii="Times New Roman" w:eastAsia="Times New Roman" w:hAnsi="Times New Roman"/>
          <w:sz w:val="24"/>
          <w:szCs w:val="24"/>
          <w:lang w:val="lv-LV" w:eastAsia="en-GB"/>
        </w:rPr>
        <w:t xml:space="preserve">olikumā tiks noteiktas pretendenta kvalifikāciju un tehniskā piedāvājuma atbilstības prasības, tostarp vispārējās tehniskās prasības elektronisko sakaru tīklam, tostarp uz lejupielādes un augšupielādes interneta ātrumu, kā arī prasības minimālajam mājsaimniecību un uzņēmumu skaitam ar piekļuvi </w:t>
      </w:r>
      <w:r w:rsidR="0001573F">
        <w:rPr>
          <w:rFonts w:ascii="Times New Roman" w:eastAsia="Times New Roman" w:hAnsi="Times New Roman"/>
          <w:sz w:val="24"/>
          <w:szCs w:val="24"/>
          <w:lang w:val="lv-LV" w:eastAsia="en-GB"/>
        </w:rPr>
        <w:t>VHCN</w:t>
      </w:r>
      <w:r w:rsidR="001452D9" w:rsidRPr="001452D9">
        <w:rPr>
          <w:rFonts w:ascii="Times New Roman" w:eastAsia="Times New Roman" w:hAnsi="Times New Roman"/>
          <w:sz w:val="24"/>
          <w:szCs w:val="24"/>
          <w:lang w:val="lv-LV" w:eastAsia="en-GB"/>
        </w:rPr>
        <w:t xml:space="preserve">, kā arī mājsaimniecību un uzņēmumu abonentu skaitam </w:t>
      </w:r>
      <w:r w:rsidR="003B03C8">
        <w:rPr>
          <w:rFonts w:ascii="Times New Roman" w:eastAsia="Times New Roman" w:hAnsi="Times New Roman"/>
          <w:sz w:val="24"/>
          <w:szCs w:val="24"/>
          <w:lang w:val="lv-LV" w:eastAsia="en-GB"/>
        </w:rPr>
        <w:t>VHCN</w:t>
      </w:r>
      <w:r w:rsidR="00165985">
        <w:rPr>
          <w:rFonts w:ascii="Times New Roman" w:eastAsia="Times New Roman" w:hAnsi="Times New Roman"/>
          <w:sz w:val="24"/>
          <w:szCs w:val="24"/>
          <w:lang w:val="lv-LV" w:eastAsia="en-GB"/>
        </w:rPr>
        <w:t xml:space="preserve">, kā arī iekļautas </w:t>
      </w:r>
      <w:r w:rsidR="001E343E">
        <w:rPr>
          <w:rFonts w:ascii="Times New Roman" w:eastAsia="Times New Roman" w:hAnsi="Times New Roman"/>
          <w:sz w:val="24"/>
          <w:szCs w:val="24"/>
          <w:lang w:val="lv-LV" w:eastAsia="en-GB"/>
        </w:rPr>
        <w:t xml:space="preserve">plānošanas reģionu noteiktās </w:t>
      </w:r>
      <w:r w:rsidR="00165985">
        <w:rPr>
          <w:rFonts w:ascii="Times New Roman" w:eastAsia="Times New Roman" w:hAnsi="Times New Roman"/>
          <w:sz w:val="24"/>
          <w:szCs w:val="24"/>
          <w:lang w:val="lv-LV" w:eastAsia="en-GB"/>
        </w:rPr>
        <w:t xml:space="preserve">prioritātes, kam obligāti jānodrošina </w:t>
      </w:r>
      <w:r w:rsidR="003B03C8">
        <w:rPr>
          <w:rFonts w:ascii="Times New Roman" w:eastAsia="Times New Roman" w:hAnsi="Times New Roman"/>
          <w:sz w:val="24"/>
          <w:szCs w:val="24"/>
          <w:lang w:val="lv-LV" w:eastAsia="en-GB"/>
        </w:rPr>
        <w:t xml:space="preserve">VHCN </w:t>
      </w:r>
      <w:r w:rsidR="00165985">
        <w:rPr>
          <w:rFonts w:ascii="Times New Roman" w:eastAsia="Times New Roman" w:hAnsi="Times New Roman"/>
          <w:sz w:val="24"/>
          <w:szCs w:val="24"/>
          <w:lang w:val="lv-LV" w:eastAsia="en-GB"/>
        </w:rPr>
        <w:t>pakalpojumi, proti, konkrēti lietotāji, piemēram, uzskaitītas noteiktas izglītības iestādes, vai teritorija</w:t>
      </w:r>
      <w:r w:rsidR="001E343E">
        <w:rPr>
          <w:rFonts w:ascii="Times New Roman" w:eastAsia="Times New Roman" w:hAnsi="Times New Roman"/>
          <w:sz w:val="24"/>
          <w:szCs w:val="24"/>
          <w:lang w:val="lv-LV" w:eastAsia="en-GB"/>
        </w:rPr>
        <w:t>.</w:t>
      </w:r>
      <w:r w:rsidR="00DC2D3A">
        <w:rPr>
          <w:rFonts w:ascii="Times New Roman" w:eastAsia="Times New Roman" w:hAnsi="Times New Roman"/>
          <w:sz w:val="24"/>
          <w:szCs w:val="24"/>
          <w:lang w:val="lv-LV" w:eastAsia="en-GB"/>
        </w:rPr>
        <w:t xml:space="preserve"> </w:t>
      </w:r>
    </w:p>
    <w:p w14:paraId="0A616A02" w14:textId="7E1FFA48" w:rsidR="0084349F" w:rsidRDefault="00EF331A" w:rsidP="00D61B3F">
      <w:pPr>
        <w:tabs>
          <w:tab w:val="left" w:leader="dot" w:pos="9072"/>
        </w:tabs>
        <w:spacing w:after="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Savukārt, l</w:t>
      </w:r>
      <w:r w:rsidR="007820F3" w:rsidRPr="0084349F">
        <w:rPr>
          <w:rFonts w:ascii="Times New Roman" w:eastAsia="Times New Roman" w:hAnsi="Times New Roman"/>
          <w:sz w:val="24"/>
          <w:szCs w:val="24"/>
          <w:lang w:val="lv-LV" w:eastAsia="en-GB"/>
        </w:rPr>
        <w:t>ai izvēlētos ekonomiski visizdevīgāko piedāvājumu</w:t>
      </w:r>
      <w:r w:rsidR="009E7475">
        <w:rPr>
          <w:rFonts w:ascii="Times New Roman" w:eastAsia="Times New Roman" w:hAnsi="Times New Roman"/>
          <w:sz w:val="24"/>
          <w:szCs w:val="24"/>
          <w:lang w:val="lv-LV" w:eastAsia="en-GB"/>
        </w:rPr>
        <w:t>,</w:t>
      </w:r>
      <w:r w:rsidR="009E7475" w:rsidRPr="009E7475">
        <w:rPr>
          <w:rFonts w:ascii="Times New Roman" w:eastAsia="Times New Roman" w:hAnsi="Times New Roman"/>
          <w:sz w:val="24"/>
          <w:szCs w:val="24"/>
          <w:lang w:val="lv-LV" w:eastAsia="en-GB"/>
        </w:rPr>
        <w:t xml:space="preserve"> </w:t>
      </w:r>
      <w:r w:rsidR="001A2B3C">
        <w:rPr>
          <w:rFonts w:ascii="Times New Roman" w:eastAsia="Times New Roman" w:hAnsi="Times New Roman"/>
          <w:sz w:val="24"/>
          <w:szCs w:val="24"/>
          <w:lang w:val="lv-LV" w:eastAsia="en-GB"/>
        </w:rPr>
        <w:t>a</w:t>
      </w:r>
      <w:r w:rsidR="001A2B3C" w:rsidRPr="001A2B3C">
        <w:rPr>
          <w:rFonts w:ascii="Times New Roman" w:eastAsia="Times New Roman" w:hAnsi="Times New Roman"/>
          <w:sz w:val="24"/>
          <w:szCs w:val="24"/>
          <w:lang w:val="lv-LV" w:eastAsia="en-GB"/>
        </w:rPr>
        <w:t xml:space="preserve">tklātas projektu iesniegumu atlases </w:t>
      </w:r>
      <w:r w:rsidR="009E7475" w:rsidRPr="0084349F">
        <w:rPr>
          <w:rFonts w:ascii="Times New Roman" w:eastAsia="Times New Roman" w:hAnsi="Times New Roman"/>
          <w:sz w:val="24"/>
          <w:szCs w:val="24"/>
          <w:lang w:val="lv-LV" w:eastAsia="en-GB"/>
        </w:rPr>
        <w:t>nolikumos</w:t>
      </w:r>
      <w:r w:rsidR="009E7475">
        <w:rPr>
          <w:rFonts w:ascii="Times New Roman" w:eastAsia="Times New Roman" w:hAnsi="Times New Roman"/>
          <w:sz w:val="24"/>
          <w:szCs w:val="24"/>
          <w:lang w:val="lv-LV" w:eastAsia="en-GB"/>
        </w:rPr>
        <w:t xml:space="preserve"> tiks iekļaut</w:t>
      </w:r>
      <w:r>
        <w:rPr>
          <w:rFonts w:ascii="Times New Roman" w:eastAsia="Times New Roman" w:hAnsi="Times New Roman"/>
          <w:sz w:val="24"/>
          <w:szCs w:val="24"/>
          <w:lang w:val="lv-LV" w:eastAsia="en-GB"/>
        </w:rPr>
        <w:t>i šādi kvalitatīvie kritēriji</w:t>
      </w:r>
      <w:r w:rsidR="0084349F">
        <w:rPr>
          <w:rFonts w:ascii="Times New Roman" w:eastAsia="Times New Roman" w:hAnsi="Times New Roman"/>
          <w:sz w:val="24"/>
          <w:szCs w:val="24"/>
          <w:lang w:val="lv-LV" w:eastAsia="en-GB"/>
        </w:rPr>
        <w:t>:</w:t>
      </w:r>
    </w:p>
    <w:p w14:paraId="4A5E728F" w14:textId="42B23A66" w:rsidR="00B61CB8" w:rsidRDefault="00B61CB8" w:rsidP="00B61CB8">
      <w:pPr>
        <w:pStyle w:val="ListParagraph"/>
        <w:numPr>
          <w:ilvl w:val="0"/>
          <w:numId w:val="15"/>
        </w:numPr>
        <w:tabs>
          <w:tab w:val="left" w:leader="dot" w:pos="9072"/>
        </w:tabs>
        <w:spacing w:after="0" w:line="240" w:lineRule="auto"/>
        <w:jc w:val="both"/>
        <w:rPr>
          <w:rFonts w:ascii="Times New Roman" w:eastAsia="Times New Roman" w:hAnsi="Times New Roman"/>
          <w:sz w:val="24"/>
          <w:szCs w:val="24"/>
          <w:lang w:val="lv-LV" w:eastAsia="lv-LV" w:bidi="lv-LV"/>
        </w:rPr>
      </w:pPr>
      <w:bookmarkStart w:id="3" w:name="_Hlk94687706"/>
      <w:r w:rsidRPr="00496091">
        <w:rPr>
          <w:rFonts w:ascii="Times New Roman" w:eastAsia="Times New Roman" w:hAnsi="Times New Roman"/>
          <w:sz w:val="24"/>
          <w:szCs w:val="24"/>
          <w:lang w:val="lv-LV" w:eastAsia="en-GB"/>
        </w:rPr>
        <w:t>mājsaimniecīb</w:t>
      </w:r>
      <w:r>
        <w:rPr>
          <w:rFonts w:ascii="Times New Roman" w:eastAsia="Times New Roman" w:hAnsi="Times New Roman"/>
          <w:sz w:val="24"/>
          <w:szCs w:val="24"/>
          <w:lang w:val="lv-LV" w:eastAsia="en-GB"/>
        </w:rPr>
        <w:t>u un uzņēmumu skaits</w:t>
      </w:r>
      <w:r w:rsidRPr="00496091">
        <w:rPr>
          <w:rFonts w:ascii="Times New Roman" w:eastAsia="Times New Roman" w:hAnsi="Times New Roman"/>
          <w:sz w:val="24"/>
          <w:szCs w:val="24"/>
          <w:lang w:val="lv-LV" w:eastAsia="en-GB"/>
        </w:rPr>
        <w:t xml:space="preserve"> ar piekļuvi  </w:t>
      </w:r>
      <w:r w:rsidR="003B03C8">
        <w:rPr>
          <w:rFonts w:ascii="Times New Roman" w:eastAsia="Times New Roman" w:hAnsi="Times New Roman"/>
          <w:sz w:val="24"/>
          <w:szCs w:val="24"/>
          <w:lang w:val="lv-LV" w:eastAsia="en-GB"/>
        </w:rPr>
        <w:t>VHCN</w:t>
      </w:r>
      <w:r>
        <w:rPr>
          <w:rFonts w:ascii="Times New Roman" w:eastAsia="Times New Roman" w:hAnsi="Times New Roman"/>
          <w:sz w:val="24"/>
          <w:szCs w:val="24"/>
          <w:lang w:val="lv-LV" w:eastAsia="en-GB"/>
        </w:rPr>
        <w:t xml:space="preserve">, kā arī </w:t>
      </w:r>
      <w:r w:rsidRPr="00496091">
        <w:rPr>
          <w:rFonts w:ascii="Times New Roman" w:eastAsia="Times New Roman" w:hAnsi="Times New Roman"/>
          <w:sz w:val="24"/>
          <w:szCs w:val="24"/>
          <w:lang w:val="lv-LV" w:eastAsia="en-GB"/>
        </w:rPr>
        <w:t>mājsaimniecīb</w:t>
      </w:r>
      <w:r>
        <w:rPr>
          <w:rFonts w:ascii="Times New Roman" w:eastAsia="Times New Roman" w:hAnsi="Times New Roman"/>
          <w:sz w:val="24"/>
          <w:szCs w:val="24"/>
          <w:lang w:val="lv-LV" w:eastAsia="en-GB"/>
        </w:rPr>
        <w:t xml:space="preserve">u un uzņēmumu abonentu skaits </w:t>
      </w:r>
      <w:r w:rsidR="003B03C8">
        <w:rPr>
          <w:rFonts w:ascii="Times New Roman" w:eastAsia="Times New Roman" w:hAnsi="Times New Roman"/>
          <w:sz w:val="24"/>
          <w:szCs w:val="24"/>
          <w:lang w:val="lv-LV" w:eastAsia="en-GB"/>
        </w:rPr>
        <w:t>VHCN</w:t>
      </w:r>
      <w:r>
        <w:rPr>
          <w:rFonts w:ascii="Times New Roman" w:eastAsia="Times New Roman" w:hAnsi="Times New Roman"/>
          <w:sz w:val="24"/>
          <w:szCs w:val="24"/>
          <w:lang w:val="lv-LV" w:eastAsia="en-GB"/>
        </w:rPr>
        <w:t xml:space="preserve"> (40%);</w:t>
      </w:r>
    </w:p>
    <w:bookmarkEnd w:id="3"/>
    <w:p w14:paraId="71AEA3F9" w14:textId="2D55601F" w:rsidR="00A3220C" w:rsidRDefault="00A3220C" w:rsidP="00A3220C">
      <w:pPr>
        <w:pStyle w:val="ListParagraph"/>
        <w:numPr>
          <w:ilvl w:val="0"/>
          <w:numId w:val="15"/>
        </w:numPr>
        <w:tabs>
          <w:tab w:val="left" w:leader="dot" w:pos="9072"/>
        </w:tabs>
        <w:spacing w:after="0" w:line="240" w:lineRule="auto"/>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ierīkošanas un abonēšanas cen</w:t>
      </w:r>
      <w:r w:rsidR="00822AAA">
        <w:rPr>
          <w:rFonts w:ascii="Times New Roman" w:eastAsia="Times New Roman" w:hAnsi="Times New Roman"/>
          <w:sz w:val="24"/>
          <w:szCs w:val="24"/>
          <w:lang w:val="lv-LV" w:eastAsia="en-GB"/>
        </w:rPr>
        <w:t>a</w:t>
      </w:r>
      <w:r>
        <w:rPr>
          <w:rFonts w:ascii="Times New Roman" w:eastAsia="Times New Roman" w:hAnsi="Times New Roman"/>
          <w:sz w:val="24"/>
          <w:szCs w:val="24"/>
          <w:lang w:val="lv-LV" w:eastAsia="en-GB"/>
        </w:rPr>
        <w:t xml:space="preserve"> galalietotājam (20%); </w:t>
      </w:r>
    </w:p>
    <w:p w14:paraId="187E0A33" w14:textId="4B834609" w:rsidR="00A3220C" w:rsidRDefault="00B61CB8" w:rsidP="00B61CB8">
      <w:pPr>
        <w:pStyle w:val="ListParagraph"/>
        <w:numPr>
          <w:ilvl w:val="0"/>
          <w:numId w:val="15"/>
        </w:numPr>
        <w:tabs>
          <w:tab w:val="left" w:leader="dot" w:pos="9072"/>
        </w:tabs>
        <w:spacing w:after="0" w:line="240" w:lineRule="auto"/>
        <w:jc w:val="both"/>
        <w:rPr>
          <w:rFonts w:ascii="Times New Roman" w:eastAsia="Times New Roman" w:hAnsi="Times New Roman"/>
          <w:sz w:val="24"/>
          <w:szCs w:val="24"/>
          <w:lang w:val="lv-LV" w:eastAsia="en-GB"/>
        </w:rPr>
      </w:pPr>
      <w:r w:rsidRPr="001452D9">
        <w:rPr>
          <w:rFonts w:ascii="Times New Roman" w:eastAsia="Times New Roman" w:hAnsi="Times New Roman"/>
          <w:sz w:val="24"/>
          <w:szCs w:val="24"/>
          <w:lang w:val="lv-LV" w:eastAsia="en-GB"/>
        </w:rPr>
        <w:t>piedāvātā risinājuma ietekme uz konkurenci (ietverot vairumtirdzniecības līmeņa</w:t>
      </w:r>
      <w:r>
        <w:rPr>
          <w:rFonts w:ascii="Times New Roman" w:eastAsia="Times New Roman" w:hAnsi="Times New Roman"/>
          <w:sz w:val="24"/>
          <w:szCs w:val="24"/>
          <w:lang w:val="lv-LV" w:eastAsia="en-GB"/>
        </w:rPr>
        <w:t xml:space="preserve"> </w:t>
      </w:r>
      <w:r w:rsidRPr="001452D9">
        <w:rPr>
          <w:rFonts w:ascii="Times New Roman" w:eastAsia="Times New Roman" w:hAnsi="Times New Roman"/>
          <w:sz w:val="24"/>
          <w:szCs w:val="24"/>
          <w:lang w:val="lv-LV" w:eastAsia="en-GB"/>
        </w:rPr>
        <w:t xml:space="preserve">piekļuves </w:t>
      </w:r>
      <w:r>
        <w:rPr>
          <w:rFonts w:ascii="Times New Roman" w:eastAsia="Times New Roman" w:hAnsi="Times New Roman"/>
          <w:sz w:val="24"/>
          <w:szCs w:val="24"/>
          <w:lang w:val="lv-LV" w:eastAsia="en-GB"/>
        </w:rPr>
        <w:t xml:space="preserve">nosacījumus un </w:t>
      </w:r>
      <w:r w:rsidR="00A3220C">
        <w:rPr>
          <w:rFonts w:ascii="Times New Roman" w:eastAsia="Times New Roman" w:hAnsi="Times New Roman"/>
          <w:sz w:val="24"/>
          <w:szCs w:val="24"/>
          <w:lang w:val="lv-LV" w:eastAsia="en-GB"/>
        </w:rPr>
        <w:t xml:space="preserve">piekļuves </w:t>
      </w:r>
      <w:r w:rsidRPr="001452D9">
        <w:rPr>
          <w:rFonts w:ascii="Times New Roman" w:eastAsia="Times New Roman" w:hAnsi="Times New Roman"/>
          <w:sz w:val="24"/>
          <w:szCs w:val="24"/>
          <w:lang w:val="lv-LV" w:eastAsia="en-GB"/>
        </w:rPr>
        <w:t>cenas</w:t>
      </w:r>
      <w:r>
        <w:rPr>
          <w:rFonts w:ascii="Times New Roman" w:eastAsia="Times New Roman" w:hAnsi="Times New Roman"/>
          <w:sz w:val="24"/>
          <w:szCs w:val="24"/>
          <w:lang w:val="lv-LV" w:eastAsia="en-GB"/>
        </w:rPr>
        <w:t xml:space="preserve"> </w:t>
      </w:r>
      <w:r w:rsidRPr="001452D9">
        <w:rPr>
          <w:rFonts w:ascii="Times New Roman" w:eastAsia="Times New Roman" w:hAnsi="Times New Roman"/>
          <w:sz w:val="24"/>
          <w:szCs w:val="24"/>
          <w:lang w:val="lv-LV" w:eastAsia="en-GB"/>
        </w:rPr>
        <w:t>noteikšanu</w:t>
      </w:r>
      <w:r>
        <w:rPr>
          <w:rFonts w:ascii="Times New Roman" w:eastAsia="Times New Roman" w:hAnsi="Times New Roman"/>
          <w:sz w:val="24"/>
          <w:szCs w:val="24"/>
          <w:lang w:val="lv-LV" w:eastAsia="en-GB"/>
        </w:rPr>
        <w:t>). V</w:t>
      </w:r>
      <w:r w:rsidRPr="007403B5">
        <w:rPr>
          <w:rFonts w:ascii="Times New Roman" w:eastAsia="Times New Roman" w:hAnsi="Times New Roman"/>
          <w:sz w:val="24"/>
          <w:szCs w:val="24"/>
          <w:lang w:val="lv-LV" w:eastAsia="en-GB"/>
        </w:rPr>
        <w:t>airāk punktu piešķir</w:t>
      </w:r>
      <w:r>
        <w:rPr>
          <w:rFonts w:ascii="Times New Roman" w:eastAsia="Times New Roman" w:hAnsi="Times New Roman"/>
          <w:sz w:val="24"/>
          <w:szCs w:val="24"/>
          <w:lang w:val="lv-LV" w:eastAsia="en-GB"/>
        </w:rPr>
        <w:t>s</w:t>
      </w:r>
      <w:r w:rsidRPr="007403B5">
        <w:rPr>
          <w:rFonts w:ascii="Times New Roman" w:eastAsia="Times New Roman" w:hAnsi="Times New Roman"/>
          <w:sz w:val="24"/>
          <w:szCs w:val="24"/>
          <w:lang w:val="lv-LV" w:eastAsia="en-GB"/>
        </w:rPr>
        <w:t xml:space="preserve"> tādai tīkla topoloģijai, kas nodrošina pilnīgas un faktiskas</w:t>
      </w:r>
      <w:r>
        <w:rPr>
          <w:rFonts w:ascii="Times New Roman" w:eastAsia="Times New Roman" w:hAnsi="Times New Roman"/>
          <w:sz w:val="24"/>
          <w:szCs w:val="24"/>
          <w:lang w:val="lv-LV" w:eastAsia="en-GB"/>
        </w:rPr>
        <w:t xml:space="preserve"> </w:t>
      </w:r>
      <w:proofErr w:type="spellStart"/>
      <w:r w:rsidRPr="007403B5">
        <w:rPr>
          <w:rFonts w:ascii="Times New Roman" w:eastAsia="Times New Roman" w:hAnsi="Times New Roman"/>
          <w:sz w:val="24"/>
          <w:szCs w:val="24"/>
          <w:lang w:val="lv-LV" w:eastAsia="en-GB"/>
        </w:rPr>
        <w:t>atsaistes</w:t>
      </w:r>
      <w:proofErr w:type="spellEnd"/>
      <w:r w:rsidRPr="007403B5">
        <w:rPr>
          <w:rFonts w:ascii="Times New Roman" w:eastAsia="Times New Roman" w:hAnsi="Times New Roman"/>
          <w:sz w:val="24"/>
          <w:szCs w:val="24"/>
          <w:lang w:val="lv-LV" w:eastAsia="en-GB"/>
        </w:rPr>
        <w:t xml:space="preserve"> iespējas</w:t>
      </w:r>
      <w:r>
        <w:rPr>
          <w:rFonts w:ascii="Times New Roman" w:eastAsia="Times New Roman" w:hAnsi="Times New Roman"/>
          <w:sz w:val="24"/>
          <w:szCs w:val="24"/>
          <w:lang w:val="lv-LV" w:eastAsia="en-GB"/>
        </w:rPr>
        <w:t xml:space="preserve"> un kurai ir labvēlīgāki piekļuves nosacījumi</w:t>
      </w:r>
      <w:r w:rsidRPr="007403B5">
        <w:rPr>
          <w:rFonts w:ascii="Times New Roman" w:eastAsia="Times New Roman" w:hAnsi="Times New Roman"/>
          <w:sz w:val="24"/>
          <w:szCs w:val="24"/>
          <w:lang w:val="lv-LV" w:eastAsia="en-GB"/>
        </w:rPr>
        <w:t xml:space="preserve"> (</w:t>
      </w:r>
      <w:r w:rsidR="00A3220C">
        <w:rPr>
          <w:rFonts w:ascii="Times New Roman" w:eastAsia="Times New Roman" w:hAnsi="Times New Roman"/>
          <w:sz w:val="24"/>
          <w:szCs w:val="24"/>
          <w:lang w:val="lv-LV" w:eastAsia="en-GB"/>
        </w:rPr>
        <w:t>1</w:t>
      </w:r>
      <w:r w:rsidR="00433737">
        <w:rPr>
          <w:rFonts w:ascii="Times New Roman" w:eastAsia="Times New Roman" w:hAnsi="Times New Roman"/>
          <w:sz w:val="24"/>
          <w:szCs w:val="24"/>
          <w:lang w:val="lv-LV" w:eastAsia="en-GB"/>
        </w:rPr>
        <w:t>0</w:t>
      </w:r>
      <w:r w:rsidRPr="007403B5">
        <w:rPr>
          <w:rFonts w:ascii="Times New Roman" w:eastAsia="Times New Roman" w:hAnsi="Times New Roman"/>
          <w:sz w:val="24"/>
          <w:szCs w:val="24"/>
          <w:lang w:val="lv-LV" w:eastAsia="en-GB"/>
        </w:rPr>
        <w:t xml:space="preserve">%); </w:t>
      </w:r>
    </w:p>
    <w:p w14:paraId="4CC36A99" w14:textId="320C3455" w:rsidR="0084349F" w:rsidRDefault="001452D9" w:rsidP="0084349F">
      <w:pPr>
        <w:pStyle w:val="ListParagraph"/>
        <w:numPr>
          <w:ilvl w:val="0"/>
          <w:numId w:val="15"/>
        </w:numPr>
        <w:tabs>
          <w:tab w:val="left" w:leader="dot" w:pos="9072"/>
        </w:tabs>
        <w:spacing w:after="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en-GB"/>
        </w:rPr>
        <w:t xml:space="preserve">tīkla </w:t>
      </w:r>
      <w:r w:rsidRPr="009B1719">
        <w:rPr>
          <w:rFonts w:ascii="Times New Roman" w:eastAsia="Times New Roman" w:hAnsi="Times New Roman"/>
          <w:sz w:val="24"/>
          <w:szCs w:val="24"/>
          <w:lang w:val="lv-LV" w:eastAsia="en-GB"/>
        </w:rPr>
        <w:t xml:space="preserve">veiktspēja, t.sk. </w:t>
      </w:r>
      <w:r w:rsidR="00C904CE" w:rsidRPr="009B1719">
        <w:rPr>
          <w:rFonts w:ascii="Times New Roman" w:eastAsia="Times New Roman" w:hAnsi="Times New Roman"/>
          <w:sz w:val="24"/>
          <w:szCs w:val="24"/>
          <w:lang w:val="lv-LV" w:eastAsia="en-GB"/>
        </w:rPr>
        <w:t xml:space="preserve">attiecībā uz </w:t>
      </w:r>
      <w:r w:rsidR="0084349F" w:rsidRPr="009B1719">
        <w:rPr>
          <w:rFonts w:ascii="Times New Roman" w:eastAsia="Times New Roman" w:hAnsi="Times New Roman"/>
          <w:sz w:val="24"/>
          <w:szCs w:val="24"/>
          <w:lang w:val="lv-LV" w:eastAsia="en-GB"/>
        </w:rPr>
        <w:t>lejupielādes un augšupielādes interneta ātrumu</w:t>
      </w:r>
      <w:r w:rsidR="00C904CE" w:rsidRPr="009B1719">
        <w:rPr>
          <w:rFonts w:ascii="Times New Roman" w:eastAsia="Times New Roman" w:hAnsi="Times New Roman"/>
          <w:sz w:val="24"/>
          <w:szCs w:val="24"/>
          <w:lang w:val="lv-LV" w:eastAsia="en-GB"/>
        </w:rPr>
        <w:t xml:space="preserve"> (</w:t>
      </w:r>
      <w:r w:rsidR="00821240">
        <w:rPr>
          <w:rFonts w:ascii="Times New Roman" w:eastAsia="Times New Roman" w:hAnsi="Times New Roman"/>
          <w:sz w:val="24"/>
          <w:szCs w:val="24"/>
          <w:lang w:val="lv-LV" w:eastAsia="en-GB"/>
        </w:rPr>
        <w:t>10</w:t>
      </w:r>
      <w:r w:rsidR="00C904CE" w:rsidRPr="009B1719">
        <w:rPr>
          <w:rFonts w:ascii="Times New Roman" w:eastAsia="Times New Roman" w:hAnsi="Times New Roman"/>
          <w:sz w:val="24"/>
          <w:szCs w:val="24"/>
          <w:lang w:val="lv-LV" w:eastAsia="en-GB"/>
        </w:rPr>
        <w:t>%)</w:t>
      </w:r>
      <w:r w:rsidR="00A9034E" w:rsidRPr="009B1719">
        <w:rPr>
          <w:rFonts w:ascii="Times New Roman" w:eastAsia="Times New Roman" w:hAnsi="Times New Roman"/>
          <w:sz w:val="24"/>
          <w:szCs w:val="24"/>
          <w:lang w:val="lv-LV" w:eastAsia="en-GB"/>
        </w:rPr>
        <w:t>;</w:t>
      </w:r>
      <w:r w:rsidR="007820F3" w:rsidRPr="009B1719">
        <w:rPr>
          <w:rFonts w:ascii="Times New Roman" w:eastAsia="Times New Roman" w:hAnsi="Times New Roman"/>
          <w:sz w:val="24"/>
          <w:szCs w:val="24"/>
          <w:lang w:val="lv-LV" w:eastAsia="en-GB"/>
        </w:rPr>
        <w:t xml:space="preserve"> </w:t>
      </w:r>
    </w:p>
    <w:p w14:paraId="1883D3E2" w14:textId="448B31EE" w:rsidR="001F5D21" w:rsidRPr="009B1719" w:rsidRDefault="001F5D21" w:rsidP="0084349F">
      <w:pPr>
        <w:pStyle w:val="ListParagraph"/>
        <w:numPr>
          <w:ilvl w:val="0"/>
          <w:numId w:val="15"/>
        </w:numPr>
        <w:tabs>
          <w:tab w:val="left" w:leader="dot" w:pos="9072"/>
        </w:tabs>
        <w:spacing w:after="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lastRenderedPageBreak/>
        <w:t>ņ</w:t>
      </w:r>
      <w:r w:rsidRPr="001F5D21">
        <w:rPr>
          <w:rFonts w:ascii="Times New Roman" w:eastAsia="Times New Roman" w:hAnsi="Times New Roman"/>
          <w:sz w:val="24"/>
          <w:szCs w:val="24"/>
          <w:lang w:val="lv-LV" w:eastAsia="lv-LV" w:bidi="lv-LV"/>
        </w:rPr>
        <w:t>emot vērā plānošanas reģiona priekšlikumus, identificēti</w:t>
      </w:r>
      <w:r>
        <w:rPr>
          <w:rFonts w:ascii="Times New Roman" w:eastAsia="Times New Roman" w:hAnsi="Times New Roman"/>
          <w:sz w:val="24"/>
          <w:szCs w:val="24"/>
          <w:lang w:val="lv-LV" w:eastAsia="lv-LV" w:bidi="lv-LV"/>
        </w:rPr>
        <w:t>e</w:t>
      </w:r>
      <w:r w:rsidRPr="001F5D21">
        <w:rPr>
          <w:rFonts w:ascii="Times New Roman" w:eastAsia="Times New Roman" w:hAnsi="Times New Roman"/>
          <w:sz w:val="24"/>
          <w:szCs w:val="24"/>
          <w:lang w:val="lv-LV" w:eastAsia="lv-LV" w:bidi="lv-LV"/>
        </w:rPr>
        <w:t xml:space="preserve"> </w:t>
      </w:r>
      <w:r w:rsidR="00E639A5">
        <w:rPr>
          <w:rFonts w:ascii="Times New Roman" w:eastAsia="Times New Roman" w:hAnsi="Times New Roman"/>
          <w:sz w:val="24"/>
          <w:szCs w:val="24"/>
          <w:lang w:val="lv-LV" w:eastAsia="lv-LV" w:bidi="lv-LV"/>
        </w:rPr>
        <w:t xml:space="preserve">prioritārie </w:t>
      </w:r>
      <w:r w:rsidRPr="001F5D21">
        <w:rPr>
          <w:rFonts w:ascii="Times New Roman" w:eastAsia="Times New Roman" w:hAnsi="Times New Roman"/>
          <w:sz w:val="24"/>
          <w:szCs w:val="24"/>
          <w:lang w:val="lv-LV" w:eastAsia="lv-LV" w:bidi="lv-LV"/>
        </w:rPr>
        <w:t>objekti, kuros ir nepieciešams VHCN</w:t>
      </w:r>
      <w:r w:rsidR="00821240">
        <w:rPr>
          <w:rFonts w:ascii="Times New Roman" w:eastAsia="Times New Roman" w:hAnsi="Times New Roman"/>
          <w:sz w:val="24"/>
          <w:szCs w:val="24"/>
          <w:lang w:val="lv-LV" w:eastAsia="lv-LV" w:bidi="lv-LV"/>
        </w:rPr>
        <w:t xml:space="preserve"> </w:t>
      </w:r>
      <w:r w:rsidR="00EA7986">
        <w:rPr>
          <w:rFonts w:ascii="Times New Roman" w:eastAsia="Times New Roman" w:hAnsi="Times New Roman"/>
          <w:sz w:val="24"/>
          <w:szCs w:val="24"/>
          <w:lang w:val="lv-LV" w:eastAsia="lv-LV" w:bidi="lv-LV"/>
        </w:rPr>
        <w:t>(nav noteikti kā obligāti ierīkojamie, bet vēlam</w:t>
      </w:r>
      <w:r w:rsidR="006307E4">
        <w:rPr>
          <w:rFonts w:ascii="Times New Roman" w:eastAsia="Times New Roman" w:hAnsi="Times New Roman"/>
          <w:sz w:val="24"/>
          <w:szCs w:val="24"/>
          <w:lang w:val="lv-LV" w:eastAsia="lv-LV" w:bidi="lv-LV"/>
        </w:rPr>
        <w:t xml:space="preserve">ie) </w:t>
      </w:r>
      <w:r w:rsidR="00821240">
        <w:rPr>
          <w:rFonts w:ascii="Times New Roman" w:eastAsia="Times New Roman" w:hAnsi="Times New Roman"/>
          <w:sz w:val="24"/>
          <w:szCs w:val="24"/>
          <w:lang w:val="lv-LV" w:eastAsia="lv-LV" w:bidi="lv-LV"/>
        </w:rPr>
        <w:t>(10%)</w:t>
      </w:r>
      <w:r w:rsidR="00E639A5">
        <w:rPr>
          <w:rFonts w:ascii="Times New Roman" w:eastAsia="Times New Roman" w:hAnsi="Times New Roman"/>
          <w:sz w:val="24"/>
          <w:szCs w:val="24"/>
          <w:lang w:val="lv-LV" w:eastAsia="lv-LV" w:bidi="lv-LV"/>
        </w:rPr>
        <w:t>.</w:t>
      </w:r>
    </w:p>
    <w:p w14:paraId="0267A04A" w14:textId="650EA8A6" w:rsidR="003C56A0" w:rsidRPr="009B1719" w:rsidRDefault="003C56A0" w:rsidP="0084349F">
      <w:pPr>
        <w:pStyle w:val="ListParagraph"/>
        <w:numPr>
          <w:ilvl w:val="0"/>
          <w:numId w:val="15"/>
        </w:numPr>
        <w:tabs>
          <w:tab w:val="left" w:leader="dot" w:pos="9072"/>
        </w:tabs>
        <w:spacing w:after="0" w:line="240" w:lineRule="auto"/>
        <w:jc w:val="both"/>
        <w:rPr>
          <w:rFonts w:ascii="Times New Roman" w:eastAsia="Times New Roman" w:hAnsi="Times New Roman"/>
          <w:sz w:val="24"/>
          <w:szCs w:val="24"/>
          <w:lang w:val="lv-LV" w:eastAsia="lv-LV" w:bidi="lv-LV"/>
        </w:rPr>
      </w:pPr>
      <w:r w:rsidRPr="009B1719">
        <w:rPr>
          <w:rFonts w:ascii="Times New Roman" w:eastAsia="Times New Roman" w:hAnsi="Times New Roman"/>
          <w:sz w:val="24"/>
          <w:szCs w:val="24"/>
          <w:lang w:val="lv-LV" w:eastAsia="en-GB"/>
        </w:rPr>
        <w:t xml:space="preserve">klientu apkalpošanas </w:t>
      </w:r>
      <w:r w:rsidR="00433737" w:rsidRPr="009B1719">
        <w:rPr>
          <w:rFonts w:ascii="Times New Roman" w:eastAsia="Times New Roman" w:hAnsi="Times New Roman"/>
          <w:sz w:val="24"/>
          <w:szCs w:val="24"/>
          <w:lang w:val="lv-LV" w:eastAsia="en-GB"/>
        </w:rPr>
        <w:t xml:space="preserve">un pakalpojumu sniegšanas </w:t>
      </w:r>
      <w:r w:rsidRPr="009B1719">
        <w:rPr>
          <w:rFonts w:ascii="Times New Roman" w:eastAsia="Times New Roman" w:hAnsi="Times New Roman"/>
          <w:sz w:val="24"/>
          <w:szCs w:val="24"/>
          <w:lang w:val="lv-LV" w:eastAsia="en-GB"/>
        </w:rPr>
        <w:t xml:space="preserve">līmenis, </w:t>
      </w:r>
      <w:r w:rsidR="00433737" w:rsidRPr="009B1719">
        <w:rPr>
          <w:rFonts w:ascii="Times New Roman" w:eastAsia="Times New Roman" w:hAnsi="Times New Roman"/>
          <w:sz w:val="24"/>
          <w:szCs w:val="24"/>
          <w:lang w:val="lv-LV" w:eastAsia="en-GB"/>
        </w:rPr>
        <w:t>piemēram, termiņš attiecībā</w:t>
      </w:r>
      <w:r w:rsidRPr="009B1719">
        <w:rPr>
          <w:rFonts w:ascii="Times New Roman" w:eastAsia="Times New Roman" w:hAnsi="Times New Roman"/>
          <w:sz w:val="24"/>
          <w:szCs w:val="24"/>
          <w:lang w:val="lv-LV" w:eastAsia="en-GB"/>
        </w:rPr>
        <w:t xml:space="preserve"> uz bojājumu novēršanu</w:t>
      </w:r>
      <w:r w:rsidR="00433737" w:rsidRPr="009B1719">
        <w:rPr>
          <w:rFonts w:ascii="Times New Roman" w:eastAsia="Times New Roman" w:hAnsi="Times New Roman"/>
          <w:sz w:val="24"/>
          <w:szCs w:val="24"/>
          <w:lang w:val="lv-LV" w:eastAsia="en-GB"/>
        </w:rPr>
        <w:t xml:space="preserve"> (</w:t>
      </w:r>
      <w:r w:rsidR="00DB07BE">
        <w:rPr>
          <w:rFonts w:ascii="Times New Roman" w:eastAsia="Times New Roman" w:hAnsi="Times New Roman"/>
          <w:sz w:val="24"/>
          <w:szCs w:val="24"/>
          <w:lang w:val="lv-LV" w:eastAsia="en-GB"/>
        </w:rPr>
        <w:t>5</w:t>
      </w:r>
      <w:r w:rsidR="00433737" w:rsidRPr="009B1719">
        <w:rPr>
          <w:rFonts w:ascii="Times New Roman" w:eastAsia="Times New Roman" w:hAnsi="Times New Roman"/>
          <w:sz w:val="24"/>
          <w:szCs w:val="24"/>
          <w:lang w:val="lv-LV" w:eastAsia="en-GB"/>
        </w:rPr>
        <w:t>%)</w:t>
      </w:r>
      <w:r w:rsidRPr="009B1719">
        <w:rPr>
          <w:rFonts w:ascii="Times New Roman" w:eastAsia="Times New Roman" w:hAnsi="Times New Roman"/>
          <w:sz w:val="24"/>
          <w:szCs w:val="24"/>
          <w:lang w:val="lv-LV" w:eastAsia="en-GB"/>
        </w:rPr>
        <w:t>;</w:t>
      </w:r>
    </w:p>
    <w:p w14:paraId="4187D391" w14:textId="7E68C596" w:rsidR="00C904CE" w:rsidRPr="009B1719" w:rsidRDefault="006A13ED" w:rsidP="00B61CB8">
      <w:pPr>
        <w:pStyle w:val="ListParagraph"/>
        <w:numPr>
          <w:ilvl w:val="0"/>
          <w:numId w:val="15"/>
        </w:numPr>
        <w:tabs>
          <w:tab w:val="left" w:leader="dot" w:pos="9072"/>
        </w:tabs>
        <w:spacing w:after="0" w:line="240" w:lineRule="auto"/>
        <w:jc w:val="both"/>
        <w:rPr>
          <w:rFonts w:ascii="Times New Roman" w:eastAsia="Times New Roman" w:hAnsi="Times New Roman"/>
          <w:sz w:val="24"/>
          <w:szCs w:val="24"/>
          <w:lang w:val="lv-LV" w:eastAsia="lv-LV" w:bidi="lv-LV"/>
        </w:rPr>
      </w:pPr>
      <w:r w:rsidRPr="009B1719">
        <w:rPr>
          <w:rFonts w:ascii="Times New Roman" w:hAnsi="Times New Roman"/>
          <w:sz w:val="24"/>
          <w:szCs w:val="24"/>
          <w:lang w:val="lv-LV"/>
        </w:rPr>
        <w:t>valsts atbalsta programmas Nr.SA.33324 (2011/N) „Nākamās paaudzes tīkli lauku teritorijās” ietvaros izbūvētās infrastruktūras izmantošana (</w:t>
      </w:r>
      <w:r w:rsidR="00DB07BE">
        <w:rPr>
          <w:rFonts w:ascii="Times New Roman" w:hAnsi="Times New Roman"/>
          <w:sz w:val="24"/>
          <w:szCs w:val="24"/>
          <w:lang w:val="lv-LV"/>
        </w:rPr>
        <w:t>5</w:t>
      </w:r>
      <w:r w:rsidRPr="009B1719">
        <w:rPr>
          <w:rFonts w:ascii="Times New Roman" w:hAnsi="Times New Roman"/>
          <w:sz w:val="24"/>
          <w:szCs w:val="24"/>
          <w:lang w:val="lv-LV"/>
        </w:rPr>
        <w:t>%)</w:t>
      </w:r>
      <w:r w:rsidR="00B61CB8" w:rsidRPr="009B1719">
        <w:rPr>
          <w:rFonts w:ascii="Times New Roman" w:hAnsi="Times New Roman"/>
          <w:sz w:val="24"/>
          <w:szCs w:val="24"/>
          <w:lang w:val="lv-LV"/>
        </w:rPr>
        <w:t>.</w:t>
      </w:r>
    </w:p>
    <w:p w14:paraId="4C457E7F" w14:textId="12B2EA0A" w:rsidR="00C40620" w:rsidRDefault="009E7475" w:rsidP="00C904CE">
      <w:pPr>
        <w:tabs>
          <w:tab w:val="left" w:leader="dot" w:pos="9072"/>
        </w:tabs>
        <w:spacing w:after="0" w:line="240" w:lineRule="auto"/>
        <w:ind w:left="709"/>
        <w:jc w:val="both"/>
        <w:rPr>
          <w:rFonts w:ascii="Times New Roman" w:eastAsia="Times New Roman" w:hAnsi="Times New Roman"/>
          <w:sz w:val="24"/>
          <w:szCs w:val="24"/>
          <w:lang w:val="lv-LV" w:eastAsia="en-GB"/>
        </w:rPr>
      </w:pPr>
      <w:r w:rsidRPr="00C904CE">
        <w:rPr>
          <w:rFonts w:ascii="Times New Roman" w:eastAsia="Times New Roman" w:hAnsi="Times New Roman"/>
          <w:sz w:val="24"/>
          <w:szCs w:val="24"/>
          <w:lang w:val="lv-LV" w:eastAsia="en-GB"/>
        </w:rPr>
        <w:t>tādejādi nodrošinot gan tehnoloģiskās pieejas ilgtspēju, gan konkurētspējīgāko cenu.</w:t>
      </w:r>
    </w:p>
    <w:p w14:paraId="74C94CDC" w14:textId="46A230DA" w:rsidR="00C904CE" w:rsidRPr="00C904CE" w:rsidRDefault="00C904CE" w:rsidP="00C904CE">
      <w:pPr>
        <w:tabs>
          <w:tab w:val="left" w:leader="dot" w:pos="9072"/>
        </w:tabs>
        <w:spacing w:after="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en-GB"/>
        </w:rPr>
        <w:t xml:space="preserve">Minētie atbalsta piešķiršanas kritēriji ir indikatīvi un tajos var tikt veiktas izmaiņas, ņemot vērā </w:t>
      </w:r>
      <w:r w:rsidR="002167F3">
        <w:rPr>
          <w:rFonts w:ascii="Times New Roman" w:eastAsia="Times New Roman" w:hAnsi="Times New Roman"/>
          <w:sz w:val="24"/>
          <w:szCs w:val="24"/>
          <w:lang w:val="lv-LV" w:eastAsia="en-GB"/>
        </w:rPr>
        <w:t>sabiedriskās apspriešanas laikā</w:t>
      </w:r>
      <w:r w:rsidR="00455C17">
        <w:rPr>
          <w:rFonts w:ascii="Times New Roman" w:eastAsia="Times New Roman" w:hAnsi="Times New Roman"/>
          <w:sz w:val="24"/>
          <w:szCs w:val="24"/>
          <w:lang w:val="lv-LV" w:eastAsia="en-GB"/>
        </w:rPr>
        <w:t xml:space="preserve"> izteikto viedokli</w:t>
      </w:r>
      <w:r>
        <w:rPr>
          <w:rFonts w:ascii="Times New Roman" w:eastAsia="Times New Roman" w:hAnsi="Times New Roman"/>
          <w:sz w:val="24"/>
          <w:szCs w:val="24"/>
          <w:lang w:val="lv-LV" w:eastAsia="en-GB"/>
        </w:rPr>
        <w:t xml:space="preserve">, </w:t>
      </w:r>
      <w:r w:rsidR="006D1D30">
        <w:rPr>
          <w:rFonts w:ascii="Times New Roman" w:eastAsia="Times New Roman" w:hAnsi="Times New Roman"/>
          <w:sz w:val="24"/>
          <w:szCs w:val="24"/>
          <w:lang w:val="lv-LV" w:eastAsia="en-GB"/>
        </w:rPr>
        <w:t xml:space="preserve">pašvaldību viedokli un faktiskos rezultātus (piemēram, ja konkurss tiek izbeigts bez rezultāta vai konkursā piedalās tikai viens pretendents u.c.). </w:t>
      </w:r>
    </w:p>
    <w:p w14:paraId="2112BD8F" w14:textId="77777777" w:rsidR="00C40620" w:rsidRPr="00C40620" w:rsidRDefault="00C40620" w:rsidP="00D56409">
      <w:pPr>
        <w:keepNext/>
        <w:numPr>
          <w:ilvl w:val="1"/>
          <w:numId w:val="3"/>
        </w:numPr>
        <w:tabs>
          <w:tab w:val="left" w:pos="3119"/>
        </w:tabs>
        <w:spacing w:before="120" w:after="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Vai pastāv kādas minimālās servisa prasības, kurām subsidētajam tīklam ir jāatbilst (tādas kā minimālais joslas platums, pakalpojumu nepārtrauktība, minimālais ģeogrāfiskais pārklājums utt.)? </w:t>
      </w:r>
    </w:p>
    <w:p w14:paraId="66FECE3F" w14:textId="77777777" w:rsidR="00C40620" w:rsidRPr="00C40620" w:rsidRDefault="009F0DF7"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sidR="00C40620" w:rsidRPr="00C40620">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Nē</w:t>
      </w:r>
    </w:p>
    <w:p w14:paraId="583B22AC"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Ja “jā”, lūdzu, raksturojiet tās:</w:t>
      </w:r>
    </w:p>
    <w:p w14:paraId="6FAE0DE1" w14:textId="26FC53D4" w:rsidR="00F7048E" w:rsidRPr="000B0BE0" w:rsidRDefault="000B0BE0"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S</w:t>
      </w:r>
      <w:r w:rsidR="00F7048E" w:rsidRPr="000B0BE0">
        <w:rPr>
          <w:rFonts w:ascii="Times New Roman" w:eastAsia="Times New Roman" w:hAnsi="Times New Roman"/>
          <w:sz w:val="24"/>
          <w:szCs w:val="24"/>
          <w:lang w:val="lv-LV" w:eastAsia="en-GB"/>
        </w:rPr>
        <w:t>ubsidētā tīkla nepieciešamie pamatnosacījumi</w:t>
      </w:r>
      <w:r>
        <w:rPr>
          <w:rFonts w:ascii="Times New Roman" w:eastAsia="Times New Roman" w:hAnsi="Times New Roman"/>
          <w:sz w:val="24"/>
          <w:szCs w:val="24"/>
          <w:lang w:val="lv-LV" w:eastAsia="en-GB"/>
        </w:rPr>
        <w:t xml:space="preserve"> tehniskajām prasībām</w:t>
      </w:r>
      <w:r w:rsidR="00F7048E" w:rsidRPr="000B0BE0">
        <w:rPr>
          <w:rFonts w:ascii="Times New Roman" w:eastAsia="Times New Roman" w:hAnsi="Times New Roman"/>
          <w:sz w:val="24"/>
          <w:szCs w:val="24"/>
          <w:lang w:val="lv-LV" w:eastAsia="en-GB"/>
        </w:rPr>
        <w:t>:</w:t>
      </w:r>
    </w:p>
    <w:p w14:paraId="03575213" w14:textId="77777777" w:rsidR="00F7048E" w:rsidRPr="000B0BE0" w:rsidRDefault="00F7048E"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0B0BE0">
        <w:rPr>
          <w:rFonts w:ascii="Times New Roman" w:eastAsia="Times New Roman" w:hAnsi="Times New Roman"/>
          <w:sz w:val="24"/>
          <w:szCs w:val="24"/>
          <w:lang w:val="lv-LV" w:eastAsia="en-GB"/>
        </w:rPr>
        <w:t>• Ilgtspējība (</w:t>
      </w:r>
      <w:proofErr w:type="spellStart"/>
      <w:r w:rsidRPr="000B0BE0">
        <w:rPr>
          <w:rFonts w:ascii="Times New Roman" w:eastAsia="Times New Roman" w:hAnsi="Times New Roman"/>
          <w:sz w:val="24"/>
          <w:szCs w:val="24"/>
          <w:lang w:val="lv-LV" w:eastAsia="en-GB"/>
        </w:rPr>
        <w:t>ang</w:t>
      </w:r>
      <w:proofErr w:type="spellEnd"/>
      <w:r w:rsidRPr="000B0BE0">
        <w:rPr>
          <w:rFonts w:ascii="Times New Roman" w:eastAsia="Times New Roman" w:hAnsi="Times New Roman"/>
          <w:sz w:val="24"/>
          <w:szCs w:val="24"/>
          <w:lang w:val="lv-LV" w:eastAsia="en-GB"/>
        </w:rPr>
        <w:t xml:space="preserve">. </w:t>
      </w:r>
      <w:proofErr w:type="spellStart"/>
      <w:r w:rsidRPr="000B0BE0">
        <w:rPr>
          <w:rFonts w:ascii="Times New Roman" w:eastAsia="Times New Roman" w:hAnsi="Times New Roman"/>
          <w:sz w:val="24"/>
          <w:szCs w:val="24"/>
          <w:lang w:val="lv-LV" w:eastAsia="en-GB"/>
        </w:rPr>
        <w:t>sustainability</w:t>
      </w:r>
      <w:proofErr w:type="spellEnd"/>
      <w:r w:rsidRPr="000B0BE0">
        <w:rPr>
          <w:rFonts w:ascii="Times New Roman" w:eastAsia="Times New Roman" w:hAnsi="Times New Roman"/>
          <w:sz w:val="24"/>
          <w:szCs w:val="24"/>
          <w:lang w:val="lv-LV" w:eastAsia="en-GB"/>
        </w:rPr>
        <w:t xml:space="preserve">, </w:t>
      </w:r>
      <w:proofErr w:type="spellStart"/>
      <w:r w:rsidRPr="000B0BE0">
        <w:rPr>
          <w:rFonts w:ascii="Times New Roman" w:eastAsia="Times New Roman" w:hAnsi="Times New Roman"/>
          <w:sz w:val="24"/>
          <w:szCs w:val="24"/>
          <w:lang w:val="lv-LV" w:eastAsia="en-GB"/>
        </w:rPr>
        <w:t>future</w:t>
      </w:r>
      <w:proofErr w:type="spellEnd"/>
      <w:r w:rsidRPr="000B0BE0">
        <w:rPr>
          <w:rFonts w:ascii="Times New Roman" w:eastAsia="Times New Roman" w:hAnsi="Times New Roman"/>
          <w:sz w:val="24"/>
          <w:szCs w:val="24"/>
          <w:lang w:val="lv-LV" w:eastAsia="en-GB"/>
        </w:rPr>
        <w:t xml:space="preserve"> </w:t>
      </w:r>
      <w:proofErr w:type="spellStart"/>
      <w:r w:rsidRPr="000B0BE0">
        <w:rPr>
          <w:rFonts w:ascii="Times New Roman" w:eastAsia="Times New Roman" w:hAnsi="Times New Roman"/>
          <w:sz w:val="24"/>
          <w:szCs w:val="24"/>
          <w:lang w:val="lv-LV" w:eastAsia="en-GB"/>
        </w:rPr>
        <w:t>proof</w:t>
      </w:r>
      <w:proofErr w:type="spellEnd"/>
      <w:r w:rsidRPr="000B0BE0">
        <w:rPr>
          <w:rFonts w:ascii="Times New Roman" w:eastAsia="Times New Roman" w:hAnsi="Times New Roman"/>
          <w:sz w:val="24"/>
          <w:szCs w:val="24"/>
          <w:lang w:val="lv-LV" w:eastAsia="en-GB"/>
        </w:rPr>
        <w:t>) – iespēja operatīvi papildināt infrastruktūras kapacitāti, neveicot ievērojamus ieguldījumus, lai nodrošinātu nākotnes tehnoloģiju attīstības prasības;</w:t>
      </w:r>
    </w:p>
    <w:p w14:paraId="47F45494" w14:textId="531A68B0" w:rsidR="00F7048E" w:rsidRDefault="00F7048E"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0B0BE0">
        <w:rPr>
          <w:rFonts w:ascii="Times New Roman" w:eastAsia="Times New Roman" w:hAnsi="Times New Roman"/>
          <w:sz w:val="24"/>
          <w:szCs w:val="24"/>
          <w:lang w:val="lv-LV" w:eastAsia="en-GB"/>
        </w:rPr>
        <w:t xml:space="preserve">• </w:t>
      </w:r>
      <w:proofErr w:type="spellStart"/>
      <w:r w:rsidRPr="000B0BE0">
        <w:rPr>
          <w:rFonts w:ascii="Times New Roman" w:eastAsia="Times New Roman" w:hAnsi="Times New Roman"/>
          <w:sz w:val="24"/>
          <w:szCs w:val="24"/>
          <w:lang w:val="lv-LV" w:eastAsia="en-GB"/>
        </w:rPr>
        <w:t>Koplietojamība</w:t>
      </w:r>
      <w:proofErr w:type="spellEnd"/>
      <w:r w:rsidRPr="000B0BE0">
        <w:rPr>
          <w:rFonts w:ascii="Times New Roman" w:eastAsia="Times New Roman" w:hAnsi="Times New Roman"/>
          <w:sz w:val="24"/>
          <w:szCs w:val="24"/>
          <w:lang w:val="lv-LV" w:eastAsia="en-GB"/>
        </w:rPr>
        <w:t xml:space="preserve"> – izveidotā infrastruktūra ir koplietojama. Tiks nodrošināta piekļuve atbilstoši komercdarbības atbalsta nosacījumiem visiem elektronisko sakaru komersantiem uz vienādiem nosacījumiem</w:t>
      </w:r>
      <w:r w:rsidR="000B0BE0" w:rsidRPr="000B0BE0">
        <w:rPr>
          <w:rFonts w:ascii="Times New Roman" w:eastAsia="Times New Roman" w:hAnsi="Times New Roman"/>
          <w:sz w:val="24"/>
          <w:szCs w:val="24"/>
          <w:lang w:val="lv-LV" w:eastAsia="en-GB"/>
        </w:rPr>
        <w:t>.</w:t>
      </w:r>
    </w:p>
    <w:p w14:paraId="372EF7E3" w14:textId="38371070" w:rsidR="00567514" w:rsidRDefault="00567514"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0B0BE0">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 xml:space="preserve"> Prasība minimālajam augšupielādes un lejupielādes ātrumam vismaz 100 Mbit/s;</w:t>
      </w:r>
    </w:p>
    <w:p w14:paraId="6B31D820" w14:textId="732C3D2E" w:rsidR="00567514" w:rsidRPr="000B0BE0" w:rsidRDefault="00567514"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0B0BE0">
        <w:rPr>
          <w:rFonts w:ascii="Times New Roman" w:eastAsia="Times New Roman" w:hAnsi="Times New Roman"/>
          <w:sz w:val="24"/>
          <w:szCs w:val="24"/>
          <w:lang w:val="lv-LV" w:eastAsia="en-GB"/>
        </w:rPr>
        <w:t>•</w:t>
      </w:r>
      <w:r>
        <w:rPr>
          <w:rFonts w:ascii="Times New Roman" w:eastAsia="Times New Roman" w:hAnsi="Times New Roman"/>
          <w:sz w:val="24"/>
          <w:szCs w:val="24"/>
          <w:lang w:val="lv-LV" w:eastAsia="en-GB"/>
        </w:rPr>
        <w:t xml:space="preserve"> P</w:t>
      </w:r>
      <w:r w:rsidRPr="00567514">
        <w:rPr>
          <w:rFonts w:ascii="Times New Roman" w:eastAsia="Times New Roman" w:hAnsi="Times New Roman"/>
          <w:sz w:val="24"/>
          <w:szCs w:val="24"/>
          <w:lang w:val="lv-LV" w:eastAsia="en-GB"/>
        </w:rPr>
        <w:t xml:space="preserve">rasības minimālajam mājsaimniecību un uzņēmumu skaitam ar piekļuvi  </w:t>
      </w:r>
      <w:r w:rsidR="003B03C8">
        <w:rPr>
          <w:rFonts w:ascii="Times New Roman" w:eastAsia="Times New Roman" w:hAnsi="Times New Roman"/>
          <w:sz w:val="24"/>
          <w:szCs w:val="24"/>
          <w:lang w:val="lv-LV" w:eastAsia="en-GB"/>
        </w:rPr>
        <w:t>VHCN</w:t>
      </w:r>
      <w:r w:rsidRPr="00567514">
        <w:rPr>
          <w:rFonts w:ascii="Times New Roman" w:eastAsia="Times New Roman" w:hAnsi="Times New Roman"/>
          <w:sz w:val="24"/>
          <w:szCs w:val="24"/>
          <w:lang w:val="lv-LV" w:eastAsia="en-GB"/>
        </w:rPr>
        <w:t xml:space="preserve">, kā arī mājsaimniecību un uzņēmumu abonentu skaitam </w:t>
      </w:r>
      <w:r w:rsidR="003B03C8">
        <w:rPr>
          <w:rFonts w:ascii="Times New Roman" w:eastAsia="Times New Roman" w:hAnsi="Times New Roman"/>
          <w:sz w:val="24"/>
          <w:szCs w:val="24"/>
          <w:lang w:val="lv-LV" w:eastAsia="en-GB"/>
        </w:rPr>
        <w:t>VHCN</w:t>
      </w:r>
      <w:r w:rsidRPr="00567514">
        <w:rPr>
          <w:rFonts w:ascii="Times New Roman" w:eastAsia="Times New Roman" w:hAnsi="Times New Roman"/>
          <w:sz w:val="24"/>
          <w:szCs w:val="24"/>
          <w:lang w:val="lv-LV" w:eastAsia="en-GB"/>
        </w:rPr>
        <w:t>.</w:t>
      </w:r>
    </w:p>
    <w:p w14:paraId="7756E30C" w14:textId="77777777" w:rsidR="00C40620" w:rsidRPr="00C40620" w:rsidRDefault="00C40620" w:rsidP="00C40620">
      <w:pPr>
        <w:spacing w:before="240" w:after="120" w:line="240" w:lineRule="auto"/>
        <w:ind w:left="1202" w:hanging="635"/>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Tehnoloģiskā neitralitāte</w:t>
      </w:r>
    </w:p>
    <w:p w14:paraId="5B514403"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Vai atbalsta pasākums ir tehnoloģiski neitrāls?</w:t>
      </w:r>
    </w:p>
    <w:p w14:paraId="57AAFC48" w14:textId="77777777" w:rsidR="00C40620" w:rsidRPr="00C40620" w:rsidRDefault="00954B7A"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sidR="00C40620" w:rsidRPr="00C40620">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Nē</w:t>
      </w:r>
    </w:p>
    <w:p w14:paraId="559D4426" w14:textId="77777777" w:rsidR="00C40620" w:rsidRPr="000A385C"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pacing w:val="-6"/>
          <w:sz w:val="24"/>
          <w:szCs w:val="24"/>
          <w:lang w:val="lv-LV" w:eastAsia="lv-LV" w:bidi="lv-LV"/>
        </w:rPr>
      </w:pPr>
      <w:r w:rsidRPr="000A385C">
        <w:rPr>
          <w:rFonts w:ascii="Times New Roman" w:eastAsia="Times New Roman" w:hAnsi="Times New Roman"/>
          <w:spacing w:val="-6"/>
          <w:sz w:val="24"/>
          <w:szCs w:val="24"/>
          <w:lang w:val="lv-LV" w:eastAsia="lv-LV" w:bidi="lv-LV"/>
        </w:rPr>
        <w:t xml:space="preserve">Ja atbilde uz jautājumu 2.8. punktā ir “jā”, lūdzu, aprakstiet, kā šis princips tiek nodrošināts: </w:t>
      </w:r>
    </w:p>
    <w:p w14:paraId="0D4C5886" w14:textId="63BF165F" w:rsidR="00C40620" w:rsidRPr="00C40620" w:rsidRDefault="004D79BF" w:rsidP="004244D2">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A</w:t>
      </w:r>
      <w:r w:rsidRPr="0036132E">
        <w:rPr>
          <w:rFonts w:ascii="Times New Roman" w:eastAsia="Times New Roman" w:hAnsi="Times New Roman"/>
          <w:sz w:val="24"/>
          <w:szCs w:val="24"/>
          <w:lang w:val="lv-LV" w:eastAsia="en-GB"/>
        </w:rPr>
        <w:t>tklāt</w:t>
      </w:r>
      <w:r>
        <w:rPr>
          <w:rFonts w:ascii="Times New Roman" w:eastAsia="Times New Roman" w:hAnsi="Times New Roman"/>
          <w:sz w:val="24"/>
          <w:szCs w:val="24"/>
          <w:lang w:val="lv-LV" w:eastAsia="en-GB"/>
        </w:rPr>
        <w:t>as</w:t>
      </w:r>
      <w:r w:rsidRPr="0036132E">
        <w:rPr>
          <w:rFonts w:ascii="Times New Roman" w:eastAsia="Times New Roman" w:hAnsi="Times New Roman"/>
          <w:sz w:val="24"/>
          <w:szCs w:val="24"/>
          <w:lang w:val="lv-LV" w:eastAsia="en-GB"/>
        </w:rPr>
        <w:t xml:space="preserve"> projektu iesniegumu atlas</w:t>
      </w:r>
      <w:r>
        <w:rPr>
          <w:rFonts w:ascii="Times New Roman" w:eastAsia="Times New Roman" w:hAnsi="Times New Roman"/>
          <w:sz w:val="24"/>
          <w:szCs w:val="24"/>
          <w:lang w:val="lv-LV" w:eastAsia="en-GB"/>
        </w:rPr>
        <w:t xml:space="preserve">ē </w:t>
      </w:r>
      <w:r w:rsidR="004244D2">
        <w:rPr>
          <w:rFonts w:ascii="Times New Roman" w:eastAsia="Times New Roman" w:hAnsi="Times New Roman"/>
          <w:sz w:val="24"/>
          <w:szCs w:val="24"/>
          <w:lang w:val="lv-LV" w:eastAsia="en-GB"/>
        </w:rPr>
        <w:t>netiks</w:t>
      </w:r>
      <w:r w:rsidR="004244D2" w:rsidRPr="004244D2">
        <w:rPr>
          <w:rFonts w:ascii="Times New Roman" w:eastAsia="Times New Roman" w:hAnsi="Times New Roman"/>
          <w:sz w:val="24"/>
          <w:szCs w:val="24"/>
          <w:lang w:val="lv-LV" w:eastAsia="en-GB"/>
        </w:rPr>
        <w:t xml:space="preserve"> dot</w:t>
      </w:r>
      <w:r w:rsidR="002C7F1F">
        <w:rPr>
          <w:rFonts w:ascii="Times New Roman" w:eastAsia="Times New Roman" w:hAnsi="Times New Roman"/>
          <w:sz w:val="24"/>
          <w:szCs w:val="24"/>
          <w:lang w:val="lv-LV" w:eastAsia="en-GB"/>
        </w:rPr>
        <w:t>a</w:t>
      </w:r>
      <w:r w:rsidR="004244D2" w:rsidRPr="004244D2">
        <w:rPr>
          <w:rFonts w:ascii="Times New Roman" w:eastAsia="Times New Roman" w:hAnsi="Times New Roman"/>
          <w:sz w:val="24"/>
          <w:szCs w:val="24"/>
          <w:lang w:val="lv-LV" w:eastAsia="en-GB"/>
        </w:rPr>
        <w:t xml:space="preserve"> priekšrok</w:t>
      </w:r>
      <w:r w:rsidR="004244D2">
        <w:rPr>
          <w:rFonts w:ascii="Times New Roman" w:eastAsia="Times New Roman" w:hAnsi="Times New Roman"/>
          <w:sz w:val="24"/>
          <w:szCs w:val="24"/>
          <w:lang w:val="lv-LV" w:eastAsia="en-GB"/>
        </w:rPr>
        <w:t>a</w:t>
      </w:r>
      <w:r w:rsidR="004244D2" w:rsidRPr="004244D2">
        <w:rPr>
          <w:rFonts w:ascii="Times New Roman" w:eastAsia="Times New Roman" w:hAnsi="Times New Roman"/>
          <w:sz w:val="24"/>
          <w:szCs w:val="24"/>
          <w:lang w:val="lv-LV" w:eastAsia="en-GB"/>
        </w:rPr>
        <w:t xml:space="preserve"> kādai konkrētai</w:t>
      </w:r>
      <w:r w:rsidR="004244D2">
        <w:rPr>
          <w:rFonts w:ascii="Times New Roman" w:eastAsia="Times New Roman" w:hAnsi="Times New Roman"/>
          <w:sz w:val="24"/>
          <w:szCs w:val="24"/>
          <w:lang w:val="lv-LV" w:eastAsia="en-GB"/>
        </w:rPr>
        <w:t xml:space="preserve"> </w:t>
      </w:r>
      <w:r w:rsidR="004244D2" w:rsidRPr="004244D2">
        <w:rPr>
          <w:rFonts w:ascii="Times New Roman" w:eastAsia="Times New Roman" w:hAnsi="Times New Roman"/>
          <w:sz w:val="24"/>
          <w:szCs w:val="24"/>
          <w:lang w:val="lv-LV" w:eastAsia="en-GB"/>
        </w:rPr>
        <w:t xml:space="preserve">tehnoloģijai vai tīkla platformai, ne arī </w:t>
      </w:r>
      <w:r w:rsidR="002C7F1F">
        <w:rPr>
          <w:rFonts w:ascii="Times New Roman" w:eastAsia="Times New Roman" w:hAnsi="Times New Roman"/>
          <w:sz w:val="24"/>
          <w:szCs w:val="24"/>
          <w:lang w:val="lv-LV" w:eastAsia="en-GB"/>
        </w:rPr>
        <w:t>izslēdzot kādu no tām</w:t>
      </w:r>
      <w:r w:rsidR="004244D2" w:rsidRPr="004244D2">
        <w:rPr>
          <w:rFonts w:ascii="Times New Roman" w:eastAsia="Times New Roman" w:hAnsi="Times New Roman"/>
          <w:sz w:val="24"/>
          <w:szCs w:val="24"/>
          <w:lang w:val="lv-LV" w:eastAsia="en-GB"/>
        </w:rPr>
        <w:t xml:space="preserve">. </w:t>
      </w:r>
      <w:r w:rsidR="00D506CA">
        <w:rPr>
          <w:rFonts w:ascii="Times New Roman" w:eastAsia="Times New Roman" w:hAnsi="Times New Roman"/>
          <w:sz w:val="24"/>
          <w:szCs w:val="24"/>
          <w:lang w:val="lv-LV" w:eastAsia="en-GB"/>
        </w:rPr>
        <w:t>Potenciālie projektu īstenotāji</w:t>
      </w:r>
      <w:r w:rsidR="004244D2">
        <w:rPr>
          <w:rFonts w:ascii="Times New Roman" w:eastAsia="Times New Roman" w:hAnsi="Times New Roman"/>
          <w:sz w:val="24"/>
          <w:szCs w:val="24"/>
          <w:lang w:val="lv-LV" w:eastAsia="en-GB"/>
        </w:rPr>
        <w:t xml:space="preserve"> ir tiesīgi p</w:t>
      </w:r>
      <w:r w:rsidR="004244D2" w:rsidRPr="004244D2">
        <w:rPr>
          <w:rFonts w:ascii="Times New Roman" w:eastAsia="Times New Roman" w:hAnsi="Times New Roman"/>
          <w:sz w:val="24"/>
          <w:szCs w:val="24"/>
          <w:lang w:val="lv-LV" w:eastAsia="en-GB"/>
        </w:rPr>
        <w:t>iedāvāt nepieciešamo platjoslas pakalpojumu sniegšanu, izmantojot vai</w:t>
      </w:r>
      <w:r w:rsidR="004244D2">
        <w:rPr>
          <w:rFonts w:ascii="Times New Roman" w:eastAsia="Times New Roman" w:hAnsi="Times New Roman"/>
          <w:sz w:val="24"/>
          <w:szCs w:val="24"/>
          <w:lang w:val="lv-LV" w:eastAsia="en-GB"/>
        </w:rPr>
        <w:t xml:space="preserve"> </w:t>
      </w:r>
      <w:r w:rsidR="004244D2" w:rsidRPr="004244D2">
        <w:rPr>
          <w:rFonts w:ascii="Times New Roman" w:eastAsia="Times New Roman" w:hAnsi="Times New Roman"/>
          <w:sz w:val="24"/>
          <w:szCs w:val="24"/>
          <w:lang w:val="lv-LV" w:eastAsia="en-GB"/>
        </w:rPr>
        <w:t>kombinējot jebkuras tehnoloģijas, kas tiem šķiet piemērotākās.</w:t>
      </w:r>
      <w:r w:rsidR="004244D2">
        <w:rPr>
          <w:rFonts w:ascii="Times New Roman" w:eastAsia="Times New Roman" w:hAnsi="Times New Roman"/>
          <w:sz w:val="24"/>
          <w:szCs w:val="24"/>
          <w:lang w:val="lv-LV" w:eastAsia="en-GB"/>
        </w:rPr>
        <w:t xml:space="preserve"> Dalībvalsts noteiks tikai minimālās prasības attiecībā uz tīkla </w:t>
      </w:r>
      <w:r w:rsidR="004244D2" w:rsidRPr="004244D2">
        <w:rPr>
          <w:rFonts w:ascii="Times New Roman" w:eastAsia="Times New Roman" w:hAnsi="Times New Roman"/>
          <w:sz w:val="24"/>
          <w:szCs w:val="24"/>
          <w:lang w:val="lv-LV" w:eastAsia="en-GB"/>
        </w:rPr>
        <w:t>veiktspēju</w:t>
      </w:r>
      <w:r w:rsidR="004244D2">
        <w:rPr>
          <w:rFonts w:ascii="Times New Roman" w:eastAsia="Times New Roman" w:hAnsi="Times New Roman"/>
          <w:sz w:val="24"/>
          <w:szCs w:val="24"/>
          <w:lang w:val="lv-LV" w:eastAsia="en-GB"/>
        </w:rPr>
        <w:t xml:space="preserve"> un</w:t>
      </w:r>
      <w:r w:rsidR="004244D2" w:rsidRPr="004244D2">
        <w:rPr>
          <w:rFonts w:ascii="Times New Roman" w:eastAsia="Times New Roman" w:hAnsi="Times New Roman"/>
          <w:sz w:val="24"/>
          <w:szCs w:val="24"/>
          <w:lang w:val="lv-LV" w:eastAsia="en-GB"/>
        </w:rPr>
        <w:t xml:space="preserve"> </w:t>
      </w:r>
      <w:r w:rsidR="004244D2">
        <w:rPr>
          <w:rFonts w:ascii="Times New Roman" w:eastAsia="Times New Roman" w:hAnsi="Times New Roman"/>
          <w:sz w:val="24"/>
          <w:szCs w:val="24"/>
          <w:lang w:val="lv-LV" w:eastAsia="en-GB"/>
        </w:rPr>
        <w:t xml:space="preserve">sasniedzamo mājsaimniecību un uzņēmumu skaitu, kā arī piedāvājuma kvalitātes kritērijus, kas minēti 2.5. sadaļā. </w:t>
      </w:r>
    </w:p>
    <w:p w14:paraId="44ECC3AD" w14:textId="77777777" w:rsidR="00C40620" w:rsidRPr="00B337FB" w:rsidRDefault="00C40620" w:rsidP="00C40620">
      <w:pPr>
        <w:spacing w:before="240" w:after="120" w:line="240" w:lineRule="auto"/>
        <w:ind w:left="482" w:firstLine="85"/>
        <w:jc w:val="both"/>
        <w:rPr>
          <w:rFonts w:ascii="Times New Roman" w:eastAsia="Times New Roman" w:hAnsi="Times New Roman"/>
          <w:i/>
          <w:sz w:val="24"/>
          <w:szCs w:val="24"/>
          <w:lang w:val="lv-LV" w:eastAsia="lv-LV" w:bidi="lv-LV"/>
        </w:rPr>
      </w:pPr>
      <w:r w:rsidRPr="00B337FB">
        <w:rPr>
          <w:rFonts w:ascii="Times New Roman" w:eastAsia="Times New Roman" w:hAnsi="Times New Roman"/>
          <w:i/>
          <w:sz w:val="24"/>
          <w:szCs w:val="24"/>
          <w:lang w:val="lv-LV" w:eastAsia="lv-LV" w:bidi="lv-LV"/>
        </w:rPr>
        <w:t>Esošās infrastruktūras izmantošana</w:t>
      </w:r>
    </w:p>
    <w:p w14:paraId="4A1BAA20" w14:textId="77777777" w:rsid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B337FB">
        <w:rPr>
          <w:rFonts w:ascii="Times New Roman" w:eastAsia="Times New Roman" w:hAnsi="Times New Roman"/>
          <w:sz w:val="24"/>
          <w:szCs w:val="24"/>
          <w:lang w:val="lv-LV" w:eastAsia="lv-LV" w:bidi="lv-LV"/>
        </w:rPr>
        <w:lastRenderedPageBreak/>
        <w:t xml:space="preserve">Lūdzu, iesniedziet karti, kurā attiecīgajā valstī vai reģionā ir attēlotas esošās infrastruktūras, tostarp arī jebkādas jaunas infrastruktūras, ko </w:t>
      </w:r>
      <w:proofErr w:type="spellStart"/>
      <w:r w:rsidRPr="00B337FB">
        <w:rPr>
          <w:rFonts w:ascii="Times New Roman" w:eastAsia="Times New Roman" w:hAnsi="Times New Roman"/>
          <w:sz w:val="24"/>
          <w:szCs w:val="24"/>
          <w:lang w:val="lv-LV" w:eastAsia="lv-LV" w:bidi="lv-LV"/>
        </w:rPr>
        <w:t>komercoperatori</w:t>
      </w:r>
      <w:proofErr w:type="spellEnd"/>
      <w:r w:rsidRPr="00B337FB">
        <w:rPr>
          <w:rFonts w:ascii="Times New Roman" w:eastAsia="Times New Roman" w:hAnsi="Times New Roman"/>
          <w:sz w:val="24"/>
          <w:szCs w:val="24"/>
          <w:lang w:val="lv-LV" w:eastAsia="lv-LV" w:bidi="lv-LV"/>
        </w:rPr>
        <w:t xml:space="preserve"> plāno izbūvēt tuvākajā nākotnē, tas ir, triju gadu laikposmā:</w:t>
      </w:r>
    </w:p>
    <w:p w14:paraId="4D5B5901" w14:textId="490982BF" w:rsidR="00F3604D" w:rsidRPr="00F3604D" w:rsidRDefault="00F3604D" w:rsidP="00A5042E">
      <w:pPr>
        <w:pStyle w:val="ListParagraph"/>
        <w:keepNext/>
        <w:tabs>
          <w:tab w:val="left" w:pos="3119"/>
        </w:tabs>
        <w:spacing w:before="120" w:after="120" w:line="240" w:lineRule="auto"/>
        <w:ind w:left="480"/>
        <w:jc w:val="both"/>
        <w:rPr>
          <w:rFonts w:ascii="Times New Roman" w:eastAsia="Times New Roman" w:hAnsi="Times New Roman"/>
          <w:sz w:val="24"/>
          <w:szCs w:val="24"/>
          <w:lang w:val="lv-LV" w:eastAsia="lv-LV" w:bidi="lv-LV"/>
        </w:rPr>
      </w:pPr>
      <w:r w:rsidRPr="00F3604D">
        <w:rPr>
          <w:rFonts w:ascii="Times New Roman" w:eastAsia="Times New Roman" w:hAnsi="Times New Roman"/>
          <w:sz w:val="24"/>
          <w:szCs w:val="24"/>
          <w:lang w:val="lv-LV" w:eastAsia="lv-LV" w:bidi="lv-LV"/>
        </w:rPr>
        <w:t>Skat. gala ziņojuma “Pētījums Eiropas Savienības fondu 2021. -2027. gada plānošanas perioda ieguldījumu priekšnosacījumu izpildei” (</w:t>
      </w:r>
      <w:hyperlink r:id="rId11" w:history="1">
        <w:r w:rsidRPr="00F3604D">
          <w:rPr>
            <w:rStyle w:val="Hyperlink"/>
            <w:rFonts w:ascii="Times New Roman" w:eastAsia="Times New Roman" w:hAnsi="Times New Roman"/>
            <w:sz w:val="24"/>
            <w:szCs w:val="24"/>
            <w:lang w:val="lv-LV" w:eastAsia="lv-LV" w:bidi="lv-LV"/>
          </w:rPr>
          <w:t>http://petijumi.mk.gov.lv/sites/default/files/title_file/SM_kartesana_gala_nodevums.pdf</w:t>
        </w:r>
      </w:hyperlink>
      <w:r w:rsidRPr="00F3604D">
        <w:rPr>
          <w:rFonts w:ascii="Times New Roman" w:eastAsia="Times New Roman" w:hAnsi="Times New Roman"/>
          <w:sz w:val="24"/>
          <w:szCs w:val="24"/>
          <w:lang w:val="lv-LV" w:eastAsia="lv-LV" w:bidi="lv-LV"/>
        </w:rPr>
        <w:t>) 6.</w:t>
      </w:r>
      <w:r w:rsidR="00D37F3F">
        <w:rPr>
          <w:rFonts w:ascii="Times New Roman" w:eastAsia="Times New Roman" w:hAnsi="Times New Roman"/>
          <w:sz w:val="24"/>
          <w:szCs w:val="24"/>
          <w:lang w:val="lv-LV" w:eastAsia="lv-LV" w:bidi="lv-LV"/>
        </w:rPr>
        <w:t>5</w:t>
      </w:r>
      <w:r w:rsidRPr="00F3604D">
        <w:rPr>
          <w:rFonts w:ascii="Times New Roman" w:eastAsia="Times New Roman" w:hAnsi="Times New Roman"/>
          <w:sz w:val="24"/>
          <w:szCs w:val="24"/>
          <w:lang w:val="lv-LV" w:eastAsia="lv-LV" w:bidi="lv-LV"/>
        </w:rPr>
        <w:t>. sadaļu.</w:t>
      </w:r>
    </w:p>
    <w:p w14:paraId="00E6F5EA" w14:textId="77777777" w:rsidR="00C40620" w:rsidRPr="00D8052F"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D8052F">
        <w:rPr>
          <w:rFonts w:ascii="Times New Roman" w:eastAsia="Times New Roman" w:hAnsi="Times New Roman"/>
          <w:sz w:val="24"/>
          <w:szCs w:val="24"/>
          <w:lang w:val="lv-LV" w:eastAsia="lv-LV" w:bidi="lv-LV"/>
        </w:rPr>
        <w:t xml:space="preserve">Lūdzu, paskaidrojiet, kā tiek nodrošināts, ka tie operatori, kas vēlas piedalīties atlases procedūrā, sniedz visu būtisko informāciju par jebkuru esošo infrastruktūru, kas tiem pieder vai ir viņu kontrolē </w:t>
      </w:r>
      <w:proofErr w:type="spellStart"/>
      <w:r w:rsidRPr="00D8052F">
        <w:rPr>
          <w:rFonts w:ascii="Times New Roman" w:eastAsia="Times New Roman" w:hAnsi="Times New Roman"/>
          <w:sz w:val="24"/>
          <w:szCs w:val="24"/>
          <w:lang w:val="lv-LV" w:eastAsia="lv-LV" w:bidi="lv-LV"/>
        </w:rPr>
        <w:t>mērķreģionā</w:t>
      </w:r>
      <w:proofErr w:type="spellEnd"/>
      <w:r w:rsidRPr="00D8052F">
        <w:rPr>
          <w:rFonts w:ascii="Times New Roman" w:eastAsia="Times New Roman" w:hAnsi="Times New Roman"/>
          <w:sz w:val="24"/>
          <w:szCs w:val="24"/>
          <w:lang w:val="lv-LV" w:eastAsia="lv-LV" w:bidi="lv-LV"/>
        </w:rPr>
        <w:t>:</w:t>
      </w:r>
    </w:p>
    <w:p w14:paraId="002B4673" w14:textId="3A1A821B" w:rsidR="00D322DC" w:rsidRPr="00C40620" w:rsidRDefault="00D8052F" w:rsidP="00D322DC">
      <w:pPr>
        <w:keepNext/>
        <w:tabs>
          <w:tab w:val="left" w:pos="3119"/>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en-GB"/>
        </w:rPr>
        <w:t>Pētījuma ietvaros visiem elektronisko sakaru komersantiem tika pieprasīti dati par esošās un tuvāko trīs gadu laikā plānoto infrastruktūru</w:t>
      </w:r>
      <w:r w:rsidR="00BB5340">
        <w:rPr>
          <w:rFonts w:ascii="Times New Roman" w:eastAsia="Times New Roman" w:hAnsi="Times New Roman"/>
          <w:sz w:val="24"/>
          <w:szCs w:val="24"/>
          <w:lang w:val="lv-LV" w:eastAsia="en-GB"/>
        </w:rPr>
        <w:t>.</w:t>
      </w:r>
      <w:r w:rsidR="00004B74">
        <w:rPr>
          <w:rFonts w:ascii="Times New Roman" w:eastAsia="Times New Roman" w:hAnsi="Times New Roman"/>
          <w:sz w:val="24"/>
          <w:szCs w:val="24"/>
          <w:lang w:val="lv-LV" w:eastAsia="en-GB"/>
        </w:rPr>
        <w:t xml:space="preserve"> Skat. 2.3. punktā informāciju par datu aktualizēšanu un sabiedrisko apspriešanu, kas nodrošin</w:t>
      </w:r>
      <w:r w:rsidR="00BB5340">
        <w:rPr>
          <w:rFonts w:ascii="Times New Roman" w:eastAsia="Times New Roman" w:hAnsi="Times New Roman"/>
          <w:sz w:val="24"/>
          <w:szCs w:val="24"/>
          <w:lang w:val="lv-LV" w:eastAsia="en-GB"/>
        </w:rPr>
        <w:t>ās</w:t>
      </w:r>
      <w:r w:rsidR="00004B74">
        <w:rPr>
          <w:rFonts w:ascii="Times New Roman" w:eastAsia="Times New Roman" w:hAnsi="Times New Roman"/>
          <w:sz w:val="24"/>
          <w:szCs w:val="24"/>
          <w:lang w:val="lv-LV" w:eastAsia="en-GB"/>
        </w:rPr>
        <w:t xml:space="preserve"> datu validāciju. </w:t>
      </w:r>
      <w:r>
        <w:rPr>
          <w:rFonts w:ascii="Times New Roman" w:eastAsia="Times New Roman" w:hAnsi="Times New Roman"/>
          <w:sz w:val="24"/>
          <w:szCs w:val="24"/>
          <w:lang w:val="lv-LV" w:eastAsia="en-GB"/>
        </w:rPr>
        <w:t>Ņemot vērā elektronisko sakaru komersantu iesniegtos datus, informācija par esošo infrastruktūru pieejama</w:t>
      </w:r>
      <w:r w:rsidR="00F3604D" w:rsidRPr="00FA4F8A">
        <w:rPr>
          <w:rFonts w:ascii="Times New Roman" w:eastAsia="Times New Roman" w:hAnsi="Times New Roman"/>
          <w:sz w:val="24"/>
          <w:szCs w:val="24"/>
          <w:lang w:val="lv-LV" w:eastAsia="lv-LV" w:bidi="lv-LV"/>
        </w:rPr>
        <w:t xml:space="preserve"> gala ziņojuma</w:t>
      </w:r>
      <w:r w:rsidR="00F3604D">
        <w:rPr>
          <w:rFonts w:ascii="Times New Roman" w:eastAsia="Times New Roman" w:hAnsi="Times New Roman"/>
          <w:sz w:val="24"/>
          <w:szCs w:val="24"/>
          <w:lang w:val="lv-LV" w:eastAsia="lv-LV" w:bidi="lv-LV"/>
        </w:rPr>
        <w:t xml:space="preserve"> </w:t>
      </w:r>
      <w:r w:rsidR="00F3604D" w:rsidRPr="00FA4F8A">
        <w:rPr>
          <w:rFonts w:ascii="Times New Roman" w:eastAsia="Times New Roman" w:hAnsi="Times New Roman"/>
          <w:sz w:val="24"/>
          <w:szCs w:val="24"/>
          <w:lang w:val="lv-LV" w:eastAsia="lv-LV" w:bidi="lv-LV"/>
        </w:rPr>
        <w:t>“Pētījums Eiropas Savienības</w:t>
      </w:r>
      <w:r w:rsidR="00F3604D">
        <w:rPr>
          <w:rFonts w:ascii="Times New Roman" w:eastAsia="Times New Roman" w:hAnsi="Times New Roman"/>
          <w:sz w:val="24"/>
          <w:szCs w:val="24"/>
          <w:lang w:val="lv-LV" w:eastAsia="lv-LV" w:bidi="lv-LV"/>
        </w:rPr>
        <w:t xml:space="preserve"> </w:t>
      </w:r>
      <w:r w:rsidR="00F3604D" w:rsidRPr="00FA4F8A">
        <w:rPr>
          <w:rFonts w:ascii="Times New Roman" w:eastAsia="Times New Roman" w:hAnsi="Times New Roman"/>
          <w:sz w:val="24"/>
          <w:szCs w:val="24"/>
          <w:lang w:val="lv-LV" w:eastAsia="lv-LV" w:bidi="lv-LV"/>
        </w:rPr>
        <w:t>fondu 2021. -2027. gada</w:t>
      </w:r>
      <w:r w:rsidR="00F3604D">
        <w:rPr>
          <w:rFonts w:ascii="Times New Roman" w:eastAsia="Times New Roman" w:hAnsi="Times New Roman"/>
          <w:sz w:val="24"/>
          <w:szCs w:val="24"/>
          <w:lang w:val="lv-LV" w:eastAsia="lv-LV" w:bidi="lv-LV"/>
        </w:rPr>
        <w:t xml:space="preserve"> </w:t>
      </w:r>
      <w:r w:rsidR="00F3604D" w:rsidRPr="00FA4F8A">
        <w:rPr>
          <w:rFonts w:ascii="Times New Roman" w:eastAsia="Times New Roman" w:hAnsi="Times New Roman"/>
          <w:sz w:val="24"/>
          <w:szCs w:val="24"/>
          <w:lang w:val="lv-LV" w:eastAsia="lv-LV" w:bidi="lv-LV"/>
        </w:rPr>
        <w:t>plānošanas perioda ieguldījumu</w:t>
      </w:r>
      <w:r w:rsidR="00F3604D">
        <w:rPr>
          <w:rFonts w:ascii="Times New Roman" w:eastAsia="Times New Roman" w:hAnsi="Times New Roman"/>
          <w:sz w:val="24"/>
          <w:szCs w:val="24"/>
          <w:lang w:val="lv-LV" w:eastAsia="lv-LV" w:bidi="lv-LV"/>
        </w:rPr>
        <w:t xml:space="preserve"> </w:t>
      </w:r>
      <w:r w:rsidR="00F3604D" w:rsidRPr="00FA4F8A">
        <w:rPr>
          <w:rFonts w:ascii="Times New Roman" w:eastAsia="Times New Roman" w:hAnsi="Times New Roman"/>
          <w:sz w:val="24"/>
          <w:szCs w:val="24"/>
          <w:lang w:val="lv-LV" w:eastAsia="lv-LV" w:bidi="lv-LV"/>
        </w:rPr>
        <w:t>priekšnosacījumu izpildei”</w:t>
      </w:r>
      <w:r w:rsidR="00F3604D">
        <w:rPr>
          <w:rFonts w:ascii="Times New Roman" w:eastAsia="Times New Roman" w:hAnsi="Times New Roman"/>
          <w:sz w:val="24"/>
          <w:szCs w:val="24"/>
          <w:lang w:val="lv-LV" w:eastAsia="lv-LV" w:bidi="lv-LV"/>
        </w:rPr>
        <w:t xml:space="preserve"> (</w:t>
      </w:r>
      <w:hyperlink r:id="rId12" w:history="1">
        <w:r w:rsidR="00F3604D" w:rsidRPr="00B726A8">
          <w:rPr>
            <w:rStyle w:val="Hyperlink"/>
            <w:rFonts w:ascii="Times New Roman" w:eastAsia="Times New Roman" w:hAnsi="Times New Roman"/>
            <w:sz w:val="24"/>
            <w:szCs w:val="24"/>
            <w:lang w:val="lv-LV" w:eastAsia="lv-LV" w:bidi="lv-LV"/>
          </w:rPr>
          <w:t>http://petijumi.mk.gov.lv/sites/default/files/title_file/SM_kartesana_gala_nodevums.pdf</w:t>
        </w:r>
      </w:hyperlink>
      <w:r w:rsidR="00F3604D">
        <w:rPr>
          <w:rFonts w:ascii="Times New Roman" w:eastAsia="Times New Roman" w:hAnsi="Times New Roman"/>
          <w:sz w:val="24"/>
          <w:szCs w:val="24"/>
          <w:lang w:val="lv-LV" w:eastAsia="lv-LV" w:bidi="lv-LV"/>
        </w:rPr>
        <w:t>) 6.</w:t>
      </w:r>
      <w:r w:rsidR="00D37F3F">
        <w:rPr>
          <w:rFonts w:ascii="Times New Roman" w:eastAsia="Times New Roman" w:hAnsi="Times New Roman"/>
          <w:sz w:val="24"/>
          <w:szCs w:val="24"/>
          <w:lang w:val="lv-LV" w:eastAsia="lv-LV" w:bidi="lv-LV"/>
        </w:rPr>
        <w:t>5</w:t>
      </w:r>
      <w:r w:rsidR="00F3604D">
        <w:rPr>
          <w:rFonts w:ascii="Times New Roman" w:eastAsia="Times New Roman" w:hAnsi="Times New Roman"/>
          <w:sz w:val="24"/>
          <w:szCs w:val="24"/>
          <w:lang w:val="lv-LV" w:eastAsia="lv-LV" w:bidi="lv-LV"/>
        </w:rPr>
        <w:t>. sadaļ</w:t>
      </w:r>
      <w:r w:rsidR="00686953">
        <w:rPr>
          <w:rFonts w:ascii="Times New Roman" w:eastAsia="Times New Roman" w:hAnsi="Times New Roman"/>
          <w:sz w:val="24"/>
          <w:szCs w:val="24"/>
          <w:lang w:val="lv-LV" w:eastAsia="lv-LV" w:bidi="lv-LV"/>
        </w:rPr>
        <w:t>ā</w:t>
      </w:r>
      <w:r w:rsidR="00F3604D">
        <w:rPr>
          <w:rFonts w:ascii="Times New Roman" w:eastAsia="Times New Roman" w:hAnsi="Times New Roman"/>
          <w:sz w:val="24"/>
          <w:szCs w:val="24"/>
          <w:lang w:val="lv-LV" w:eastAsia="lv-LV" w:bidi="lv-LV"/>
        </w:rPr>
        <w:t>.</w:t>
      </w:r>
      <w:r w:rsidR="00686953">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en-GB"/>
        </w:rPr>
        <w:t xml:space="preserve">Savukārt, elektronisko sakaru komersantiem nav plāni jaunas infrastruktūras izbūvē </w:t>
      </w:r>
      <w:r w:rsidRPr="00D25C92">
        <w:rPr>
          <w:rFonts w:ascii="Times New Roman" w:eastAsia="Times New Roman" w:hAnsi="Times New Roman"/>
          <w:sz w:val="24"/>
          <w:szCs w:val="24"/>
          <w:lang w:val="lv-LV" w:eastAsia="en-GB"/>
        </w:rPr>
        <w:t>mērķa teritorijā</w:t>
      </w:r>
      <w:r w:rsidR="003369C6" w:rsidRPr="00D25C92">
        <w:rPr>
          <w:rFonts w:ascii="Times New Roman" w:eastAsia="Times New Roman" w:hAnsi="Times New Roman"/>
          <w:sz w:val="24"/>
          <w:szCs w:val="24"/>
          <w:lang w:val="lv-LV" w:eastAsia="en-GB"/>
        </w:rPr>
        <w:t>s</w:t>
      </w:r>
      <w:r w:rsidRPr="00D25C92">
        <w:rPr>
          <w:rFonts w:ascii="Times New Roman" w:eastAsia="Times New Roman" w:hAnsi="Times New Roman"/>
          <w:sz w:val="24"/>
          <w:szCs w:val="24"/>
          <w:lang w:val="lv-LV" w:eastAsia="en-GB"/>
        </w:rPr>
        <w:t xml:space="preserve">. </w:t>
      </w:r>
      <w:r w:rsidR="00D322DC" w:rsidRPr="00D25C92">
        <w:rPr>
          <w:rFonts w:ascii="Times New Roman" w:eastAsia="Times New Roman" w:hAnsi="Times New Roman"/>
          <w:sz w:val="24"/>
          <w:szCs w:val="24"/>
          <w:lang w:val="lv-LV" w:eastAsia="en-GB"/>
        </w:rPr>
        <w:t xml:space="preserve">Skat. </w:t>
      </w:r>
      <w:r w:rsidR="004F1F02" w:rsidRPr="00D25C92">
        <w:rPr>
          <w:rFonts w:ascii="Times New Roman" w:eastAsia="Times New Roman" w:hAnsi="Times New Roman"/>
          <w:sz w:val="24"/>
          <w:szCs w:val="24"/>
          <w:lang w:val="lv-LV" w:eastAsia="en-GB"/>
        </w:rPr>
        <w:t xml:space="preserve">2.3. sadaļu par sabiedrisko apspriešanu, kas nodrošina </w:t>
      </w:r>
      <w:r w:rsidR="00D322DC" w:rsidRPr="00D25C92">
        <w:rPr>
          <w:rFonts w:ascii="Times New Roman" w:eastAsia="Times New Roman" w:hAnsi="Times New Roman"/>
          <w:sz w:val="24"/>
          <w:szCs w:val="24"/>
          <w:lang w:val="lv-LV" w:eastAsia="en-GB"/>
        </w:rPr>
        <w:t>datu aktualizāciju</w:t>
      </w:r>
      <w:r w:rsidR="00D25C92">
        <w:rPr>
          <w:rFonts w:ascii="Times New Roman" w:eastAsia="Times New Roman" w:hAnsi="Times New Roman"/>
          <w:sz w:val="24"/>
          <w:szCs w:val="24"/>
          <w:lang w:val="lv-LV" w:eastAsia="en-GB"/>
        </w:rPr>
        <w:t>.</w:t>
      </w:r>
    </w:p>
    <w:p w14:paraId="179D82A4" w14:textId="77777777" w:rsidR="00C40620" w:rsidRPr="00C40620" w:rsidRDefault="00C40620" w:rsidP="00C40620">
      <w:pPr>
        <w:keepNext/>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Vairumtirdzniecības līmeņa piekļuve </w:t>
      </w:r>
    </w:p>
    <w:p w14:paraId="0FAF88F2" w14:textId="77777777" w:rsidR="00B45C66" w:rsidRDefault="00C40620" w:rsidP="00B45C66">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2160AD">
        <w:rPr>
          <w:rFonts w:ascii="Times New Roman" w:eastAsia="Times New Roman" w:hAnsi="Times New Roman"/>
          <w:sz w:val="24"/>
          <w:szCs w:val="24"/>
          <w:lang w:val="lv-LV" w:eastAsia="lv-LV" w:bidi="lv-LV"/>
        </w:rPr>
        <w:t xml:space="preserve">Lūdzu, paskaidrojiet, kāda veida “vairumtirdzniecības līmeņa piekļuves” saistības tiks piemērotas subsidētajam tīklam (tostarp piekļuve pasīvajai un aktīvajai infrastruktūrai, tiesības izmantot kabeļu kanalizāciju un stabus, tumšo optisko šķiedru un āra sadales </w:t>
      </w:r>
      <w:r w:rsidRPr="00732A13">
        <w:rPr>
          <w:rFonts w:ascii="Times New Roman" w:eastAsia="Times New Roman" w:hAnsi="Times New Roman"/>
          <w:sz w:val="24"/>
          <w:szCs w:val="24"/>
          <w:lang w:val="lv-LV" w:eastAsia="lv-LV" w:bidi="lv-LV"/>
        </w:rPr>
        <w:t>skapjus), un cik ilgi piekļuves saistības būs spēkā:</w:t>
      </w:r>
    </w:p>
    <w:p w14:paraId="0EA87093" w14:textId="1C8A0656" w:rsidR="00B45C66" w:rsidRPr="00B45C66" w:rsidRDefault="004D43E9" w:rsidP="00B45C66">
      <w:pPr>
        <w:keepNext/>
        <w:tabs>
          <w:tab w:val="left" w:pos="3119"/>
        </w:tabs>
        <w:spacing w:before="120" w:after="120" w:line="240" w:lineRule="auto"/>
        <w:ind w:left="709"/>
        <w:jc w:val="both"/>
        <w:rPr>
          <w:rFonts w:ascii="Times New Roman" w:eastAsia="Times New Roman" w:hAnsi="Times New Roman"/>
          <w:sz w:val="24"/>
          <w:szCs w:val="24"/>
          <w:lang w:val="lv-LV" w:eastAsia="en-GB"/>
        </w:rPr>
      </w:pPr>
      <w:r w:rsidRPr="00B45C66">
        <w:rPr>
          <w:rFonts w:ascii="Times New Roman" w:eastAsia="Times New Roman" w:hAnsi="Times New Roman"/>
          <w:sz w:val="24"/>
          <w:szCs w:val="24"/>
          <w:lang w:val="lv-LV" w:eastAsia="en-GB"/>
        </w:rPr>
        <w:t xml:space="preserve">Galvenie pakalpojumi, ko nodrošinās subsidētais tīkls, būs </w:t>
      </w:r>
      <w:r w:rsidR="00D14C11" w:rsidRPr="00B45C66">
        <w:rPr>
          <w:rFonts w:ascii="Times New Roman" w:eastAsia="Times New Roman" w:hAnsi="Times New Roman"/>
          <w:sz w:val="24"/>
          <w:szCs w:val="24"/>
          <w:lang w:val="lv-LV" w:eastAsia="en-GB"/>
        </w:rPr>
        <w:t xml:space="preserve">piekļuve </w:t>
      </w:r>
      <w:r w:rsidR="00D14C11" w:rsidRPr="00B45C66">
        <w:rPr>
          <w:rFonts w:ascii="Times New Roman" w:eastAsia="Times New Roman" w:hAnsi="Times New Roman"/>
          <w:sz w:val="24"/>
          <w:szCs w:val="24"/>
          <w:lang w:val="lv-LV" w:eastAsia="lv-LV" w:bidi="lv-LV"/>
        </w:rPr>
        <w:t>pasīvajai un aktīvajai infrastruktūrai</w:t>
      </w:r>
      <w:r w:rsidRPr="00B45C66">
        <w:rPr>
          <w:rFonts w:ascii="Times New Roman" w:eastAsia="Times New Roman" w:hAnsi="Times New Roman"/>
          <w:sz w:val="24"/>
          <w:szCs w:val="24"/>
          <w:lang w:val="lv-LV" w:eastAsia="en-GB"/>
        </w:rPr>
        <w:t xml:space="preserve"> ar vienādiem nosacījumiem visiem operatoriem.</w:t>
      </w:r>
      <w:r w:rsidR="00B45C66">
        <w:rPr>
          <w:rFonts w:ascii="Times New Roman" w:eastAsia="Times New Roman" w:hAnsi="Times New Roman"/>
          <w:sz w:val="24"/>
          <w:szCs w:val="24"/>
          <w:lang w:val="lv-LV" w:eastAsia="en-GB"/>
        </w:rPr>
        <w:t xml:space="preserve"> </w:t>
      </w:r>
      <w:r w:rsidRPr="00B45C66">
        <w:rPr>
          <w:rFonts w:ascii="Times New Roman" w:eastAsia="Times New Roman" w:hAnsi="Times New Roman"/>
          <w:sz w:val="24"/>
          <w:szCs w:val="24"/>
          <w:lang w:val="lv-LV" w:eastAsia="en-GB"/>
        </w:rPr>
        <w:t>Tas</w:t>
      </w:r>
      <w:r w:rsidR="00A20CD2" w:rsidRPr="00B45C66">
        <w:rPr>
          <w:rFonts w:ascii="Times New Roman" w:eastAsia="Times New Roman" w:hAnsi="Times New Roman"/>
          <w:sz w:val="24"/>
          <w:szCs w:val="24"/>
          <w:lang w:val="lv-LV" w:eastAsia="en-GB"/>
        </w:rPr>
        <w:t xml:space="preserve"> </w:t>
      </w:r>
      <w:r w:rsidRPr="00B45C66">
        <w:rPr>
          <w:rFonts w:ascii="Times New Roman" w:eastAsia="Times New Roman" w:hAnsi="Times New Roman"/>
          <w:sz w:val="24"/>
          <w:szCs w:val="24"/>
          <w:lang w:val="lv-LV" w:eastAsia="en-GB"/>
        </w:rPr>
        <w:t>nodrošin</w:t>
      </w:r>
      <w:r w:rsidR="00732A13" w:rsidRPr="00B45C66">
        <w:rPr>
          <w:rFonts w:ascii="Times New Roman" w:eastAsia="Times New Roman" w:hAnsi="Times New Roman"/>
          <w:sz w:val="24"/>
          <w:szCs w:val="24"/>
          <w:lang w:val="lv-LV" w:eastAsia="en-GB"/>
        </w:rPr>
        <w:t xml:space="preserve">ās klienta tiesības izvēlēties pakalpojuma sniedzēju un nodrošinās konkurenci starp elektronisko sakaru komersantiem ar cenu un pakalpojuma kvalitāti. </w:t>
      </w:r>
      <w:r w:rsidR="00B45C66" w:rsidRPr="00B45C66">
        <w:rPr>
          <w:rFonts w:ascii="Times New Roman" w:eastAsia="Times New Roman" w:hAnsi="Times New Roman"/>
          <w:sz w:val="24"/>
          <w:szCs w:val="24"/>
          <w:lang w:val="lv-LV" w:eastAsia="en-GB"/>
        </w:rPr>
        <w:t>Subsidētā tīkla</w:t>
      </w:r>
      <w:r w:rsidR="00223915">
        <w:rPr>
          <w:rFonts w:ascii="Times New Roman" w:eastAsia="Times New Roman" w:hAnsi="Times New Roman"/>
          <w:sz w:val="24"/>
          <w:szCs w:val="24"/>
          <w:lang w:val="lv-LV" w:eastAsia="en-GB"/>
        </w:rPr>
        <w:t>m</w:t>
      </w:r>
      <w:r w:rsidR="00B45C66" w:rsidRPr="00B45C66">
        <w:rPr>
          <w:rFonts w:ascii="Times New Roman" w:eastAsia="Times New Roman" w:hAnsi="Times New Roman"/>
          <w:sz w:val="24"/>
          <w:szCs w:val="24"/>
          <w:lang w:val="lv-LV" w:eastAsia="en-GB"/>
        </w:rPr>
        <w:t xml:space="preserve"> ir jānodrošina vairumtirdzniecība </w:t>
      </w:r>
      <w:r w:rsidR="007E4460">
        <w:rPr>
          <w:rFonts w:ascii="Times New Roman" w:eastAsia="Times New Roman" w:hAnsi="Times New Roman"/>
          <w:sz w:val="24"/>
          <w:szCs w:val="24"/>
          <w:lang w:val="lv-LV" w:eastAsia="en-GB"/>
        </w:rPr>
        <w:t xml:space="preserve">līdzīgi </w:t>
      </w:r>
      <w:r w:rsidR="00B45C66" w:rsidRPr="00B45C66">
        <w:rPr>
          <w:rFonts w:ascii="Times New Roman" w:eastAsia="Times New Roman" w:hAnsi="Times New Roman"/>
          <w:sz w:val="24"/>
          <w:szCs w:val="24"/>
          <w:lang w:val="lv-LV" w:eastAsia="en-GB"/>
        </w:rPr>
        <w:t>kā komersantam ar būtisku ietekmi tirgū</w:t>
      </w:r>
      <w:r w:rsidR="007E4460">
        <w:rPr>
          <w:rFonts w:ascii="Times New Roman" w:eastAsia="Times New Roman" w:hAnsi="Times New Roman"/>
          <w:sz w:val="24"/>
          <w:szCs w:val="24"/>
          <w:lang w:val="lv-LV" w:eastAsia="en-GB"/>
        </w:rPr>
        <w:t xml:space="preserve">, ko regulē </w:t>
      </w:r>
      <w:r w:rsidR="00F5703F">
        <w:rPr>
          <w:rFonts w:ascii="Times New Roman" w:eastAsia="Times New Roman" w:hAnsi="Times New Roman"/>
          <w:sz w:val="24"/>
          <w:szCs w:val="24"/>
          <w:lang w:val="lv-LV" w:eastAsia="en-GB"/>
        </w:rPr>
        <w:t>p</w:t>
      </w:r>
      <w:r w:rsidR="00B45C66" w:rsidRPr="00B45C66">
        <w:rPr>
          <w:rFonts w:ascii="Times New Roman" w:eastAsia="Times New Roman" w:hAnsi="Times New Roman"/>
          <w:sz w:val="24"/>
          <w:szCs w:val="24"/>
          <w:lang w:val="lv-LV" w:eastAsia="en-GB"/>
        </w:rPr>
        <w:t xml:space="preserve">iekļuves, saistītu iekārtu kopīgas izmantošanas, piekļuves datu plūsmai un atsaistītas piekļuves abonentlīnijām </w:t>
      </w:r>
      <w:proofErr w:type="spellStart"/>
      <w:r w:rsidR="00B45C66" w:rsidRPr="00B45C66">
        <w:rPr>
          <w:rFonts w:ascii="Times New Roman" w:eastAsia="Times New Roman" w:hAnsi="Times New Roman"/>
          <w:sz w:val="24"/>
          <w:szCs w:val="24"/>
          <w:lang w:val="lv-LV" w:eastAsia="en-GB"/>
        </w:rPr>
        <w:t>pamatpiedāvājuma</w:t>
      </w:r>
      <w:proofErr w:type="spellEnd"/>
      <w:r w:rsidR="00B45C66" w:rsidRPr="00B45C66">
        <w:rPr>
          <w:rFonts w:ascii="Times New Roman" w:eastAsia="Times New Roman" w:hAnsi="Times New Roman"/>
          <w:sz w:val="24"/>
          <w:szCs w:val="24"/>
          <w:lang w:val="lv-LV" w:eastAsia="en-GB"/>
        </w:rPr>
        <w:t xml:space="preserve"> noteikumi (turpmāk – Noteikumi)</w:t>
      </w:r>
      <w:r w:rsidR="00E77B02">
        <w:rPr>
          <w:rFonts w:ascii="Times New Roman" w:eastAsia="Times New Roman" w:hAnsi="Times New Roman"/>
          <w:sz w:val="24"/>
          <w:szCs w:val="24"/>
          <w:lang w:val="lv-LV" w:eastAsia="en-GB"/>
        </w:rPr>
        <w:t>, kas</w:t>
      </w:r>
      <w:r w:rsidR="00B45C66" w:rsidRPr="00B45C66">
        <w:rPr>
          <w:rFonts w:ascii="Times New Roman" w:eastAsia="Times New Roman" w:hAnsi="Times New Roman"/>
          <w:sz w:val="24"/>
          <w:szCs w:val="24"/>
          <w:lang w:val="lv-LV" w:eastAsia="en-GB"/>
        </w:rPr>
        <w:t xml:space="preserve"> nosaka:</w:t>
      </w:r>
    </w:p>
    <w:p w14:paraId="0E225B47" w14:textId="153190B6" w:rsidR="00B45C66" w:rsidRPr="00B45C66" w:rsidRDefault="00B45C66" w:rsidP="00B45C66">
      <w:pPr>
        <w:keepNext/>
        <w:tabs>
          <w:tab w:val="left" w:pos="3119"/>
        </w:tabs>
        <w:spacing w:before="120" w:after="120" w:line="240" w:lineRule="auto"/>
        <w:ind w:left="709"/>
        <w:jc w:val="both"/>
        <w:rPr>
          <w:rFonts w:ascii="Times New Roman" w:eastAsia="Times New Roman" w:hAnsi="Times New Roman"/>
          <w:sz w:val="24"/>
          <w:szCs w:val="24"/>
          <w:lang w:val="lv-LV" w:eastAsia="en-GB"/>
        </w:rPr>
      </w:pPr>
      <w:r w:rsidRPr="00B45C66">
        <w:rPr>
          <w:rFonts w:ascii="Times New Roman" w:eastAsia="Times New Roman" w:hAnsi="Times New Roman"/>
          <w:sz w:val="24"/>
          <w:szCs w:val="24"/>
          <w:lang w:val="lv-LV" w:eastAsia="en-GB"/>
        </w:rPr>
        <w:t xml:space="preserve">1.1. kārtību un termiņus, kādā elektronisko sakaru komersants ar būtisku ietekmi tirgū, kuram Sabiedrisko pakalpojumu regulēšanas komisija ir noteikusi attiecīgu saistību, izstrādā un publicē </w:t>
      </w:r>
      <w:proofErr w:type="spellStart"/>
      <w:r w:rsidRPr="00B45C66">
        <w:rPr>
          <w:rFonts w:ascii="Times New Roman" w:eastAsia="Times New Roman" w:hAnsi="Times New Roman"/>
          <w:sz w:val="24"/>
          <w:szCs w:val="24"/>
          <w:lang w:val="lv-LV" w:eastAsia="en-GB"/>
        </w:rPr>
        <w:t>pamatpiedāvājumu</w:t>
      </w:r>
      <w:proofErr w:type="spellEnd"/>
      <w:r w:rsidRPr="00B45C66">
        <w:rPr>
          <w:rFonts w:ascii="Times New Roman" w:eastAsia="Times New Roman" w:hAnsi="Times New Roman"/>
          <w:sz w:val="24"/>
          <w:szCs w:val="24"/>
          <w:lang w:val="lv-LV" w:eastAsia="en-GB"/>
        </w:rPr>
        <w:t xml:space="preserve"> piekļuves, saistītu iekārtu kopīgas izmantošanas, piekļuves datu plūsmai, atsaistītas piekļuves abonentlīnijām (turpmāk – </w:t>
      </w:r>
      <w:proofErr w:type="spellStart"/>
      <w:r w:rsidRPr="00B45C66">
        <w:rPr>
          <w:rFonts w:ascii="Times New Roman" w:eastAsia="Times New Roman" w:hAnsi="Times New Roman"/>
          <w:sz w:val="24"/>
          <w:szCs w:val="24"/>
          <w:lang w:val="lv-LV" w:eastAsia="en-GB"/>
        </w:rPr>
        <w:t>pamatpiedāvājums</w:t>
      </w:r>
      <w:proofErr w:type="spellEnd"/>
      <w:r w:rsidRPr="00B45C66">
        <w:rPr>
          <w:rFonts w:ascii="Times New Roman" w:eastAsia="Times New Roman" w:hAnsi="Times New Roman"/>
          <w:sz w:val="24"/>
          <w:szCs w:val="24"/>
          <w:lang w:val="lv-LV" w:eastAsia="en-GB"/>
        </w:rPr>
        <w:t xml:space="preserve">) un publisko informāciju par uzskaiti, tehniskajiem un tīkla </w:t>
      </w:r>
      <w:proofErr w:type="spellStart"/>
      <w:r w:rsidRPr="00B45C66">
        <w:rPr>
          <w:rFonts w:ascii="Times New Roman" w:eastAsia="Times New Roman" w:hAnsi="Times New Roman"/>
          <w:sz w:val="24"/>
          <w:szCs w:val="24"/>
          <w:lang w:val="lv-LV" w:eastAsia="en-GB"/>
        </w:rPr>
        <w:t>raksturparametriem</w:t>
      </w:r>
      <w:proofErr w:type="spellEnd"/>
      <w:r w:rsidRPr="00B45C66">
        <w:rPr>
          <w:rFonts w:ascii="Times New Roman" w:eastAsia="Times New Roman" w:hAnsi="Times New Roman"/>
          <w:sz w:val="24"/>
          <w:szCs w:val="24"/>
          <w:lang w:val="lv-LV" w:eastAsia="en-GB"/>
        </w:rPr>
        <w:t>, cenu un tarifu, piekļuves nodrošināšanas un izmantošanas nosacījumiem;</w:t>
      </w:r>
    </w:p>
    <w:p w14:paraId="271925A6" w14:textId="43794430" w:rsidR="00B45C66" w:rsidRPr="00B45C66" w:rsidRDefault="00B45C66" w:rsidP="00B45C66">
      <w:pPr>
        <w:keepNext/>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B45C66">
        <w:rPr>
          <w:rFonts w:ascii="Times New Roman" w:eastAsia="Times New Roman" w:hAnsi="Times New Roman"/>
          <w:sz w:val="24"/>
          <w:szCs w:val="24"/>
          <w:lang w:val="lv-LV" w:eastAsia="en-GB"/>
        </w:rPr>
        <w:t xml:space="preserve">1.2. prasības attiecībā uz informācijas publiskošanu, </w:t>
      </w:r>
      <w:proofErr w:type="spellStart"/>
      <w:r w:rsidRPr="00B45C66">
        <w:rPr>
          <w:rFonts w:ascii="Times New Roman" w:eastAsia="Times New Roman" w:hAnsi="Times New Roman"/>
          <w:sz w:val="24"/>
          <w:szCs w:val="24"/>
          <w:lang w:val="lv-LV" w:eastAsia="en-GB"/>
        </w:rPr>
        <w:t>pamatpiedāvājumā</w:t>
      </w:r>
      <w:proofErr w:type="spellEnd"/>
      <w:r w:rsidRPr="00B45C66">
        <w:rPr>
          <w:rFonts w:ascii="Times New Roman" w:eastAsia="Times New Roman" w:hAnsi="Times New Roman"/>
          <w:sz w:val="24"/>
          <w:szCs w:val="24"/>
          <w:lang w:val="lv-LV" w:eastAsia="en-GB"/>
        </w:rPr>
        <w:t xml:space="preserve"> ietveramo informāciju, nepieciešamo tās detalizācijas līmeni un </w:t>
      </w:r>
      <w:proofErr w:type="spellStart"/>
      <w:r w:rsidRPr="00B45C66">
        <w:rPr>
          <w:rFonts w:ascii="Times New Roman" w:eastAsia="Times New Roman" w:hAnsi="Times New Roman"/>
          <w:sz w:val="24"/>
          <w:szCs w:val="24"/>
          <w:lang w:val="lv-LV" w:eastAsia="en-GB"/>
        </w:rPr>
        <w:t>pamatpiedāvājuma</w:t>
      </w:r>
      <w:proofErr w:type="spellEnd"/>
      <w:r w:rsidRPr="00B45C66">
        <w:rPr>
          <w:rFonts w:ascii="Times New Roman" w:eastAsia="Times New Roman" w:hAnsi="Times New Roman"/>
          <w:sz w:val="24"/>
          <w:szCs w:val="24"/>
          <w:lang w:val="lv-LV" w:eastAsia="en-GB"/>
        </w:rPr>
        <w:t xml:space="preserve"> publicēšanu.</w:t>
      </w:r>
    </w:p>
    <w:p w14:paraId="101CD75A" w14:textId="6A1FB22F" w:rsidR="004D43E9" w:rsidRDefault="004D43E9" w:rsidP="004D43E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732A13">
        <w:rPr>
          <w:rFonts w:ascii="Times New Roman" w:eastAsia="Times New Roman" w:hAnsi="Times New Roman"/>
          <w:sz w:val="24"/>
          <w:szCs w:val="24"/>
          <w:lang w:val="lv-LV" w:eastAsia="en-GB"/>
        </w:rPr>
        <w:t>Pienākums – brīva piekļuve infrastruktūrai – būs spēkā visu infrastruktūras darbības laiku.</w:t>
      </w:r>
    </w:p>
    <w:p w14:paraId="3D7E6193" w14:textId="77777777" w:rsidR="00C40620" w:rsidRPr="00C40620"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lastRenderedPageBreak/>
        <w:t>Vairumtirdzniecības līmeņa piekļuves cenas</w:t>
      </w:r>
    </w:p>
    <w:p w14:paraId="347221FD" w14:textId="77777777" w:rsidR="00C40620" w:rsidRPr="00EC24AB" w:rsidRDefault="00C40620" w:rsidP="00A5042E">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EC24AB">
        <w:rPr>
          <w:rFonts w:ascii="Times New Roman" w:eastAsia="Times New Roman" w:hAnsi="Times New Roman"/>
          <w:sz w:val="24"/>
          <w:szCs w:val="24"/>
          <w:lang w:val="lv-LV" w:eastAsia="lv-LV" w:bidi="lv-LV"/>
        </w:rPr>
        <w:t xml:space="preserve">Lūdzu, paskaidrojiet, kā tiks noteiktas piekļuves </w:t>
      </w:r>
      <w:proofErr w:type="spellStart"/>
      <w:r w:rsidRPr="00EC24AB">
        <w:rPr>
          <w:rFonts w:ascii="Times New Roman" w:eastAsia="Times New Roman" w:hAnsi="Times New Roman"/>
          <w:sz w:val="24"/>
          <w:szCs w:val="24"/>
          <w:lang w:val="lv-LV" w:eastAsia="lv-LV" w:bidi="lv-LV"/>
        </w:rPr>
        <w:t>etaloncenas</w:t>
      </w:r>
      <w:proofErr w:type="spellEnd"/>
      <w:r w:rsidRPr="00EC24AB">
        <w:rPr>
          <w:rFonts w:ascii="Times New Roman" w:eastAsia="Times New Roman" w:hAnsi="Times New Roman"/>
          <w:sz w:val="24"/>
          <w:szCs w:val="24"/>
          <w:lang w:val="lv-LV" w:eastAsia="lv-LV" w:bidi="lv-LV"/>
        </w:rPr>
        <w:t>:</w:t>
      </w:r>
    </w:p>
    <w:p w14:paraId="198EBBBB" w14:textId="1471112B" w:rsidR="0059495B" w:rsidRPr="008A6EFD"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8A6EFD">
        <w:rPr>
          <w:rFonts w:ascii="Times New Roman" w:eastAsia="Times New Roman" w:hAnsi="Times New Roman"/>
          <w:sz w:val="24"/>
          <w:szCs w:val="24"/>
          <w:lang w:val="lv-LV" w:eastAsia="en-GB"/>
        </w:rPr>
        <w:t xml:space="preserve">Vairumtirdzniecības pakalpojuma tarifus noteiks Satiksmes ministrijas </w:t>
      </w:r>
      <w:r w:rsidR="007A2640" w:rsidRPr="007A2640">
        <w:rPr>
          <w:rFonts w:ascii="Times New Roman" w:eastAsia="Times New Roman" w:hAnsi="Times New Roman"/>
          <w:sz w:val="24"/>
          <w:szCs w:val="24"/>
          <w:lang w:val="lv-LV" w:eastAsia="en-GB"/>
        </w:rPr>
        <w:t>Subsidēto elektronisko sakaru tīklu uzraudzības komitej</w:t>
      </w:r>
      <w:r w:rsidR="007A2640">
        <w:rPr>
          <w:rFonts w:ascii="Times New Roman" w:eastAsia="Times New Roman" w:hAnsi="Times New Roman"/>
          <w:sz w:val="24"/>
          <w:szCs w:val="24"/>
          <w:lang w:val="lv-LV" w:eastAsia="en-GB"/>
        </w:rPr>
        <w:t>a</w:t>
      </w:r>
      <w:r w:rsidR="00275EA7">
        <w:rPr>
          <w:rStyle w:val="FootnoteReference"/>
          <w:rFonts w:ascii="Times New Roman" w:eastAsia="Times New Roman" w:hAnsi="Times New Roman"/>
          <w:sz w:val="24"/>
          <w:szCs w:val="24"/>
          <w:lang w:val="lv-LV" w:eastAsia="en-GB"/>
        </w:rPr>
        <w:footnoteReference w:id="19"/>
      </w:r>
      <w:r w:rsidR="006F16F2" w:rsidRPr="008A6EFD">
        <w:rPr>
          <w:rFonts w:ascii="Times New Roman" w:eastAsia="Times New Roman" w:hAnsi="Times New Roman"/>
          <w:sz w:val="24"/>
          <w:szCs w:val="24"/>
          <w:lang w:val="lv-LV" w:eastAsia="en-GB"/>
        </w:rPr>
        <w:t xml:space="preserve">, </w:t>
      </w:r>
      <w:r w:rsidRPr="008A6EFD">
        <w:rPr>
          <w:rFonts w:ascii="Times New Roman" w:eastAsia="Times New Roman" w:hAnsi="Times New Roman"/>
          <w:sz w:val="24"/>
          <w:szCs w:val="24"/>
          <w:lang w:val="lv-LV" w:eastAsia="en-GB"/>
        </w:rPr>
        <w:t xml:space="preserve">saskaņojot </w:t>
      </w:r>
      <w:r w:rsidR="00EC24AB" w:rsidRPr="008A6EFD">
        <w:rPr>
          <w:rFonts w:ascii="Times New Roman" w:eastAsia="Times New Roman" w:hAnsi="Times New Roman"/>
          <w:sz w:val="24"/>
          <w:szCs w:val="24"/>
          <w:lang w:val="lv-LV" w:eastAsia="en-GB"/>
        </w:rPr>
        <w:t>tos ar</w:t>
      </w:r>
      <w:r w:rsidRPr="008A6EFD">
        <w:rPr>
          <w:rFonts w:ascii="Times New Roman" w:eastAsia="Times New Roman" w:hAnsi="Times New Roman"/>
          <w:sz w:val="24"/>
          <w:szCs w:val="24"/>
          <w:lang w:val="lv-LV" w:eastAsia="en-GB"/>
        </w:rPr>
        <w:t xml:space="preserve"> </w:t>
      </w:r>
      <w:r w:rsidR="00BF77DC" w:rsidRPr="008A6EFD">
        <w:rPr>
          <w:rFonts w:ascii="Times New Roman" w:eastAsia="Times New Roman" w:hAnsi="Times New Roman"/>
          <w:sz w:val="24"/>
          <w:szCs w:val="24"/>
          <w:lang w:val="lv-LV" w:eastAsia="en-GB"/>
        </w:rPr>
        <w:t>Sabiedrisko pakalpojumu regulēšanas komisiju</w:t>
      </w:r>
      <w:r w:rsidR="00EC24AB" w:rsidRPr="008A6EFD">
        <w:rPr>
          <w:rFonts w:ascii="Times New Roman" w:eastAsia="Times New Roman" w:hAnsi="Times New Roman"/>
          <w:sz w:val="24"/>
          <w:szCs w:val="24"/>
          <w:lang w:val="lv-LV" w:eastAsia="en-GB"/>
        </w:rPr>
        <w:t xml:space="preserve">. </w:t>
      </w:r>
      <w:r w:rsidRPr="008A6EFD">
        <w:rPr>
          <w:rFonts w:ascii="Times New Roman" w:eastAsia="Times New Roman" w:hAnsi="Times New Roman"/>
          <w:sz w:val="24"/>
          <w:szCs w:val="24"/>
          <w:lang w:val="lv-LV" w:eastAsia="en-GB"/>
        </w:rPr>
        <w:t>Tarifi tiks piemēroti visiem elektronisko sakaru operatoriem.</w:t>
      </w:r>
    </w:p>
    <w:p w14:paraId="13C4C017" w14:textId="77777777" w:rsidR="0059495B" w:rsidRPr="008A6EFD"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8A6EFD">
        <w:rPr>
          <w:rFonts w:ascii="Times New Roman" w:eastAsia="Times New Roman" w:hAnsi="Times New Roman"/>
          <w:sz w:val="24"/>
          <w:szCs w:val="24"/>
          <w:lang w:val="lv-LV" w:eastAsia="en-GB"/>
        </w:rPr>
        <w:t>Vairumtirdzniecības tarifi būs balstīti uz izmaksām (izmaksas, kuras segs no publiskā finansējuma, netiks ņemtas vērā)</w:t>
      </w:r>
      <w:r w:rsidR="00BF77DC" w:rsidRPr="008A6EFD">
        <w:rPr>
          <w:rFonts w:ascii="Times New Roman" w:eastAsia="Times New Roman" w:hAnsi="Times New Roman"/>
          <w:sz w:val="24"/>
          <w:szCs w:val="24"/>
          <w:lang w:val="lv-LV" w:eastAsia="en-GB"/>
        </w:rPr>
        <w:t>, savukārt, b</w:t>
      </w:r>
      <w:r w:rsidRPr="008A6EFD">
        <w:rPr>
          <w:rFonts w:ascii="Times New Roman" w:eastAsia="Times New Roman" w:hAnsi="Times New Roman"/>
          <w:sz w:val="24"/>
          <w:szCs w:val="24"/>
          <w:lang w:val="lv-LV" w:eastAsia="en-GB"/>
        </w:rPr>
        <w:t>ūvniecības un uzturēšanas izmaksas noteiks izmaksu uzskaites metodika.</w:t>
      </w:r>
    </w:p>
    <w:p w14:paraId="7E09ECF2" w14:textId="77777777" w:rsidR="0059495B" w:rsidRPr="008A6EFD"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8A6EFD">
        <w:rPr>
          <w:rFonts w:ascii="Times New Roman" w:eastAsia="Times New Roman" w:hAnsi="Times New Roman"/>
          <w:sz w:val="24"/>
          <w:szCs w:val="24"/>
          <w:lang w:val="lv-LV" w:eastAsia="en-GB"/>
        </w:rPr>
        <w:t>Pēc tarifu aprēķināšanas, kuru pamatā ir izmaksas, tie tiks vērtēti, ņemot vērā:</w:t>
      </w:r>
    </w:p>
    <w:p w14:paraId="5DD401C3" w14:textId="77777777" w:rsidR="00BF77DC" w:rsidRPr="008A6EFD"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8A6EFD">
        <w:rPr>
          <w:rFonts w:ascii="Times New Roman" w:eastAsia="Times New Roman" w:hAnsi="Times New Roman"/>
          <w:sz w:val="24"/>
          <w:szCs w:val="24"/>
          <w:lang w:val="lv-LV" w:eastAsia="en-GB"/>
        </w:rPr>
        <w:t>1)</w:t>
      </w:r>
      <w:r w:rsidR="0059495B" w:rsidRPr="008A6EFD">
        <w:rPr>
          <w:rFonts w:ascii="Times New Roman" w:eastAsia="Times New Roman" w:hAnsi="Times New Roman"/>
          <w:sz w:val="24"/>
          <w:szCs w:val="24"/>
          <w:lang w:val="lv-LV" w:eastAsia="en-GB"/>
        </w:rPr>
        <w:t xml:space="preserve"> </w:t>
      </w:r>
      <w:r w:rsidRPr="008A6EFD">
        <w:rPr>
          <w:rFonts w:ascii="Times New Roman" w:eastAsia="Times New Roman" w:hAnsi="Times New Roman"/>
          <w:sz w:val="24"/>
          <w:szCs w:val="24"/>
          <w:lang w:val="lv-LV" w:eastAsia="en-GB"/>
        </w:rPr>
        <w:t>vidējo publicēto vairumcenu citā attiecīgās dalībvalsts vai Savienības salīdzināmā zonā, kurā konkurence ir aktīvāka, vai,</w:t>
      </w:r>
    </w:p>
    <w:p w14:paraId="29548DCD" w14:textId="77777777" w:rsidR="00BF77DC" w:rsidRPr="008A6EFD"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8A6EFD">
        <w:rPr>
          <w:rFonts w:ascii="Times New Roman" w:eastAsia="Times New Roman" w:hAnsi="Times New Roman"/>
          <w:sz w:val="24"/>
          <w:szCs w:val="24"/>
          <w:lang w:val="lv-LV" w:eastAsia="en-GB"/>
        </w:rPr>
        <w:t>2) ja tādas publicētas cenas nav, tad regulētās cenas, kuras Sabiedrisko pakalpojumu regulēšanas komisija jau ir noteikusi vai apstiprinājusi attiecīgajiem tirgiem un pakalpojumiem, vai,</w:t>
      </w:r>
    </w:p>
    <w:p w14:paraId="2BD0C3E5" w14:textId="77777777" w:rsidR="00BF77DC" w:rsidRPr="008A6EFD"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8A6EFD">
        <w:rPr>
          <w:rFonts w:ascii="Times New Roman" w:eastAsia="Times New Roman" w:hAnsi="Times New Roman"/>
          <w:sz w:val="24"/>
          <w:szCs w:val="24"/>
          <w:lang w:val="lv-LV" w:eastAsia="en-GB"/>
        </w:rPr>
        <w:t>3) ja tādas publicētas vai regulētas cenas nav, tad cenu orientācija vai metodika, kas noteikta saskaņā ar nozares tiesisko regulējumu.</w:t>
      </w:r>
    </w:p>
    <w:p w14:paraId="02F7FA8B" w14:textId="7E1B57A6" w:rsidR="0059495B" w:rsidRPr="008A6EFD" w:rsidRDefault="0059495B" w:rsidP="00BF77DC">
      <w:pPr>
        <w:tabs>
          <w:tab w:val="left" w:pos="2161"/>
        </w:tabs>
        <w:spacing w:before="120" w:after="120" w:line="240" w:lineRule="auto"/>
        <w:ind w:left="567"/>
        <w:jc w:val="both"/>
        <w:rPr>
          <w:rFonts w:ascii="Times New Roman" w:eastAsia="Times New Roman" w:hAnsi="Times New Roman"/>
          <w:sz w:val="24"/>
          <w:szCs w:val="24"/>
          <w:lang w:val="lv-LV" w:eastAsia="en-GB"/>
        </w:rPr>
      </w:pPr>
      <w:r w:rsidRPr="008A6EFD">
        <w:rPr>
          <w:rFonts w:ascii="Times New Roman" w:eastAsia="Times New Roman" w:hAnsi="Times New Roman"/>
          <w:sz w:val="24"/>
          <w:szCs w:val="24"/>
          <w:lang w:val="lv-LV" w:eastAsia="en-GB"/>
        </w:rPr>
        <w:t xml:space="preserve">Ņemot vērā salīdzinošās novērtēšanas rezultātus, Satiksmes ministrijas </w:t>
      </w:r>
      <w:r w:rsidR="004D549A" w:rsidRPr="007A2640">
        <w:rPr>
          <w:rFonts w:ascii="Times New Roman" w:eastAsia="Times New Roman" w:hAnsi="Times New Roman"/>
          <w:sz w:val="24"/>
          <w:szCs w:val="24"/>
          <w:lang w:val="lv-LV" w:eastAsia="en-GB"/>
        </w:rPr>
        <w:t>Subsidēto elektronisko sakaru tīklu uzraudzības komitej</w:t>
      </w:r>
      <w:r w:rsidR="004D549A">
        <w:rPr>
          <w:rFonts w:ascii="Times New Roman" w:eastAsia="Times New Roman" w:hAnsi="Times New Roman"/>
          <w:sz w:val="24"/>
          <w:szCs w:val="24"/>
          <w:lang w:val="lv-LV" w:eastAsia="en-GB"/>
        </w:rPr>
        <w:t>a</w:t>
      </w:r>
      <w:r w:rsidRPr="008A6EFD">
        <w:rPr>
          <w:rFonts w:ascii="Times New Roman" w:eastAsia="Times New Roman" w:hAnsi="Times New Roman"/>
          <w:sz w:val="24"/>
          <w:szCs w:val="24"/>
          <w:lang w:val="lv-LV" w:eastAsia="en-GB"/>
        </w:rPr>
        <w:t xml:space="preserve"> veiks konsultācijas ar </w:t>
      </w:r>
      <w:r w:rsidR="00BF77DC" w:rsidRPr="008A6EFD">
        <w:rPr>
          <w:rFonts w:ascii="Times New Roman" w:eastAsia="Times New Roman" w:hAnsi="Times New Roman"/>
          <w:sz w:val="24"/>
          <w:szCs w:val="24"/>
          <w:lang w:val="lv-LV" w:eastAsia="en-GB"/>
        </w:rPr>
        <w:t>Sabiedrisko pakalpojumu regulēšanas komisiju</w:t>
      </w:r>
      <w:r w:rsidRPr="008A6EFD">
        <w:rPr>
          <w:rFonts w:ascii="Times New Roman" w:eastAsia="Times New Roman" w:hAnsi="Times New Roman"/>
          <w:sz w:val="24"/>
          <w:szCs w:val="24"/>
          <w:lang w:val="lv-LV" w:eastAsia="en-GB"/>
        </w:rPr>
        <w:t xml:space="preserve">. </w:t>
      </w:r>
      <w:r w:rsidR="004D549A" w:rsidRPr="007A2640">
        <w:rPr>
          <w:rFonts w:ascii="Times New Roman" w:eastAsia="Times New Roman" w:hAnsi="Times New Roman"/>
          <w:sz w:val="24"/>
          <w:szCs w:val="24"/>
          <w:lang w:val="lv-LV" w:eastAsia="en-GB"/>
        </w:rPr>
        <w:t>Subsidēto elektronisko sakaru tīklu uzraudzības komitej</w:t>
      </w:r>
      <w:r w:rsidR="004D549A">
        <w:rPr>
          <w:rFonts w:ascii="Times New Roman" w:eastAsia="Times New Roman" w:hAnsi="Times New Roman"/>
          <w:sz w:val="24"/>
          <w:szCs w:val="24"/>
          <w:lang w:val="lv-LV" w:eastAsia="en-GB"/>
        </w:rPr>
        <w:t>a</w:t>
      </w:r>
      <w:r w:rsidR="002D3EDC" w:rsidRPr="008A6EFD">
        <w:rPr>
          <w:rFonts w:ascii="Times New Roman" w:eastAsia="Times New Roman" w:hAnsi="Times New Roman"/>
          <w:sz w:val="24"/>
          <w:szCs w:val="24"/>
          <w:lang w:val="lv-LV" w:eastAsia="en-GB"/>
        </w:rPr>
        <w:t xml:space="preserve"> </w:t>
      </w:r>
      <w:r w:rsidRPr="008A6EFD">
        <w:rPr>
          <w:rFonts w:ascii="Times New Roman" w:eastAsia="Times New Roman" w:hAnsi="Times New Roman"/>
          <w:sz w:val="24"/>
          <w:szCs w:val="24"/>
          <w:lang w:val="lv-LV" w:eastAsia="en-GB"/>
        </w:rPr>
        <w:t>nodrošina, ka vairumtirdzniecības piekļuves cenas subsidētā tīklā ir pamatotas.</w:t>
      </w:r>
    </w:p>
    <w:p w14:paraId="7E534B82" w14:textId="7B78FAEC" w:rsidR="0059495B" w:rsidRPr="003F7985"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3F7985">
        <w:rPr>
          <w:rFonts w:ascii="Times New Roman" w:eastAsia="Times New Roman" w:hAnsi="Times New Roman"/>
          <w:sz w:val="24"/>
          <w:szCs w:val="24"/>
          <w:lang w:val="lv-LV" w:eastAsia="en-GB"/>
        </w:rPr>
        <w:t>Lai nodrošinātu noteiktā tarifa atbilstību izmaks</w:t>
      </w:r>
      <w:r w:rsidR="00BF77DC" w:rsidRPr="003F7985">
        <w:rPr>
          <w:rFonts w:ascii="Times New Roman" w:eastAsia="Times New Roman" w:hAnsi="Times New Roman"/>
          <w:sz w:val="24"/>
          <w:szCs w:val="24"/>
          <w:lang w:val="lv-LV" w:eastAsia="en-GB"/>
        </w:rPr>
        <w:t>ām</w:t>
      </w:r>
      <w:r w:rsidR="0070382C" w:rsidRPr="003F7985">
        <w:rPr>
          <w:rFonts w:ascii="Times New Roman" w:eastAsia="Times New Roman" w:hAnsi="Times New Roman"/>
          <w:sz w:val="24"/>
          <w:szCs w:val="24"/>
          <w:lang w:val="lv-LV" w:eastAsia="en-GB"/>
        </w:rPr>
        <w:t xml:space="preserve">, </w:t>
      </w:r>
      <w:r w:rsidRPr="003F7985">
        <w:rPr>
          <w:rFonts w:ascii="Times New Roman" w:eastAsia="Times New Roman" w:hAnsi="Times New Roman"/>
          <w:sz w:val="24"/>
          <w:szCs w:val="24"/>
          <w:lang w:val="lv-LV" w:eastAsia="en-GB"/>
        </w:rPr>
        <w:t>tiks nodrošināta tarifa regulāra pārskatīšana</w:t>
      </w:r>
      <w:r w:rsidR="006F16F2" w:rsidRPr="003F7985">
        <w:rPr>
          <w:rFonts w:ascii="Times New Roman" w:eastAsia="Times New Roman" w:hAnsi="Times New Roman"/>
          <w:sz w:val="24"/>
          <w:szCs w:val="24"/>
          <w:lang w:val="lv-LV" w:eastAsia="en-GB"/>
        </w:rPr>
        <w:t xml:space="preserve"> vismaz reizi </w:t>
      </w:r>
      <w:r w:rsidR="008A6EFD" w:rsidRPr="003F7985">
        <w:rPr>
          <w:rFonts w:ascii="Times New Roman" w:eastAsia="Times New Roman" w:hAnsi="Times New Roman"/>
          <w:sz w:val="24"/>
          <w:szCs w:val="24"/>
          <w:lang w:val="lv-LV" w:eastAsia="en-GB"/>
        </w:rPr>
        <w:t xml:space="preserve">trīs </w:t>
      </w:r>
      <w:r w:rsidR="006F16F2" w:rsidRPr="003F7985">
        <w:rPr>
          <w:rFonts w:ascii="Times New Roman" w:eastAsia="Times New Roman" w:hAnsi="Times New Roman"/>
          <w:sz w:val="24"/>
          <w:szCs w:val="24"/>
          <w:lang w:val="lv-LV" w:eastAsia="en-GB"/>
        </w:rPr>
        <w:t>gad</w:t>
      </w:r>
      <w:r w:rsidR="008A6EFD" w:rsidRPr="003F7985">
        <w:rPr>
          <w:rFonts w:ascii="Times New Roman" w:eastAsia="Times New Roman" w:hAnsi="Times New Roman"/>
          <w:sz w:val="24"/>
          <w:szCs w:val="24"/>
          <w:lang w:val="lv-LV" w:eastAsia="en-GB"/>
        </w:rPr>
        <w:t>os</w:t>
      </w:r>
      <w:r w:rsidR="006F16F2" w:rsidRPr="003F7985">
        <w:rPr>
          <w:rFonts w:ascii="Times New Roman" w:eastAsia="Times New Roman" w:hAnsi="Times New Roman"/>
          <w:sz w:val="24"/>
          <w:szCs w:val="24"/>
          <w:lang w:val="lv-LV" w:eastAsia="en-GB"/>
        </w:rPr>
        <w:t xml:space="preserve">. </w:t>
      </w:r>
      <w:r w:rsidRPr="003F7985">
        <w:rPr>
          <w:rFonts w:ascii="Times New Roman" w:eastAsia="Times New Roman" w:hAnsi="Times New Roman"/>
          <w:sz w:val="24"/>
          <w:szCs w:val="24"/>
          <w:lang w:val="lv-LV" w:eastAsia="en-GB"/>
        </w:rPr>
        <w:t>Pēc tarifa pārskatīšanas, nosakot plānotās izmaksas, ņem vērā iepriekšējā gada faktiskās izmaksas.</w:t>
      </w:r>
    </w:p>
    <w:p w14:paraId="5C84B017" w14:textId="79FE64E0" w:rsidR="0059495B" w:rsidRPr="003F7985"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3F7985">
        <w:rPr>
          <w:rFonts w:ascii="Times New Roman" w:eastAsia="Times New Roman" w:hAnsi="Times New Roman"/>
          <w:sz w:val="24"/>
          <w:szCs w:val="24"/>
          <w:lang w:val="lv-LV" w:eastAsia="en-GB"/>
        </w:rPr>
        <w:t xml:space="preserve">Pēc </w:t>
      </w:r>
      <w:r w:rsidR="0070382C" w:rsidRPr="003F7985">
        <w:rPr>
          <w:rFonts w:ascii="Times New Roman" w:eastAsia="Times New Roman" w:hAnsi="Times New Roman"/>
          <w:sz w:val="24"/>
          <w:szCs w:val="24"/>
          <w:lang w:val="lv-LV" w:eastAsia="en-GB"/>
        </w:rPr>
        <w:t>Sabiedrisko pakalpojumu regulēšanas komisij</w:t>
      </w:r>
      <w:r w:rsidR="00DC6242" w:rsidRPr="003F7985">
        <w:rPr>
          <w:rFonts w:ascii="Times New Roman" w:eastAsia="Times New Roman" w:hAnsi="Times New Roman"/>
          <w:sz w:val="24"/>
          <w:szCs w:val="24"/>
          <w:lang w:val="lv-LV" w:eastAsia="en-GB"/>
        </w:rPr>
        <w:t>as</w:t>
      </w:r>
      <w:r w:rsidR="0070382C" w:rsidRPr="003F7985">
        <w:rPr>
          <w:rFonts w:ascii="Times New Roman" w:eastAsia="Times New Roman" w:hAnsi="Times New Roman"/>
          <w:sz w:val="24"/>
          <w:szCs w:val="24"/>
          <w:lang w:val="lv-LV" w:eastAsia="en-GB"/>
        </w:rPr>
        <w:t xml:space="preserve"> </w:t>
      </w:r>
      <w:r w:rsidRPr="003F7985">
        <w:rPr>
          <w:rFonts w:ascii="Times New Roman" w:eastAsia="Times New Roman" w:hAnsi="Times New Roman"/>
          <w:sz w:val="24"/>
          <w:szCs w:val="24"/>
          <w:lang w:val="lv-LV" w:eastAsia="en-GB"/>
        </w:rPr>
        <w:t xml:space="preserve">atzinumu saņemšanas </w:t>
      </w:r>
      <w:r w:rsidR="004D549A" w:rsidRPr="004D549A">
        <w:rPr>
          <w:rFonts w:ascii="Times New Roman" w:eastAsia="Times New Roman" w:hAnsi="Times New Roman"/>
          <w:sz w:val="24"/>
          <w:szCs w:val="24"/>
          <w:lang w:val="lv-LV" w:eastAsia="en-GB"/>
        </w:rPr>
        <w:t>Subsidēto elektronisko sakaru tīklu uzraudzības komiteja</w:t>
      </w:r>
      <w:r w:rsidR="002D3EDC" w:rsidRPr="003F7985">
        <w:rPr>
          <w:rFonts w:ascii="Times New Roman" w:eastAsia="Times New Roman" w:hAnsi="Times New Roman"/>
          <w:sz w:val="24"/>
          <w:szCs w:val="24"/>
          <w:lang w:val="lv-LV" w:eastAsia="en-GB"/>
        </w:rPr>
        <w:t xml:space="preserve"> </w:t>
      </w:r>
      <w:r w:rsidRPr="003F7985">
        <w:rPr>
          <w:rFonts w:ascii="Times New Roman" w:eastAsia="Times New Roman" w:hAnsi="Times New Roman"/>
          <w:sz w:val="24"/>
          <w:szCs w:val="24"/>
          <w:lang w:val="lv-LV" w:eastAsia="en-GB"/>
        </w:rPr>
        <w:t>noteiks vairumtirdzniecības pakalpojuma tarifus.</w:t>
      </w:r>
    </w:p>
    <w:p w14:paraId="6964487B" w14:textId="77777777" w:rsidR="0059495B" w:rsidRPr="003F7985"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3F7985">
        <w:rPr>
          <w:rFonts w:ascii="Times New Roman" w:eastAsia="Times New Roman" w:hAnsi="Times New Roman"/>
          <w:sz w:val="24"/>
          <w:szCs w:val="24"/>
          <w:lang w:val="lv-LV" w:eastAsia="en-GB"/>
        </w:rPr>
        <w:t xml:space="preserve">Šādam vairumtirdzniecības tarifu noteikšanas modelim </w:t>
      </w:r>
      <w:r w:rsidR="0070382C" w:rsidRPr="003F7985">
        <w:rPr>
          <w:rFonts w:ascii="Times New Roman" w:eastAsia="Times New Roman" w:hAnsi="Times New Roman"/>
          <w:sz w:val="24"/>
          <w:szCs w:val="24"/>
          <w:lang w:val="lv-LV" w:eastAsia="en-GB"/>
        </w:rPr>
        <w:t>ir</w:t>
      </w:r>
      <w:r w:rsidRPr="003F7985">
        <w:rPr>
          <w:rFonts w:ascii="Times New Roman" w:eastAsia="Times New Roman" w:hAnsi="Times New Roman"/>
          <w:sz w:val="24"/>
          <w:szCs w:val="24"/>
          <w:lang w:val="lv-LV" w:eastAsia="en-GB"/>
        </w:rPr>
        <w:t xml:space="preserve"> jānodrošina platjoslas pakalpojumu maksimāla izplatība un jārada operatoriem iespējas piedāvāt mazumtirdzniecības pakalpojumus par cenām, kas ir salīdzināmas ar vidējām cenām pilsētās vai citās teritorijās, kas negūst labumu no valsts atbalsta. </w:t>
      </w:r>
      <w:r w:rsidR="0070382C" w:rsidRPr="003F7985">
        <w:rPr>
          <w:rFonts w:ascii="Times New Roman" w:eastAsia="Times New Roman" w:hAnsi="Times New Roman"/>
          <w:sz w:val="24"/>
          <w:szCs w:val="24"/>
          <w:lang w:val="lv-LV" w:eastAsia="en-GB"/>
        </w:rPr>
        <w:t>Lai to nodrošinātu, t</w:t>
      </w:r>
      <w:r w:rsidRPr="003F7985">
        <w:rPr>
          <w:rFonts w:ascii="Times New Roman" w:eastAsia="Times New Roman" w:hAnsi="Times New Roman"/>
          <w:sz w:val="24"/>
          <w:szCs w:val="24"/>
          <w:lang w:val="lv-LV" w:eastAsia="en-GB"/>
        </w:rPr>
        <w:t xml:space="preserve">iks veikta pastāvīga vairumtirdzniecības cenu ietekmes </w:t>
      </w:r>
      <w:r w:rsidR="006D2092" w:rsidRPr="003F7985">
        <w:rPr>
          <w:rFonts w:ascii="Times New Roman" w:eastAsia="Times New Roman" w:hAnsi="Times New Roman"/>
          <w:sz w:val="24"/>
          <w:szCs w:val="24"/>
          <w:lang w:val="lv-LV" w:eastAsia="en-GB"/>
        </w:rPr>
        <w:t xml:space="preserve">novērtējums </w:t>
      </w:r>
      <w:r w:rsidRPr="003F7985">
        <w:rPr>
          <w:rFonts w:ascii="Times New Roman" w:eastAsia="Times New Roman" w:hAnsi="Times New Roman"/>
          <w:sz w:val="24"/>
          <w:szCs w:val="24"/>
          <w:lang w:val="lv-LV" w:eastAsia="en-GB"/>
        </w:rPr>
        <w:t>uz mazumtirdzniecības cen</w:t>
      </w:r>
      <w:r w:rsidR="006D2092" w:rsidRPr="003F7985">
        <w:rPr>
          <w:rFonts w:ascii="Times New Roman" w:eastAsia="Times New Roman" w:hAnsi="Times New Roman"/>
          <w:sz w:val="24"/>
          <w:szCs w:val="24"/>
          <w:lang w:val="lv-LV" w:eastAsia="en-GB"/>
        </w:rPr>
        <w:t>ām</w:t>
      </w:r>
      <w:r w:rsidRPr="003F7985">
        <w:rPr>
          <w:rFonts w:ascii="Times New Roman" w:eastAsia="Times New Roman" w:hAnsi="Times New Roman"/>
          <w:sz w:val="24"/>
          <w:szCs w:val="24"/>
          <w:lang w:val="lv-LV" w:eastAsia="en-GB"/>
        </w:rPr>
        <w:t>.</w:t>
      </w:r>
      <w:r w:rsidR="0070382C" w:rsidRPr="003F7985">
        <w:rPr>
          <w:rFonts w:ascii="Times New Roman" w:eastAsia="Times New Roman" w:hAnsi="Times New Roman"/>
          <w:sz w:val="24"/>
          <w:szCs w:val="24"/>
          <w:lang w:val="lv-LV" w:eastAsia="en-GB"/>
        </w:rPr>
        <w:t xml:space="preserve"> </w:t>
      </w:r>
    </w:p>
    <w:p w14:paraId="473D86A0" w14:textId="77777777" w:rsidR="0059495B" w:rsidRPr="003F7985"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3F7985">
        <w:rPr>
          <w:rFonts w:ascii="Times New Roman" w:eastAsia="Times New Roman" w:hAnsi="Times New Roman"/>
          <w:sz w:val="24"/>
          <w:szCs w:val="24"/>
          <w:lang w:val="lv-LV" w:eastAsia="en-GB"/>
        </w:rPr>
        <w:t>Iepriekš minētā vairumtirdzniecības tarifu politika nodrošinās efektīvu konkurenci mazumtirdzniecības līmenī, nodrošinot konkurētspējīgu un pieejamu pakalpojumu sniegšanu tiešajiem lietotājiem.</w:t>
      </w:r>
    </w:p>
    <w:p w14:paraId="1E629034" w14:textId="3A4F94E4" w:rsidR="0059495B" w:rsidRPr="003F7985"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3F7985">
        <w:rPr>
          <w:rFonts w:ascii="Times New Roman" w:eastAsia="Times New Roman" w:hAnsi="Times New Roman"/>
          <w:sz w:val="24"/>
          <w:szCs w:val="24"/>
          <w:lang w:val="lv-LV" w:eastAsia="en-GB"/>
        </w:rPr>
        <w:t xml:space="preserve">Neatkarīgi no </w:t>
      </w:r>
      <w:r w:rsidR="002D3EDC" w:rsidRPr="003F7985">
        <w:rPr>
          <w:rFonts w:ascii="Times New Roman" w:eastAsia="Times New Roman" w:hAnsi="Times New Roman"/>
          <w:sz w:val="24"/>
          <w:szCs w:val="24"/>
          <w:lang w:val="lv-LV" w:eastAsia="en-GB"/>
        </w:rPr>
        <w:t xml:space="preserve">pieņemtajiem lēmumiem </w:t>
      </w:r>
      <w:r w:rsidR="004D549A" w:rsidRPr="004D549A">
        <w:rPr>
          <w:rFonts w:ascii="Times New Roman" w:eastAsia="Times New Roman" w:hAnsi="Times New Roman"/>
          <w:sz w:val="24"/>
          <w:szCs w:val="24"/>
          <w:lang w:val="lv-LV" w:eastAsia="en-GB"/>
        </w:rPr>
        <w:t>Subsidēto elektronisko sakaru tīklu uzraudzības komitej</w:t>
      </w:r>
      <w:r w:rsidR="004D549A">
        <w:rPr>
          <w:rFonts w:ascii="Times New Roman" w:eastAsia="Times New Roman" w:hAnsi="Times New Roman"/>
          <w:sz w:val="24"/>
          <w:szCs w:val="24"/>
          <w:lang w:val="lv-LV" w:eastAsia="en-GB"/>
        </w:rPr>
        <w:t>ā</w:t>
      </w:r>
      <w:r w:rsidR="00800223">
        <w:rPr>
          <w:rFonts w:ascii="Times New Roman" w:eastAsia="Times New Roman" w:hAnsi="Times New Roman"/>
          <w:sz w:val="24"/>
          <w:szCs w:val="24"/>
          <w:lang w:val="lv-LV" w:eastAsia="en-GB"/>
        </w:rPr>
        <w:t xml:space="preserve"> </w:t>
      </w:r>
      <w:r w:rsidR="002D3EDC" w:rsidRPr="003F7985">
        <w:rPr>
          <w:rFonts w:ascii="Times New Roman" w:eastAsia="Times New Roman" w:hAnsi="Times New Roman"/>
          <w:sz w:val="24"/>
          <w:szCs w:val="24"/>
          <w:lang w:val="lv-LV" w:eastAsia="en-GB"/>
        </w:rPr>
        <w:t>Sabiedrisko pakalpojumu regulēšanas komisijai</w:t>
      </w:r>
      <w:r w:rsidRPr="003F7985">
        <w:rPr>
          <w:rFonts w:ascii="Times New Roman" w:eastAsia="Times New Roman" w:hAnsi="Times New Roman"/>
          <w:sz w:val="24"/>
          <w:szCs w:val="24"/>
          <w:lang w:val="lv-LV" w:eastAsia="en-GB"/>
        </w:rPr>
        <w:t xml:space="preserve"> ir tiesības:</w:t>
      </w:r>
    </w:p>
    <w:p w14:paraId="4642D9D5" w14:textId="77777777" w:rsidR="0059495B" w:rsidRPr="003F7985"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3F7985">
        <w:rPr>
          <w:rFonts w:ascii="Times New Roman" w:eastAsia="Times New Roman" w:hAnsi="Times New Roman"/>
          <w:sz w:val="24"/>
          <w:szCs w:val="24"/>
          <w:lang w:val="lv-LV" w:eastAsia="en-GB"/>
        </w:rPr>
        <w:t xml:space="preserve">- noteikt pienākumus </w:t>
      </w:r>
      <w:proofErr w:type="spellStart"/>
      <w:r w:rsidR="00DC6242" w:rsidRPr="003F7985">
        <w:rPr>
          <w:rFonts w:ascii="Times New Roman" w:eastAsia="Times New Roman" w:hAnsi="Times New Roman"/>
          <w:sz w:val="24"/>
          <w:szCs w:val="24"/>
          <w:lang w:val="lv-LV" w:eastAsia="en-GB"/>
        </w:rPr>
        <w:t>starpsavienojumu</w:t>
      </w:r>
      <w:proofErr w:type="spellEnd"/>
      <w:r w:rsidR="00DC6242" w:rsidRPr="003F7985">
        <w:rPr>
          <w:rFonts w:ascii="Times New Roman" w:eastAsia="Times New Roman" w:hAnsi="Times New Roman"/>
          <w:sz w:val="24"/>
          <w:szCs w:val="24"/>
          <w:lang w:val="lv-LV" w:eastAsia="en-GB"/>
        </w:rPr>
        <w:t xml:space="preserve"> un piekļuves </w:t>
      </w:r>
      <w:r w:rsidR="00982772" w:rsidRPr="003F7985">
        <w:rPr>
          <w:rFonts w:ascii="Times New Roman" w:eastAsia="Times New Roman" w:hAnsi="Times New Roman"/>
          <w:sz w:val="24"/>
          <w:szCs w:val="24"/>
          <w:lang w:val="lv-LV" w:eastAsia="en-GB"/>
        </w:rPr>
        <w:t>jomā</w:t>
      </w:r>
      <w:r w:rsidRPr="003F7985">
        <w:rPr>
          <w:rFonts w:ascii="Times New Roman" w:eastAsia="Times New Roman" w:hAnsi="Times New Roman"/>
          <w:sz w:val="24"/>
          <w:szCs w:val="24"/>
          <w:lang w:val="lv-LV" w:eastAsia="en-GB"/>
        </w:rPr>
        <w:t>;</w:t>
      </w:r>
    </w:p>
    <w:p w14:paraId="0DAB8A09" w14:textId="77777777" w:rsidR="0059495B" w:rsidRPr="003F7985"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3F7985">
        <w:rPr>
          <w:rFonts w:ascii="Times New Roman" w:eastAsia="Times New Roman" w:hAnsi="Times New Roman"/>
          <w:sz w:val="24"/>
          <w:szCs w:val="24"/>
          <w:lang w:val="lv-LV" w:eastAsia="en-GB"/>
        </w:rPr>
        <w:lastRenderedPageBreak/>
        <w:t xml:space="preserve">- </w:t>
      </w:r>
      <w:r w:rsidR="00DC6242" w:rsidRPr="003F7985">
        <w:rPr>
          <w:rFonts w:ascii="Times New Roman" w:eastAsia="Times New Roman" w:hAnsi="Times New Roman"/>
          <w:sz w:val="24"/>
          <w:szCs w:val="24"/>
          <w:lang w:val="lv-LV" w:eastAsia="en-GB"/>
        </w:rPr>
        <w:t>nosaka elektronisko sakaru komersantu ar būtisku ietekmi tirgū un tam piemērojamās speciālās prasības</w:t>
      </w:r>
      <w:r w:rsidRPr="003F7985">
        <w:rPr>
          <w:rFonts w:ascii="Times New Roman" w:eastAsia="Times New Roman" w:hAnsi="Times New Roman"/>
          <w:sz w:val="24"/>
          <w:szCs w:val="24"/>
          <w:lang w:val="lv-LV" w:eastAsia="en-GB"/>
        </w:rPr>
        <w:t>;</w:t>
      </w:r>
    </w:p>
    <w:p w14:paraId="08DB43F4" w14:textId="6BBA7804" w:rsid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3F7985">
        <w:rPr>
          <w:rFonts w:ascii="Times New Roman" w:eastAsia="Times New Roman" w:hAnsi="Times New Roman"/>
          <w:sz w:val="24"/>
          <w:szCs w:val="24"/>
          <w:lang w:val="lv-LV" w:eastAsia="en-GB"/>
        </w:rPr>
        <w:t xml:space="preserve">- </w:t>
      </w:r>
      <w:r w:rsidR="00982772" w:rsidRPr="003F7985">
        <w:rPr>
          <w:rFonts w:ascii="Times New Roman" w:eastAsia="Times New Roman" w:hAnsi="Times New Roman"/>
          <w:sz w:val="24"/>
          <w:szCs w:val="24"/>
          <w:lang w:val="lv-LV" w:eastAsia="en-GB"/>
        </w:rPr>
        <w:t xml:space="preserve">noteikt speciālās prasības vairumtirdzniecības tirgos piekļuves un </w:t>
      </w:r>
      <w:proofErr w:type="spellStart"/>
      <w:r w:rsidR="00982772" w:rsidRPr="003F7985">
        <w:rPr>
          <w:rFonts w:ascii="Times New Roman" w:eastAsia="Times New Roman" w:hAnsi="Times New Roman"/>
          <w:sz w:val="24"/>
          <w:szCs w:val="24"/>
          <w:lang w:val="lv-LV" w:eastAsia="en-GB"/>
        </w:rPr>
        <w:t>starpsavienojuma</w:t>
      </w:r>
      <w:proofErr w:type="spellEnd"/>
      <w:r w:rsidR="00982772" w:rsidRPr="003F7985">
        <w:rPr>
          <w:rFonts w:ascii="Times New Roman" w:eastAsia="Times New Roman" w:hAnsi="Times New Roman"/>
          <w:sz w:val="24"/>
          <w:szCs w:val="24"/>
          <w:lang w:val="lv-LV" w:eastAsia="en-GB"/>
        </w:rPr>
        <w:t xml:space="preserve"> jomā (piekļuves saistība, piekļuves pienākums fiziskai infrastruktūrai, vienlīdzīgas attieksmes pienākums, caurredzamības saistība, tarifu regulēšanas un izmaksu attiecināšanas saistība un atsevišķas uzskaites pienākums un mazumtirdzniecības tirgū – tarifu regulēšanas un izmaksu attiecināšanas saistība</w:t>
      </w:r>
      <w:r w:rsidR="00ED015D">
        <w:rPr>
          <w:rFonts w:ascii="Times New Roman" w:eastAsia="Times New Roman" w:hAnsi="Times New Roman"/>
          <w:sz w:val="24"/>
          <w:szCs w:val="24"/>
          <w:lang w:val="lv-LV" w:eastAsia="en-GB"/>
        </w:rPr>
        <w:t>)</w:t>
      </w:r>
      <w:r w:rsidR="00982772" w:rsidRPr="003F7985">
        <w:rPr>
          <w:rFonts w:ascii="Times New Roman" w:eastAsia="Times New Roman" w:hAnsi="Times New Roman"/>
          <w:sz w:val="24"/>
          <w:szCs w:val="24"/>
          <w:lang w:val="lv-LV" w:eastAsia="en-GB"/>
        </w:rPr>
        <w:t>.</w:t>
      </w:r>
    </w:p>
    <w:p w14:paraId="5ECAA275" w14:textId="77777777" w:rsidR="00C40620" w:rsidRPr="00C40620" w:rsidRDefault="00C40620" w:rsidP="0059495B">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Atgūšanas un uzraudzības mehānisms</w:t>
      </w:r>
    </w:p>
    <w:p w14:paraId="1EC752E6" w14:textId="77777777" w:rsidR="00C40620" w:rsidRPr="00C40620" w:rsidRDefault="00C40620" w:rsidP="00A5042E">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Vai atbalsta pasākumam tiks piemērots atgūšanas mehānisms?</w:t>
      </w:r>
    </w:p>
    <w:p w14:paraId="5FC406B6" w14:textId="02A73742" w:rsidR="00C40620" w:rsidRPr="00C40620" w:rsidRDefault="00D87CFB"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Pr>
          <w:rFonts w:ascii="Times New Roman" w:hAnsi="Times New Roman"/>
          <w:sz w:val="24"/>
          <w:szCs w:val="20"/>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Nē</w:t>
      </w:r>
    </w:p>
    <w:p w14:paraId="7E42670E" w14:textId="77777777" w:rsidR="00C40620" w:rsidRPr="003D0C9E" w:rsidRDefault="00C40620" w:rsidP="00A5042E">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3D0C9E">
        <w:rPr>
          <w:rFonts w:ascii="Times New Roman" w:eastAsia="Times New Roman" w:hAnsi="Times New Roman"/>
          <w:sz w:val="24"/>
          <w:szCs w:val="24"/>
          <w:lang w:val="lv-LV" w:eastAsia="lv-LV" w:bidi="lv-LV"/>
        </w:rPr>
        <w:t xml:space="preserve">Ja atbilde uz jautājumu 2.14. punktā ir “jā”, lūdzu, aprakstiet šo mehānismu, tā iezīmes un darbības ilgumu: </w:t>
      </w:r>
    </w:p>
    <w:p w14:paraId="2C6134B0" w14:textId="73C911C0" w:rsidR="00C40620" w:rsidRPr="00C40620" w:rsidRDefault="003D0C9E" w:rsidP="00211934">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9B1719">
        <w:rPr>
          <w:rFonts w:ascii="Times New Roman" w:eastAsia="Times New Roman" w:hAnsi="Times New Roman"/>
          <w:sz w:val="24"/>
          <w:szCs w:val="24"/>
          <w:lang w:val="lv-LV" w:eastAsia="en-GB"/>
        </w:rPr>
        <w:t xml:space="preserve">Pēc ikgadējo atskaišu izvērtēšanas </w:t>
      </w:r>
      <w:r w:rsidR="00C32680" w:rsidRPr="110A1F25">
        <w:rPr>
          <w:rFonts w:ascii="Times New Roman" w:eastAsia="Times New Roman" w:hAnsi="Times New Roman"/>
          <w:sz w:val="24"/>
          <w:szCs w:val="24"/>
          <w:lang w:val="lv-LV" w:eastAsia="en-GB"/>
        </w:rPr>
        <w:t>Subsidēto elektronisko sakaru tīklu uzraudzības komitej</w:t>
      </w:r>
      <w:r w:rsidR="00647BC0">
        <w:rPr>
          <w:rFonts w:ascii="Times New Roman" w:eastAsia="Times New Roman" w:hAnsi="Times New Roman"/>
          <w:sz w:val="24"/>
          <w:szCs w:val="24"/>
          <w:lang w:val="lv-LV" w:eastAsia="en-GB"/>
        </w:rPr>
        <w:t>ā</w:t>
      </w:r>
      <w:r w:rsidRPr="009B1719">
        <w:rPr>
          <w:rFonts w:ascii="Times New Roman" w:eastAsia="Times New Roman" w:hAnsi="Times New Roman"/>
          <w:sz w:val="24"/>
          <w:szCs w:val="24"/>
          <w:lang w:val="lv-LV" w:eastAsia="en-GB"/>
        </w:rPr>
        <w:t xml:space="preserve">, tā pieņem lēmumu par  summu atgūšanu, kas pārsniedz pamatotu peļņu, proti, kapitāla </w:t>
      </w:r>
      <w:proofErr w:type="spellStart"/>
      <w:r w:rsidRPr="009B1719">
        <w:rPr>
          <w:rFonts w:ascii="Times New Roman" w:eastAsia="Times New Roman" w:hAnsi="Times New Roman"/>
          <w:sz w:val="24"/>
          <w:szCs w:val="24"/>
          <w:lang w:val="lv-LV" w:eastAsia="en-GB"/>
        </w:rPr>
        <w:t>atdeves</w:t>
      </w:r>
      <w:proofErr w:type="spellEnd"/>
      <w:r w:rsidRPr="009B1719">
        <w:rPr>
          <w:rFonts w:ascii="Times New Roman" w:eastAsia="Times New Roman" w:hAnsi="Times New Roman"/>
          <w:sz w:val="24"/>
          <w:szCs w:val="24"/>
          <w:lang w:val="lv-LV" w:eastAsia="en-GB"/>
        </w:rPr>
        <w:t xml:space="preserve"> līmeni, kas būtu nepieciešams tipiskam uzņēmumam</w:t>
      </w:r>
      <w:r w:rsidR="00211934" w:rsidRPr="009B1719">
        <w:rPr>
          <w:rFonts w:ascii="Times New Roman" w:eastAsia="Times New Roman" w:hAnsi="Times New Roman"/>
          <w:sz w:val="24"/>
          <w:szCs w:val="24"/>
          <w:lang w:val="lv-LV" w:eastAsia="en-GB"/>
        </w:rPr>
        <w:t xml:space="preserve"> (10%)</w:t>
      </w:r>
      <w:r w:rsidRPr="009B1719">
        <w:rPr>
          <w:rFonts w:ascii="Times New Roman" w:eastAsia="Times New Roman" w:hAnsi="Times New Roman"/>
          <w:sz w:val="24"/>
          <w:szCs w:val="24"/>
          <w:lang w:val="lv-LV" w:eastAsia="en-GB"/>
        </w:rPr>
        <w:t>, ņemot vērā platjoslas nozarei raksturīgo riska līmeni un sniegto pakalpojumu veidu</w:t>
      </w:r>
      <w:r w:rsidR="00211934" w:rsidRPr="009B1719">
        <w:rPr>
          <w:rFonts w:ascii="Times New Roman" w:eastAsia="Times New Roman" w:hAnsi="Times New Roman"/>
          <w:sz w:val="24"/>
          <w:szCs w:val="24"/>
          <w:lang w:val="lv-LV" w:eastAsia="en-GB"/>
        </w:rPr>
        <w:t>, un stimula summu (3%) – kopā 13%</w:t>
      </w:r>
      <w:r w:rsidRPr="009B1719">
        <w:rPr>
          <w:rFonts w:ascii="Times New Roman" w:eastAsia="Times New Roman" w:hAnsi="Times New Roman"/>
          <w:sz w:val="24"/>
          <w:szCs w:val="24"/>
          <w:lang w:val="lv-LV" w:eastAsia="en-GB"/>
        </w:rPr>
        <w:t>.</w:t>
      </w:r>
      <w:r w:rsidR="00A672BE" w:rsidRPr="009B1719">
        <w:rPr>
          <w:rFonts w:ascii="Times New Roman" w:eastAsia="Times New Roman" w:hAnsi="Times New Roman"/>
          <w:sz w:val="24"/>
          <w:szCs w:val="24"/>
          <w:lang w:val="lv-LV" w:eastAsia="en-GB"/>
        </w:rPr>
        <w:t xml:space="preserve"> </w:t>
      </w:r>
      <w:r w:rsidR="00211934" w:rsidRPr="009B1719">
        <w:rPr>
          <w:rFonts w:ascii="Times New Roman" w:eastAsia="Times New Roman" w:hAnsi="Times New Roman"/>
          <w:sz w:val="24"/>
          <w:szCs w:val="24"/>
          <w:lang w:val="lv-LV" w:eastAsia="en-GB"/>
        </w:rPr>
        <w:t xml:space="preserve">Peļņu, kas pārsniegs 13% slieksni, tiks sadalīta starp atbalsta saņēmēju un dalībvalsti, vadoties no atbalsta intensitātes, kas izrietēs no konkursa procedūras rezultātiem. </w:t>
      </w:r>
      <w:r w:rsidR="004966F8" w:rsidRPr="009B1719">
        <w:rPr>
          <w:rFonts w:ascii="Times New Roman" w:eastAsia="Times New Roman" w:hAnsi="Times New Roman"/>
          <w:sz w:val="24"/>
          <w:szCs w:val="24"/>
          <w:lang w:val="lv-LV" w:eastAsia="en-GB"/>
        </w:rPr>
        <w:t xml:space="preserve">Atgūšanas mehānismu nepiemēro, ja </w:t>
      </w:r>
      <w:r w:rsidR="00CF3A90">
        <w:rPr>
          <w:rFonts w:ascii="Times New Roman" w:eastAsia="Times New Roman" w:hAnsi="Times New Roman"/>
          <w:sz w:val="24"/>
          <w:szCs w:val="24"/>
          <w:lang w:val="lv-LV" w:eastAsia="en-GB"/>
        </w:rPr>
        <w:t xml:space="preserve">Centrālās finanšu </w:t>
      </w:r>
      <w:r w:rsidR="00591A4B">
        <w:rPr>
          <w:rFonts w:ascii="Times New Roman" w:eastAsia="Times New Roman" w:hAnsi="Times New Roman"/>
          <w:sz w:val="24"/>
          <w:szCs w:val="24"/>
          <w:lang w:val="lv-LV" w:eastAsia="en-GB"/>
        </w:rPr>
        <w:t>un līgumu aģentūras</w:t>
      </w:r>
      <w:r w:rsidR="004966F8" w:rsidRPr="009B1719">
        <w:rPr>
          <w:rFonts w:ascii="Times New Roman" w:eastAsia="Times New Roman" w:hAnsi="Times New Roman"/>
          <w:sz w:val="24"/>
          <w:szCs w:val="24"/>
          <w:lang w:val="lv-LV" w:eastAsia="en-GB"/>
        </w:rPr>
        <w:t xml:space="preserve"> un elektronisko sakaru komersantu noslēgtā līguma summa nepārsniedz 5 miljonus EUR</w:t>
      </w:r>
      <w:r w:rsidR="004966F8">
        <w:rPr>
          <w:rFonts w:ascii="Times New Roman" w:eastAsia="Times New Roman" w:hAnsi="Times New Roman"/>
          <w:sz w:val="24"/>
          <w:szCs w:val="24"/>
          <w:lang w:val="lv-LV" w:eastAsia="en-GB"/>
        </w:rPr>
        <w:t>.</w:t>
      </w:r>
    </w:p>
    <w:p w14:paraId="282EFD2F" w14:textId="77777777" w:rsidR="00C40620" w:rsidRPr="00E66859" w:rsidRDefault="00C40620" w:rsidP="00A5042E">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 xml:space="preserve">Lūdzu, paskaidrojiet, kā tiks organizēta atbalsta pasākuma uzraudzība: </w:t>
      </w:r>
    </w:p>
    <w:p w14:paraId="2DB3C539" w14:textId="77777777" w:rsidR="00C40620" w:rsidRPr="00E66859" w:rsidRDefault="00C40620" w:rsidP="00C40620">
      <w:pPr>
        <w:keepNext/>
        <w:keepLines/>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kura valsts iestāde uzņemsies uzraudzību?</w:t>
      </w:r>
    </w:p>
    <w:p w14:paraId="64A1EAAE" w14:textId="77777777" w:rsidR="00C40620" w:rsidRPr="00E66859" w:rsidRDefault="00C40620" w:rsidP="00C40620">
      <w:pPr>
        <w:keepNext/>
        <w:keepLines/>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kādi pasākuma aspekti tiks pakļauti uzraudzībai?</w:t>
      </w:r>
    </w:p>
    <w:p w14:paraId="32B50049" w14:textId="77777777" w:rsidR="00C40620" w:rsidRPr="00E66859" w:rsidRDefault="00C40620" w:rsidP="00C40620">
      <w:pPr>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kādi darbības kritēriji tiks analizēti?</w:t>
      </w:r>
    </w:p>
    <w:p w14:paraId="64D8B9A6" w14:textId="77777777" w:rsidR="00C40620" w:rsidRDefault="00C40620" w:rsidP="00C40620">
      <w:pPr>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kāds būs uzraudzības grafiks?</w:t>
      </w:r>
      <w:r w:rsidRPr="00C40620">
        <w:rPr>
          <w:rFonts w:ascii="Times New Roman" w:eastAsia="Times New Roman" w:hAnsi="Times New Roman"/>
          <w:sz w:val="24"/>
          <w:szCs w:val="24"/>
          <w:lang w:val="lv-LV" w:eastAsia="lv-LV" w:bidi="lv-LV"/>
        </w:rPr>
        <w:t xml:space="preserve"> </w:t>
      </w:r>
    </w:p>
    <w:p w14:paraId="6956F9EE" w14:textId="03BAF4D4" w:rsidR="003A6D17" w:rsidRPr="00275EA7" w:rsidRDefault="00E333EA" w:rsidP="000426C0">
      <w:pPr>
        <w:spacing w:before="120" w:after="120" w:line="240" w:lineRule="auto"/>
        <w:jc w:val="both"/>
        <w:rPr>
          <w:rFonts w:ascii="Times New Roman" w:eastAsia="Times New Roman" w:hAnsi="Times New Roman"/>
          <w:sz w:val="24"/>
          <w:szCs w:val="24"/>
          <w:lang w:val="lv-LV" w:eastAsia="lv-LV" w:bidi="lv-LV"/>
        </w:rPr>
      </w:pPr>
      <w:r w:rsidRPr="00275EA7">
        <w:rPr>
          <w:rFonts w:ascii="Times New Roman" w:eastAsia="Times New Roman" w:hAnsi="Times New Roman"/>
          <w:sz w:val="24"/>
          <w:szCs w:val="24"/>
          <w:lang w:val="lv-LV" w:eastAsia="lv-LV" w:bidi="lv-LV"/>
        </w:rPr>
        <w:t xml:space="preserve">Lai nodrošinātu Ministru kabineta 2021. gada 7. septembra noteikumu Nr.621 “Eiropas Savienības Atveseļošanas un noturības mehānisma plāna īstenošanas un uzraudzības kārtība” 8. punktā noteiktās prasības, tostarp attiecībā uz investīciju īstenošanu (tai skaitā to uzraudzību un risku pārvaldību) un iekšējās kontroles sistēmas izstrādi, īstenošanu, uzraudzību (tai skaitā iekšējo auditu) un pilnveidi, nozares ministrija ir izstrādājusi </w:t>
      </w:r>
      <w:r w:rsidR="000426C0" w:rsidRPr="00275EA7">
        <w:rPr>
          <w:rFonts w:ascii="Times New Roman" w:eastAsia="Times New Roman" w:hAnsi="Times New Roman"/>
          <w:sz w:val="24"/>
          <w:szCs w:val="24"/>
          <w:lang w:val="lv-LV" w:eastAsia="lv-LV" w:bidi="lv-LV"/>
        </w:rPr>
        <w:t xml:space="preserve">2021. gada 28. decembra </w:t>
      </w:r>
      <w:r w:rsidR="00C865D4" w:rsidRPr="00275EA7">
        <w:rPr>
          <w:rFonts w:ascii="Times New Roman" w:eastAsia="Times New Roman" w:hAnsi="Times New Roman"/>
          <w:sz w:val="24"/>
          <w:szCs w:val="24"/>
          <w:lang w:val="lv-LV" w:eastAsia="lv-LV" w:bidi="lv-LV"/>
        </w:rPr>
        <w:t>iekšējo</w:t>
      </w:r>
      <w:r w:rsidRPr="00275EA7">
        <w:rPr>
          <w:rFonts w:ascii="Times New Roman" w:eastAsia="Times New Roman" w:hAnsi="Times New Roman"/>
          <w:sz w:val="24"/>
          <w:szCs w:val="24"/>
          <w:lang w:val="lv-LV" w:eastAsia="lv-LV" w:bidi="lv-LV"/>
        </w:rPr>
        <w:t>s noteikumus</w:t>
      </w:r>
      <w:r w:rsidR="000426C0" w:rsidRPr="00275EA7">
        <w:rPr>
          <w:rFonts w:ascii="Times New Roman" w:eastAsia="Times New Roman" w:hAnsi="Times New Roman"/>
          <w:sz w:val="24"/>
          <w:szCs w:val="24"/>
          <w:lang w:val="lv-LV" w:eastAsia="lv-LV" w:bidi="lv-LV"/>
        </w:rPr>
        <w:t xml:space="preserve"> Nr.01-02/38 “Kārtība, kādā Satiksmes ministrija nodrošina Atveseļošanas un noturības mehānisma plāna reformu 2.4.1.r. “Platjoslas infrastruktūras attīstība” un investīciju vadības un iekšējās kontroles sistēmas īstenošanu un uzraudzību” (skat. pielikumā). </w:t>
      </w:r>
      <w:r w:rsidR="004B1D53" w:rsidRPr="00275EA7">
        <w:rPr>
          <w:rFonts w:ascii="Times New Roman" w:eastAsia="Times New Roman" w:hAnsi="Times New Roman"/>
          <w:sz w:val="24"/>
          <w:szCs w:val="24"/>
          <w:lang w:val="lv-LV" w:eastAsia="lv-LV" w:bidi="lv-LV"/>
        </w:rPr>
        <w:t xml:space="preserve">Kārtības galvenais uzdevums ir izveidot iekšējo kontroles sistēmu,  nodrošināt projekta uzraudzību, datu ticamības, izsekojamības, pamatotības un piekļuves nodrošināšanu auditoriem, tostarp komercdarbības atbalsta nosacījumu ievērošanas nodrošināšanu, uzraudzību un risku pārvaldību. </w:t>
      </w:r>
      <w:r w:rsidR="00275EA7" w:rsidRPr="00275EA7">
        <w:rPr>
          <w:rFonts w:ascii="Times New Roman" w:eastAsia="Times New Roman" w:hAnsi="Times New Roman"/>
          <w:sz w:val="24"/>
          <w:szCs w:val="24"/>
          <w:lang w:val="lv-LV" w:eastAsia="lv-LV" w:bidi="lv-LV"/>
        </w:rPr>
        <w:t xml:space="preserve">Līdzīga kārtība tiks izstrādāta arī attiecībā uz Eiropas Reģionālā attīstības fonda investīciju uzraudzību. </w:t>
      </w:r>
      <w:r w:rsidR="003A6D17" w:rsidRPr="00275EA7">
        <w:rPr>
          <w:rFonts w:ascii="Times New Roman" w:eastAsia="Times New Roman" w:hAnsi="Times New Roman"/>
          <w:sz w:val="24"/>
          <w:szCs w:val="24"/>
          <w:lang w:val="lv-LV" w:eastAsia="lv-LV" w:bidi="lv-LV"/>
        </w:rPr>
        <w:t xml:space="preserve">Satiksmes ministrijas </w:t>
      </w:r>
      <w:r w:rsidR="007023A7" w:rsidRPr="007023A7">
        <w:rPr>
          <w:rFonts w:ascii="Times New Roman" w:eastAsia="Times New Roman" w:hAnsi="Times New Roman"/>
          <w:sz w:val="24"/>
          <w:szCs w:val="24"/>
          <w:lang w:val="lv-LV" w:eastAsia="lv-LV" w:bidi="lv-LV"/>
        </w:rPr>
        <w:t>Subsidēto elektronisko sakaru tīklu uzraudzības komiteja</w:t>
      </w:r>
      <w:r w:rsidR="00647BC0">
        <w:rPr>
          <w:rFonts w:ascii="Times New Roman" w:eastAsia="Times New Roman" w:hAnsi="Times New Roman"/>
          <w:sz w:val="24"/>
          <w:szCs w:val="24"/>
          <w:lang w:val="lv-LV" w:eastAsia="lv-LV" w:bidi="lv-LV"/>
        </w:rPr>
        <w:t xml:space="preserve"> </w:t>
      </w:r>
      <w:r w:rsidR="003A6D17" w:rsidRPr="00275EA7">
        <w:rPr>
          <w:rFonts w:ascii="Times New Roman" w:eastAsia="Times New Roman" w:hAnsi="Times New Roman"/>
          <w:sz w:val="24"/>
          <w:szCs w:val="24"/>
          <w:lang w:val="lv-LV" w:eastAsia="lv-LV" w:bidi="lv-LV"/>
        </w:rPr>
        <w:t>būs atbildīga par:</w:t>
      </w:r>
    </w:p>
    <w:p w14:paraId="48BF1D7D" w14:textId="77777777" w:rsidR="003A6D17" w:rsidRPr="00275EA7" w:rsidRDefault="003A6D17" w:rsidP="00705D6D">
      <w:pPr>
        <w:spacing w:before="120" w:after="120" w:line="240" w:lineRule="auto"/>
        <w:jc w:val="both"/>
        <w:rPr>
          <w:rFonts w:ascii="Times New Roman" w:eastAsia="Times New Roman" w:hAnsi="Times New Roman"/>
          <w:sz w:val="24"/>
          <w:szCs w:val="24"/>
          <w:lang w:val="lv-LV" w:eastAsia="lv-LV" w:bidi="lv-LV"/>
        </w:rPr>
      </w:pPr>
      <w:r w:rsidRPr="00275EA7">
        <w:rPr>
          <w:rFonts w:ascii="Times New Roman" w:eastAsia="Times New Roman" w:hAnsi="Times New Roman"/>
          <w:sz w:val="24"/>
          <w:szCs w:val="24"/>
          <w:lang w:val="lv-LV" w:eastAsia="lv-LV" w:bidi="lv-LV"/>
        </w:rPr>
        <w:t>• tarifu noteikšan</w:t>
      </w:r>
      <w:r w:rsidR="00E20099" w:rsidRPr="00275EA7">
        <w:rPr>
          <w:rFonts w:ascii="Times New Roman" w:eastAsia="Times New Roman" w:hAnsi="Times New Roman"/>
          <w:sz w:val="24"/>
          <w:szCs w:val="24"/>
          <w:lang w:val="lv-LV" w:eastAsia="lv-LV" w:bidi="lv-LV"/>
        </w:rPr>
        <w:t>u</w:t>
      </w:r>
      <w:r w:rsidRPr="00275EA7">
        <w:rPr>
          <w:rFonts w:ascii="Times New Roman" w:eastAsia="Times New Roman" w:hAnsi="Times New Roman"/>
          <w:sz w:val="24"/>
          <w:szCs w:val="24"/>
          <w:lang w:val="lv-LV" w:eastAsia="lv-LV" w:bidi="lv-LV"/>
        </w:rPr>
        <w:t xml:space="preserve"> atvērtai piekļuvei</w:t>
      </w:r>
      <w:r w:rsidR="00E20099" w:rsidRPr="00275EA7">
        <w:rPr>
          <w:rFonts w:ascii="Times New Roman" w:eastAsia="Times New Roman" w:hAnsi="Times New Roman"/>
          <w:sz w:val="24"/>
          <w:szCs w:val="24"/>
          <w:lang w:val="lv-LV" w:eastAsia="lv-LV" w:bidi="lv-LV"/>
        </w:rPr>
        <w:t>;</w:t>
      </w:r>
    </w:p>
    <w:p w14:paraId="66DB322E" w14:textId="77777777" w:rsidR="003A6D17" w:rsidRPr="00275EA7" w:rsidRDefault="003A6D17" w:rsidP="00705D6D">
      <w:pPr>
        <w:spacing w:before="120" w:after="120" w:line="240" w:lineRule="auto"/>
        <w:jc w:val="both"/>
        <w:rPr>
          <w:rFonts w:ascii="Times New Roman" w:eastAsia="Times New Roman" w:hAnsi="Times New Roman"/>
          <w:sz w:val="24"/>
          <w:szCs w:val="24"/>
          <w:lang w:val="lv-LV" w:eastAsia="lv-LV" w:bidi="lv-LV"/>
        </w:rPr>
      </w:pPr>
      <w:r w:rsidRPr="00275EA7">
        <w:rPr>
          <w:rFonts w:ascii="Times New Roman" w:eastAsia="Times New Roman" w:hAnsi="Times New Roman"/>
          <w:sz w:val="24"/>
          <w:szCs w:val="24"/>
          <w:lang w:val="lv-LV" w:eastAsia="lv-LV" w:bidi="lv-LV"/>
        </w:rPr>
        <w:t>• brīvas piekļuves nosacījumu noteikšan</w:t>
      </w:r>
      <w:r w:rsidR="00E20099" w:rsidRPr="00275EA7">
        <w:rPr>
          <w:rFonts w:ascii="Times New Roman" w:eastAsia="Times New Roman" w:hAnsi="Times New Roman"/>
          <w:sz w:val="24"/>
          <w:szCs w:val="24"/>
          <w:lang w:val="lv-LV" w:eastAsia="lv-LV" w:bidi="lv-LV"/>
        </w:rPr>
        <w:t>u</w:t>
      </w:r>
      <w:r w:rsidRPr="00275EA7">
        <w:rPr>
          <w:rFonts w:ascii="Times New Roman" w:eastAsia="Times New Roman" w:hAnsi="Times New Roman"/>
          <w:sz w:val="24"/>
          <w:szCs w:val="24"/>
          <w:lang w:val="lv-LV" w:eastAsia="lv-LV" w:bidi="lv-LV"/>
        </w:rPr>
        <w:t>;</w:t>
      </w:r>
    </w:p>
    <w:p w14:paraId="0220EC86" w14:textId="77777777" w:rsidR="003A6D17" w:rsidRPr="00275EA7" w:rsidRDefault="003A6D17" w:rsidP="00705D6D">
      <w:pPr>
        <w:spacing w:before="120" w:after="120" w:line="240" w:lineRule="auto"/>
        <w:jc w:val="both"/>
        <w:rPr>
          <w:rFonts w:ascii="Times New Roman" w:eastAsia="Times New Roman" w:hAnsi="Times New Roman"/>
          <w:sz w:val="24"/>
          <w:szCs w:val="24"/>
          <w:lang w:val="lv-LV" w:eastAsia="lv-LV" w:bidi="lv-LV"/>
        </w:rPr>
      </w:pPr>
      <w:r w:rsidRPr="00275EA7">
        <w:rPr>
          <w:rFonts w:ascii="Times New Roman" w:eastAsia="Times New Roman" w:hAnsi="Times New Roman"/>
          <w:sz w:val="24"/>
          <w:szCs w:val="24"/>
          <w:lang w:val="lv-LV" w:eastAsia="lv-LV" w:bidi="lv-LV"/>
        </w:rPr>
        <w:lastRenderedPageBreak/>
        <w:t>• uzraudzīt, lai laikus tiktu veikta infrastruktūras kartēšana un operatoru intere</w:t>
      </w:r>
      <w:r w:rsidR="00D81F13" w:rsidRPr="00275EA7">
        <w:rPr>
          <w:rFonts w:ascii="Times New Roman" w:eastAsia="Times New Roman" w:hAnsi="Times New Roman"/>
          <w:sz w:val="24"/>
          <w:szCs w:val="24"/>
          <w:lang w:val="lv-LV" w:eastAsia="lv-LV" w:bidi="lv-LV"/>
        </w:rPr>
        <w:t>šu ievērošana.</w:t>
      </w:r>
    </w:p>
    <w:p w14:paraId="441E940A" w14:textId="364F2915" w:rsidR="003A6D17" w:rsidRPr="00275EA7" w:rsidRDefault="003A6D17" w:rsidP="00705D6D">
      <w:pPr>
        <w:spacing w:before="120" w:after="120" w:line="240" w:lineRule="auto"/>
        <w:jc w:val="both"/>
        <w:rPr>
          <w:rFonts w:ascii="Times New Roman" w:eastAsia="Times New Roman" w:hAnsi="Times New Roman"/>
          <w:sz w:val="24"/>
          <w:szCs w:val="24"/>
          <w:lang w:val="lv-LV" w:eastAsia="lv-LV" w:bidi="lv-LV"/>
        </w:rPr>
      </w:pPr>
      <w:r w:rsidRPr="00275EA7">
        <w:rPr>
          <w:rFonts w:ascii="Times New Roman" w:eastAsia="Times New Roman" w:hAnsi="Times New Roman"/>
          <w:sz w:val="24"/>
          <w:szCs w:val="24"/>
          <w:lang w:val="lv-LV" w:eastAsia="lv-LV" w:bidi="lv-LV"/>
        </w:rPr>
        <w:t xml:space="preserve">Satiksmes ministrijas </w:t>
      </w:r>
      <w:r w:rsidR="007023A7" w:rsidRPr="007A2640">
        <w:rPr>
          <w:rFonts w:ascii="Times New Roman" w:eastAsia="Times New Roman" w:hAnsi="Times New Roman"/>
          <w:sz w:val="24"/>
          <w:szCs w:val="24"/>
          <w:lang w:val="lv-LV" w:eastAsia="en-GB"/>
        </w:rPr>
        <w:t>Subsidēto elektronisko sakaru tīklu uzraudzības komitej</w:t>
      </w:r>
      <w:r w:rsidR="007023A7">
        <w:rPr>
          <w:rFonts w:ascii="Times New Roman" w:eastAsia="Times New Roman" w:hAnsi="Times New Roman"/>
          <w:sz w:val="24"/>
          <w:szCs w:val="24"/>
          <w:lang w:val="lv-LV" w:eastAsia="en-GB"/>
        </w:rPr>
        <w:t>a</w:t>
      </w:r>
      <w:r w:rsidR="00647BC0">
        <w:rPr>
          <w:rFonts w:ascii="Times New Roman" w:eastAsia="Times New Roman" w:hAnsi="Times New Roman"/>
          <w:sz w:val="24"/>
          <w:szCs w:val="24"/>
          <w:lang w:val="lv-LV" w:eastAsia="en-GB"/>
        </w:rPr>
        <w:t xml:space="preserve"> </w:t>
      </w:r>
      <w:r w:rsidRPr="00275EA7">
        <w:rPr>
          <w:rFonts w:ascii="Times New Roman" w:eastAsia="Times New Roman" w:hAnsi="Times New Roman"/>
          <w:sz w:val="24"/>
          <w:szCs w:val="24"/>
          <w:lang w:val="lv-LV" w:eastAsia="lv-LV" w:bidi="lv-LV"/>
        </w:rPr>
        <w:t xml:space="preserve">pirms tarifu noteikšanas brīvai piekļuvei un atklātas piekļuves nosacījumiem veiks konsultācijas ar </w:t>
      </w:r>
      <w:r w:rsidR="00B54700" w:rsidRPr="00275EA7">
        <w:rPr>
          <w:rFonts w:ascii="Times New Roman" w:eastAsia="Times New Roman" w:hAnsi="Times New Roman"/>
          <w:sz w:val="24"/>
          <w:szCs w:val="24"/>
          <w:lang w:val="lv-LV" w:eastAsia="en-GB"/>
        </w:rPr>
        <w:t>Sabiedrisko pakalpojumu regulēšanas komisiju</w:t>
      </w:r>
      <w:r w:rsidRPr="00275EA7">
        <w:rPr>
          <w:rFonts w:ascii="Times New Roman" w:eastAsia="Times New Roman" w:hAnsi="Times New Roman"/>
          <w:sz w:val="24"/>
          <w:szCs w:val="24"/>
          <w:lang w:val="lv-LV" w:eastAsia="lv-LV" w:bidi="lv-LV"/>
        </w:rPr>
        <w:t xml:space="preserve"> (detalizētu informāciju skatīt </w:t>
      </w:r>
      <w:r w:rsidR="00B54700" w:rsidRPr="00275EA7">
        <w:rPr>
          <w:rFonts w:ascii="Times New Roman" w:eastAsia="Times New Roman" w:hAnsi="Times New Roman"/>
          <w:sz w:val="24"/>
          <w:szCs w:val="24"/>
          <w:lang w:val="lv-LV" w:eastAsia="lv-LV" w:bidi="lv-LV"/>
        </w:rPr>
        <w:t>2.13.</w:t>
      </w:r>
      <w:r w:rsidRPr="00275EA7">
        <w:rPr>
          <w:rFonts w:ascii="Times New Roman" w:eastAsia="Times New Roman" w:hAnsi="Times New Roman"/>
          <w:sz w:val="24"/>
          <w:szCs w:val="24"/>
          <w:lang w:val="lv-LV" w:eastAsia="lv-LV" w:bidi="lv-LV"/>
        </w:rPr>
        <w:t>).</w:t>
      </w:r>
    </w:p>
    <w:p w14:paraId="642228C9" w14:textId="15E7C9B9" w:rsidR="003A6D17" w:rsidRPr="00FB0024" w:rsidRDefault="003A6D17" w:rsidP="00705D6D">
      <w:pPr>
        <w:spacing w:before="120" w:after="120" w:line="240" w:lineRule="auto"/>
        <w:jc w:val="both"/>
        <w:rPr>
          <w:rFonts w:ascii="Times New Roman" w:eastAsia="Times New Roman" w:hAnsi="Times New Roman"/>
          <w:sz w:val="24"/>
          <w:szCs w:val="24"/>
          <w:lang w:val="lv-LV" w:eastAsia="lv-LV" w:bidi="lv-LV"/>
        </w:rPr>
      </w:pPr>
      <w:r w:rsidRPr="00FB0024">
        <w:rPr>
          <w:rFonts w:ascii="Times New Roman" w:eastAsia="Times New Roman" w:hAnsi="Times New Roman"/>
          <w:sz w:val="24"/>
          <w:szCs w:val="24"/>
          <w:lang w:val="lv-LV" w:eastAsia="lv-LV" w:bidi="lv-LV"/>
        </w:rPr>
        <w:t xml:space="preserve">Satiksmes ministrija </w:t>
      </w:r>
      <w:r w:rsidR="007023A7" w:rsidRPr="007A2640">
        <w:rPr>
          <w:rFonts w:ascii="Times New Roman" w:eastAsia="Times New Roman" w:hAnsi="Times New Roman"/>
          <w:sz w:val="24"/>
          <w:szCs w:val="24"/>
          <w:lang w:val="lv-LV" w:eastAsia="en-GB"/>
        </w:rPr>
        <w:t>Subsidēto elektronisko sakaru tīklu uzraudzības komitej</w:t>
      </w:r>
      <w:r w:rsidR="007023A7">
        <w:rPr>
          <w:rFonts w:ascii="Times New Roman" w:eastAsia="Times New Roman" w:hAnsi="Times New Roman"/>
          <w:sz w:val="24"/>
          <w:szCs w:val="24"/>
          <w:lang w:val="lv-LV" w:eastAsia="en-GB"/>
        </w:rPr>
        <w:t>ā</w:t>
      </w:r>
      <w:r w:rsidR="00647BC0">
        <w:rPr>
          <w:rFonts w:ascii="Times New Roman" w:eastAsia="Times New Roman" w:hAnsi="Times New Roman"/>
          <w:sz w:val="24"/>
          <w:szCs w:val="24"/>
          <w:lang w:val="lv-LV" w:eastAsia="en-GB"/>
        </w:rPr>
        <w:t xml:space="preserve"> </w:t>
      </w:r>
      <w:r w:rsidR="00B54700" w:rsidRPr="00FB0024">
        <w:rPr>
          <w:rFonts w:ascii="Times New Roman" w:eastAsia="Times New Roman" w:hAnsi="Times New Roman"/>
          <w:sz w:val="24"/>
          <w:szCs w:val="24"/>
          <w:lang w:val="lv-LV" w:eastAsia="lv-LV" w:bidi="lv-LV"/>
        </w:rPr>
        <w:t xml:space="preserve">ir iekļauti </w:t>
      </w:r>
      <w:r w:rsidRPr="00FB0024">
        <w:rPr>
          <w:rFonts w:ascii="Times New Roman" w:eastAsia="Times New Roman" w:hAnsi="Times New Roman"/>
          <w:sz w:val="24"/>
          <w:szCs w:val="24"/>
          <w:lang w:val="lv-LV" w:eastAsia="lv-LV" w:bidi="lv-LV"/>
        </w:rPr>
        <w:t>pārstāvj</w:t>
      </w:r>
      <w:r w:rsidR="00B54700" w:rsidRPr="00FB0024">
        <w:rPr>
          <w:rFonts w:ascii="Times New Roman" w:eastAsia="Times New Roman" w:hAnsi="Times New Roman"/>
          <w:sz w:val="24"/>
          <w:szCs w:val="24"/>
          <w:lang w:val="lv-LV" w:eastAsia="lv-LV" w:bidi="lv-LV"/>
        </w:rPr>
        <w:t>i</w:t>
      </w:r>
      <w:r w:rsidRPr="00FB0024">
        <w:rPr>
          <w:rFonts w:ascii="Times New Roman" w:eastAsia="Times New Roman" w:hAnsi="Times New Roman"/>
          <w:sz w:val="24"/>
          <w:szCs w:val="24"/>
          <w:lang w:val="lv-LV" w:eastAsia="lv-LV" w:bidi="lv-LV"/>
        </w:rPr>
        <w:t xml:space="preserve"> no Vides aizsardzības un reģionālās attīstības ministrijas, Finanšu ministrijas, Latvijas Pašvaldību savienības, Patērētāju tiesību aizsardzības centra, Latvijas Darba devēju konfederācijas, Latvijas Tirdzniecības un rūpniecības kameras, Latvijas Plānošanas reģioniem un </w:t>
      </w:r>
      <w:r w:rsidR="006F4890" w:rsidRPr="00FB0024">
        <w:rPr>
          <w:rFonts w:ascii="Times New Roman" w:eastAsia="Times New Roman" w:hAnsi="Times New Roman"/>
          <w:sz w:val="24"/>
          <w:szCs w:val="24"/>
          <w:lang w:val="lv-LV" w:eastAsia="lv-LV" w:bidi="lv-LV"/>
        </w:rPr>
        <w:t>nozaru</w:t>
      </w:r>
      <w:r w:rsidRPr="00FB0024">
        <w:rPr>
          <w:rFonts w:ascii="Times New Roman" w:eastAsia="Times New Roman" w:hAnsi="Times New Roman"/>
          <w:sz w:val="24"/>
          <w:szCs w:val="24"/>
          <w:lang w:val="lv-LV" w:eastAsia="lv-LV" w:bidi="lv-LV"/>
        </w:rPr>
        <w:t xml:space="preserve"> asociācijām</w:t>
      </w:r>
      <w:r w:rsidR="002A66E5" w:rsidRPr="00FB0024">
        <w:rPr>
          <w:rFonts w:ascii="Times New Roman" w:eastAsia="Times New Roman" w:hAnsi="Times New Roman"/>
          <w:sz w:val="24"/>
          <w:szCs w:val="24"/>
          <w:lang w:val="lv-LV" w:eastAsia="lv-LV" w:bidi="lv-LV"/>
        </w:rPr>
        <w:t>.</w:t>
      </w:r>
    </w:p>
    <w:p w14:paraId="0D83A01B" w14:textId="4E472CB0" w:rsidR="003A6D17" w:rsidRPr="00FB0024" w:rsidRDefault="003A6D17" w:rsidP="00705D6D">
      <w:pPr>
        <w:spacing w:before="120" w:after="120" w:line="240" w:lineRule="auto"/>
        <w:jc w:val="both"/>
        <w:rPr>
          <w:rFonts w:ascii="Times New Roman" w:eastAsia="Times New Roman" w:hAnsi="Times New Roman"/>
          <w:sz w:val="24"/>
          <w:szCs w:val="24"/>
          <w:lang w:val="lv-LV" w:eastAsia="lv-LV" w:bidi="lv-LV"/>
        </w:rPr>
      </w:pPr>
      <w:r w:rsidRPr="00FB0024">
        <w:rPr>
          <w:rFonts w:ascii="Times New Roman" w:eastAsia="Times New Roman" w:hAnsi="Times New Roman"/>
          <w:sz w:val="24"/>
          <w:szCs w:val="24"/>
          <w:lang w:val="lv-LV" w:eastAsia="lv-LV" w:bidi="lv-LV"/>
        </w:rPr>
        <w:t xml:space="preserve">Satiksmes ministrijas </w:t>
      </w:r>
      <w:r w:rsidR="007023A7" w:rsidRPr="007A2640">
        <w:rPr>
          <w:rFonts w:ascii="Times New Roman" w:eastAsia="Times New Roman" w:hAnsi="Times New Roman"/>
          <w:sz w:val="24"/>
          <w:szCs w:val="24"/>
          <w:lang w:val="lv-LV" w:eastAsia="en-GB"/>
        </w:rPr>
        <w:t>Subsidēto elektronisko sakaru tīklu uzraudzības komitej</w:t>
      </w:r>
      <w:r w:rsidR="007023A7">
        <w:rPr>
          <w:rFonts w:ascii="Times New Roman" w:eastAsia="Times New Roman" w:hAnsi="Times New Roman"/>
          <w:sz w:val="24"/>
          <w:szCs w:val="24"/>
          <w:lang w:val="lv-LV" w:eastAsia="en-GB"/>
        </w:rPr>
        <w:t>a</w:t>
      </w:r>
      <w:r w:rsidR="00E6538F">
        <w:rPr>
          <w:rFonts w:ascii="Times New Roman" w:eastAsia="Times New Roman" w:hAnsi="Times New Roman"/>
          <w:sz w:val="24"/>
          <w:szCs w:val="24"/>
          <w:lang w:val="lv-LV" w:eastAsia="en-GB"/>
        </w:rPr>
        <w:t xml:space="preserve"> </w:t>
      </w:r>
      <w:r w:rsidRPr="00FB0024">
        <w:rPr>
          <w:rFonts w:ascii="Times New Roman" w:eastAsia="Times New Roman" w:hAnsi="Times New Roman"/>
          <w:sz w:val="24"/>
          <w:szCs w:val="24"/>
          <w:lang w:val="lv-LV" w:eastAsia="lv-LV" w:bidi="lv-LV"/>
        </w:rPr>
        <w:t>pārskatīs tarifus un nosacījumus brīvai piekļuvei</w:t>
      </w:r>
      <w:r w:rsidR="00D35C5A" w:rsidRPr="00FB0024">
        <w:rPr>
          <w:rFonts w:ascii="Times New Roman" w:eastAsia="Times New Roman" w:hAnsi="Times New Roman"/>
          <w:sz w:val="24"/>
          <w:szCs w:val="24"/>
          <w:lang w:val="lv-LV" w:eastAsia="lv-LV" w:bidi="lv-LV"/>
        </w:rPr>
        <w:t xml:space="preserve"> vismaz reizi </w:t>
      </w:r>
      <w:r w:rsidR="00FB0024" w:rsidRPr="00FB0024">
        <w:rPr>
          <w:rFonts w:ascii="Times New Roman" w:eastAsia="Times New Roman" w:hAnsi="Times New Roman"/>
          <w:sz w:val="24"/>
          <w:szCs w:val="24"/>
          <w:lang w:val="lv-LV" w:eastAsia="lv-LV" w:bidi="lv-LV"/>
        </w:rPr>
        <w:t xml:space="preserve">trīs </w:t>
      </w:r>
      <w:r w:rsidR="00D35C5A" w:rsidRPr="00FB0024">
        <w:rPr>
          <w:rFonts w:ascii="Times New Roman" w:eastAsia="Times New Roman" w:hAnsi="Times New Roman"/>
          <w:sz w:val="24"/>
          <w:szCs w:val="24"/>
          <w:lang w:val="lv-LV" w:eastAsia="lv-LV" w:bidi="lv-LV"/>
        </w:rPr>
        <w:t>gad</w:t>
      </w:r>
      <w:r w:rsidR="00FB0024" w:rsidRPr="00FB0024">
        <w:rPr>
          <w:rFonts w:ascii="Times New Roman" w:eastAsia="Times New Roman" w:hAnsi="Times New Roman"/>
          <w:sz w:val="24"/>
          <w:szCs w:val="24"/>
          <w:lang w:val="lv-LV" w:eastAsia="lv-LV" w:bidi="lv-LV"/>
        </w:rPr>
        <w:t>os</w:t>
      </w:r>
      <w:r w:rsidR="00D35C5A" w:rsidRPr="00FB0024">
        <w:rPr>
          <w:rFonts w:ascii="Times New Roman" w:eastAsia="Times New Roman" w:hAnsi="Times New Roman"/>
          <w:sz w:val="24"/>
          <w:szCs w:val="24"/>
          <w:lang w:val="lv-LV" w:eastAsia="lv-LV" w:bidi="lv-LV"/>
        </w:rPr>
        <w:t xml:space="preserve">, saskaņojot tos ar Sabiedrisko pakalpojumu regulēšanas komisiju, kā arī </w:t>
      </w:r>
      <w:r w:rsidR="00B54700" w:rsidRPr="00FB0024">
        <w:rPr>
          <w:rFonts w:ascii="Times New Roman" w:eastAsia="Times New Roman" w:hAnsi="Times New Roman"/>
          <w:sz w:val="24"/>
          <w:szCs w:val="24"/>
          <w:lang w:val="lv-LV" w:eastAsia="lv-LV" w:bidi="lv-LV"/>
        </w:rPr>
        <w:t xml:space="preserve">ņemot vērā </w:t>
      </w:r>
      <w:r w:rsidRPr="00FB0024">
        <w:rPr>
          <w:rFonts w:ascii="Times New Roman" w:eastAsia="Times New Roman" w:hAnsi="Times New Roman"/>
          <w:sz w:val="24"/>
          <w:szCs w:val="24"/>
          <w:lang w:val="lv-LV" w:eastAsia="lv-LV" w:bidi="lv-LV"/>
        </w:rPr>
        <w:t xml:space="preserve">trešo personu </w:t>
      </w:r>
      <w:r w:rsidR="00B54700" w:rsidRPr="00FB0024">
        <w:rPr>
          <w:rFonts w:ascii="Times New Roman" w:eastAsia="Times New Roman" w:hAnsi="Times New Roman"/>
          <w:sz w:val="24"/>
          <w:szCs w:val="24"/>
          <w:lang w:val="lv-LV" w:eastAsia="lv-LV" w:bidi="lv-LV"/>
        </w:rPr>
        <w:t>komentārus</w:t>
      </w:r>
      <w:r w:rsidRPr="00FB0024">
        <w:rPr>
          <w:rFonts w:ascii="Times New Roman" w:eastAsia="Times New Roman" w:hAnsi="Times New Roman"/>
          <w:sz w:val="24"/>
          <w:szCs w:val="24"/>
          <w:lang w:val="lv-LV" w:eastAsia="lv-LV" w:bidi="lv-LV"/>
        </w:rPr>
        <w:t xml:space="preserve"> vai priekšlikumus.</w:t>
      </w:r>
    </w:p>
    <w:p w14:paraId="52D6CCA9" w14:textId="77777777" w:rsidR="003A6D17" w:rsidRPr="00FB0024" w:rsidRDefault="00732AE6" w:rsidP="00705D6D">
      <w:pPr>
        <w:spacing w:before="120" w:after="120" w:line="240" w:lineRule="auto"/>
        <w:jc w:val="both"/>
        <w:rPr>
          <w:rFonts w:ascii="Times New Roman" w:eastAsia="Times New Roman" w:hAnsi="Times New Roman"/>
          <w:sz w:val="24"/>
          <w:szCs w:val="24"/>
          <w:lang w:val="lv-LV" w:eastAsia="lv-LV" w:bidi="lv-LV"/>
        </w:rPr>
      </w:pPr>
      <w:r w:rsidRPr="00FB0024">
        <w:rPr>
          <w:rFonts w:ascii="Times New Roman" w:eastAsia="Times New Roman" w:hAnsi="Times New Roman"/>
          <w:sz w:val="24"/>
          <w:szCs w:val="24"/>
          <w:lang w:val="lv-LV" w:eastAsia="lv-LV" w:bidi="lv-LV"/>
        </w:rPr>
        <w:t>P</w:t>
      </w:r>
      <w:r w:rsidR="003A6D17" w:rsidRPr="00FB0024">
        <w:rPr>
          <w:rFonts w:ascii="Times New Roman" w:eastAsia="Times New Roman" w:hAnsi="Times New Roman"/>
          <w:sz w:val="24"/>
          <w:szCs w:val="24"/>
          <w:lang w:val="lv-LV" w:eastAsia="lv-LV" w:bidi="lv-LV"/>
        </w:rPr>
        <w:t>rojekta īstenotājam būs pienākums nodrošināt regulārus gada pārskatus:</w:t>
      </w:r>
    </w:p>
    <w:p w14:paraId="15765E24" w14:textId="77777777" w:rsidR="003A6D17" w:rsidRPr="00FB0024" w:rsidRDefault="003A6D17" w:rsidP="00705D6D">
      <w:pPr>
        <w:spacing w:before="120" w:after="120" w:line="240" w:lineRule="auto"/>
        <w:jc w:val="both"/>
        <w:rPr>
          <w:rFonts w:ascii="Times New Roman" w:eastAsia="Times New Roman" w:hAnsi="Times New Roman"/>
          <w:sz w:val="24"/>
          <w:szCs w:val="24"/>
          <w:lang w:val="lv-LV" w:eastAsia="lv-LV" w:bidi="lv-LV"/>
        </w:rPr>
      </w:pPr>
      <w:r w:rsidRPr="00FB0024">
        <w:rPr>
          <w:rFonts w:ascii="Times New Roman" w:eastAsia="Times New Roman" w:hAnsi="Times New Roman"/>
          <w:sz w:val="24"/>
          <w:szCs w:val="24"/>
          <w:lang w:val="lv-LV" w:eastAsia="lv-LV" w:bidi="lv-LV"/>
        </w:rPr>
        <w:t>1) ikgadējas atskaites un auditu par projekta īstenošanu, tai skaitā informāciju par īstenošanas gaitu, tīkla lietotājiem, cenu noteikšanu, turpmāko plānošanu un finanšu rezultātiem. Gada pārskatu publicēs Satiksmes ministrijas tīmekļa vietnē, un tas būs pieejams ikvienam interesentam;</w:t>
      </w:r>
    </w:p>
    <w:p w14:paraId="79065062" w14:textId="77777777" w:rsidR="003A6D17" w:rsidRPr="00FB0024" w:rsidRDefault="003A6D17" w:rsidP="00705D6D">
      <w:pPr>
        <w:spacing w:before="120" w:after="120" w:line="240" w:lineRule="auto"/>
        <w:jc w:val="both"/>
        <w:rPr>
          <w:rFonts w:ascii="Times New Roman" w:eastAsia="Times New Roman" w:hAnsi="Times New Roman"/>
          <w:sz w:val="24"/>
          <w:szCs w:val="24"/>
          <w:lang w:val="lv-LV" w:eastAsia="lv-LV" w:bidi="lv-LV"/>
        </w:rPr>
      </w:pPr>
      <w:r w:rsidRPr="00FB0024">
        <w:rPr>
          <w:rFonts w:ascii="Times New Roman" w:eastAsia="Times New Roman" w:hAnsi="Times New Roman"/>
          <w:sz w:val="24"/>
          <w:szCs w:val="24"/>
          <w:lang w:val="lv-LV" w:eastAsia="lv-LV" w:bidi="lv-LV"/>
        </w:rPr>
        <w:t>2) gada pārskatu saskaņā ar Gada pārskatu likumu, kurā iekļautas tiesību normas, kas izriet no Padomes 1978. gada 25. jūlija Ceturtās direktīvas 78/660/EEK, kas pamatojas uz Līguma 54. panta 3. punkta g) apakšpunktu par noteiktu veidu sabiedrību gada pārskatiem, un Padomes 1983. gada 13. jūnija Septītās direktīvas 83/349/EEK, kas pamatojas uz Līguma par konsolidētajiem pārskatiem 54. panta 3. punkta g) apakšpunktu;</w:t>
      </w:r>
    </w:p>
    <w:p w14:paraId="0246C07B" w14:textId="77777777" w:rsidR="003A6D17" w:rsidRPr="00FB0024" w:rsidRDefault="003A6D17" w:rsidP="00705D6D">
      <w:pPr>
        <w:spacing w:before="120" w:after="120" w:line="240" w:lineRule="auto"/>
        <w:jc w:val="both"/>
        <w:rPr>
          <w:rFonts w:ascii="Times New Roman" w:eastAsia="Times New Roman" w:hAnsi="Times New Roman"/>
          <w:sz w:val="24"/>
          <w:szCs w:val="24"/>
          <w:lang w:val="lv-LV" w:eastAsia="lv-LV" w:bidi="lv-LV"/>
        </w:rPr>
      </w:pPr>
      <w:r w:rsidRPr="00FB0024">
        <w:rPr>
          <w:rFonts w:ascii="Times New Roman" w:eastAsia="Times New Roman" w:hAnsi="Times New Roman"/>
          <w:sz w:val="24"/>
          <w:szCs w:val="24"/>
          <w:lang w:val="lv-LV" w:eastAsia="lv-LV" w:bidi="lv-LV"/>
        </w:rPr>
        <w:t>3) informācija par atbalst</w:t>
      </w:r>
      <w:r w:rsidR="00732AE6" w:rsidRPr="00FB0024">
        <w:rPr>
          <w:rFonts w:ascii="Times New Roman" w:eastAsia="Times New Roman" w:hAnsi="Times New Roman"/>
          <w:sz w:val="24"/>
          <w:szCs w:val="24"/>
          <w:lang w:val="lv-LV" w:eastAsia="lv-LV" w:bidi="lv-LV"/>
        </w:rPr>
        <w:t xml:space="preserve">u </w:t>
      </w:r>
      <w:r w:rsidRPr="00FB0024">
        <w:rPr>
          <w:rFonts w:ascii="Times New Roman" w:eastAsia="Times New Roman" w:hAnsi="Times New Roman"/>
          <w:sz w:val="24"/>
          <w:szCs w:val="24"/>
          <w:lang w:val="lv-LV" w:eastAsia="lv-LV" w:bidi="lv-LV"/>
        </w:rPr>
        <w:t>tiks atspoguļota Satiksmes ministrijas publiskajā ziņojumā. Publiskais ziņojums ir publicēts Satiksmes ministrijas tīmekļa vietnē un pieejams ikvienam interesentam;</w:t>
      </w:r>
    </w:p>
    <w:p w14:paraId="6F52F257" w14:textId="3BEAFE7B" w:rsidR="003A6D17" w:rsidRPr="00C40620" w:rsidRDefault="003A6D17" w:rsidP="00705D6D">
      <w:pPr>
        <w:spacing w:before="120" w:after="120" w:line="240" w:lineRule="auto"/>
        <w:jc w:val="both"/>
        <w:rPr>
          <w:rFonts w:ascii="Times New Roman" w:eastAsia="Times New Roman" w:hAnsi="Times New Roman"/>
          <w:sz w:val="24"/>
          <w:szCs w:val="24"/>
          <w:lang w:val="lv-LV" w:eastAsia="lv-LV" w:bidi="lv-LV"/>
        </w:rPr>
      </w:pPr>
      <w:r w:rsidRPr="00FB0024">
        <w:rPr>
          <w:rFonts w:ascii="Times New Roman" w:eastAsia="Times New Roman" w:hAnsi="Times New Roman"/>
          <w:sz w:val="24"/>
          <w:szCs w:val="24"/>
          <w:lang w:val="lv-LV" w:eastAsia="lv-LV" w:bidi="lv-LV"/>
        </w:rPr>
        <w:t xml:space="preserve">4) saskaņā ar vienošanos par projekta īstenošanu īstenotājs sniedz </w:t>
      </w:r>
      <w:r w:rsidR="00520E05">
        <w:rPr>
          <w:rFonts w:ascii="Times New Roman" w:eastAsia="Times New Roman" w:hAnsi="Times New Roman"/>
          <w:sz w:val="24"/>
          <w:szCs w:val="24"/>
          <w:lang w:val="lv-LV" w:eastAsia="lv-LV" w:bidi="lv-LV"/>
        </w:rPr>
        <w:t>Centrālajai finanšu un līgumu aģentūrai</w:t>
      </w:r>
      <w:r w:rsidRPr="00FB0024">
        <w:rPr>
          <w:rFonts w:ascii="Times New Roman" w:eastAsia="Times New Roman" w:hAnsi="Times New Roman"/>
          <w:sz w:val="24"/>
          <w:szCs w:val="24"/>
          <w:lang w:val="lv-LV" w:eastAsia="lv-LV" w:bidi="lv-LV"/>
        </w:rPr>
        <w:t xml:space="preserve"> </w:t>
      </w:r>
      <w:r w:rsidR="00732AE6" w:rsidRPr="00FB0024">
        <w:rPr>
          <w:rFonts w:ascii="Times New Roman" w:eastAsia="Times New Roman" w:hAnsi="Times New Roman"/>
          <w:sz w:val="24"/>
          <w:szCs w:val="24"/>
          <w:lang w:val="lv-LV" w:eastAsia="lv-LV" w:bidi="lv-LV"/>
        </w:rPr>
        <w:t>detalizētu</w:t>
      </w:r>
      <w:r w:rsidRPr="00FB0024">
        <w:rPr>
          <w:rFonts w:ascii="Times New Roman" w:eastAsia="Times New Roman" w:hAnsi="Times New Roman"/>
          <w:sz w:val="24"/>
          <w:szCs w:val="24"/>
          <w:lang w:val="lv-LV" w:eastAsia="lv-LV" w:bidi="lv-LV"/>
        </w:rPr>
        <w:t xml:space="preserve"> informāciju par </w:t>
      </w:r>
      <w:r w:rsidR="00D12B33" w:rsidRPr="00FB0024">
        <w:rPr>
          <w:rFonts w:ascii="Times New Roman" w:eastAsia="Times New Roman" w:hAnsi="Times New Roman"/>
          <w:sz w:val="24"/>
          <w:szCs w:val="24"/>
          <w:lang w:val="lv-LV" w:eastAsia="lv-LV" w:bidi="lv-LV"/>
        </w:rPr>
        <w:t>projekta īstenošanas progresu, tostarp noteikto rādītāju progresu, to pamatojošo dokumentāciju, risku novēršanas pasākumu plāna izpildi u.c.</w:t>
      </w:r>
    </w:p>
    <w:p w14:paraId="5C27F4A2" w14:textId="77777777" w:rsidR="00C40620" w:rsidRPr="0098084A" w:rsidRDefault="00C40620" w:rsidP="00C40620">
      <w:pPr>
        <w:keepNext/>
        <w:keepLines/>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98084A">
        <w:rPr>
          <w:rFonts w:ascii="Times New Roman" w:eastAsia="Times New Roman" w:hAnsi="Times New Roman"/>
          <w:i/>
          <w:sz w:val="24"/>
          <w:szCs w:val="24"/>
          <w:lang w:val="lv-LV" w:eastAsia="lv-LV" w:bidi="lv-LV"/>
        </w:rPr>
        <w:t>Valsts regulatīvā iestāde</w:t>
      </w:r>
    </w:p>
    <w:p w14:paraId="03E0D388" w14:textId="77777777" w:rsidR="00C40620" w:rsidRPr="0098084A" w:rsidRDefault="00C40620" w:rsidP="00A5042E">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98084A">
        <w:rPr>
          <w:rFonts w:ascii="Times New Roman" w:eastAsia="Times New Roman" w:hAnsi="Times New Roman"/>
          <w:sz w:val="24"/>
          <w:szCs w:val="24"/>
          <w:lang w:val="lv-LV" w:eastAsia="lv-LV" w:bidi="lv-LV"/>
        </w:rPr>
        <w:t xml:space="preserve">Lūdzu, aprakstiet valsts regulatīvās iestādes nozīmi, jo īpaši attiecībā uz </w:t>
      </w:r>
      <w:proofErr w:type="spellStart"/>
      <w:r w:rsidRPr="0098084A">
        <w:rPr>
          <w:rFonts w:ascii="Times New Roman" w:eastAsia="Times New Roman" w:hAnsi="Times New Roman"/>
          <w:sz w:val="24"/>
          <w:szCs w:val="24"/>
          <w:lang w:val="lv-LV" w:eastAsia="lv-LV" w:bidi="lv-LV"/>
        </w:rPr>
        <w:t>mērķteritoriju</w:t>
      </w:r>
      <w:proofErr w:type="spellEnd"/>
      <w:r w:rsidRPr="0098084A">
        <w:rPr>
          <w:rFonts w:ascii="Times New Roman" w:eastAsia="Times New Roman" w:hAnsi="Times New Roman"/>
          <w:sz w:val="24"/>
          <w:szCs w:val="24"/>
          <w:lang w:val="lv-LV" w:eastAsia="lv-LV" w:bidi="lv-LV"/>
        </w:rPr>
        <w:t xml:space="preserve"> noteikšanu, vairumtirdzniecības līmeņa piekļuves cenu, tostarp </w:t>
      </w:r>
      <w:proofErr w:type="spellStart"/>
      <w:r w:rsidRPr="0098084A">
        <w:rPr>
          <w:rFonts w:ascii="Times New Roman" w:eastAsia="Times New Roman" w:hAnsi="Times New Roman"/>
          <w:sz w:val="24"/>
          <w:szCs w:val="24"/>
          <w:lang w:val="lv-LV" w:eastAsia="lv-LV" w:bidi="lv-LV"/>
        </w:rPr>
        <w:t>etaloncenas</w:t>
      </w:r>
      <w:proofErr w:type="spellEnd"/>
      <w:r w:rsidRPr="0098084A">
        <w:rPr>
          <w:rFonts w:ascii="Times New Roman" w:eastAsia="Times New Roman" w:hAnsi="Times New Roman"/>
          <w:sz w:val="24"/>
          <w:szCs w:val="24"/>
          <w:lang w:val="lv-LV" w:eastAsia="lv-LV" w:bidi="lv-LV"/>
        </w:rPr>
        <w:t xml:space="preserve"> noteikšanu, strīdu risināšanu </w:t>
      </w:r>
      <w:proofErr w:type="spellStart"/>
      <w:r w:rsidRPr="0098084A">
        <w:rPr>
          <w:rFonts w:ascii="Times New Roman" w:eastAsia="Times New Roman" w:hAnsi="Times New Roman"/>
          <w:sz w:val="24"/>
          <w:szCs w:val="24"/>
          <w:lang w:val="lv-LV" w:eastAsia="lv-LV" w:bidi="lv-LV"/>
        </w:rPr>
        <w:t>utt</w:t>
      </w:r>
      <w:proofErr w:type="spellEnd"/>
      <w:r w:rsidRPr="0098084A">
        <w:rPr>
          <w:rFonts w:ascii="Times New Roman" w:eastAsia="Times New Roman" w:hAnsi="Times New Roman"/>
          <w:sz w:val="24"/>
          <w:szCs w:val="24"/>
          <w:lang w:val="lv-LV" w:eastAsia="lv-LV" w:bidi="lv-LV"/>
        </w:rPr>
        <w:t>:</w:t>
      </w:r>
    </w:p>
    <w:p w14:paraId="631FB25D" w14:textId="0D6A33A1" w:rsidR="00614583" w:rsidRPr="0073575C" w:rsidRDefault="00E66859" w:rsidP="00E6685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73575C">
        <w:rPr>
          <w:rFonts w:ascii="Times New Roman" w:eastAsia="Times New Roman" w:hAnsi="Times New Roman"/>
          <w:sz w:val="24"/>
          <w:szCs w:val="24"/>
          <w:lang w:val="lv-LV" w:eastAsia="en-GB"/>
        </w:rPr>
        <w:t>Sabiedrisko pakalpojumu regulēšanas komisijas</w:t>
      </w:r>
      <w:r w:rsidR="00C74CC9" w:rsidRPr="0073575C">
        <w:rPr>
          <w:rFonts w:ascii="Times New Roman" w:eastAsia="Times New Roman" w:hAnsi="Times New Roman"/>
          <w:sz w:val="24"/>
          <w:szCs w:val="24"/>
          <w:lang w:val="lv-LV" w:eastAsia="en-GB"/>
        </w:rPr>
        <w:t xml:space="preserve"> </w:t>
      </w:r>
      <w:r w:rsidRPr="0073575C">
        <w:rPr>
          <w:rFonts w:ascii="Times New Roman" w:eastAsia="Times New Roman" w:hAnsi="Times New Roman"/>
          <w:sz w:val="24"/>
          <w:szCs w:val="24"/>
          <w:lang w:val="lv-LV" w:eastAsia="en-GB"/>
        </w:rPr>
        <w:t xml:space="preserve">iesaiste plānota uz vairumtirdzniecības līmeņa piekļuves cenu noteikšanu (skat. 2.13. un 2.16. sadaļas). Ja nākotnē būs </w:t>
      </w:r>
      <w:r w:rsidR="0073575C" w:rsidRPr="0073575C">
        <w:rPr>
          <w:rFonts w:ascii="Times New Roman" w:eastAsia="Times New Roman" w:hAnsi="Times New Roman"/>
          <w:sz w:val="24"/>
          <w:szCs w:val="24"/>
          <w:lang w:val="lv-LV" w:eastAsia="en-GB"/>
        </w:rPr>
        <w:t>strīdi</w:t>
      </w:r>
      <w:r w:rsidRPr="0073575C">
        <w:rPr>
          <w:rFonts w:ascii="Times New Roman" w:eastAsia="Times New Roman" w:hAnsi="Times New Roman"/>
          <w:sz w:val="24"/>
          <w:szCs w:val="24"/>
          <w:lang w:val="lv-LV" w:eastAsia="en-GB"/>
        </w:rPr>
        <w:t xml:space="preserve">, Satiksmes ministrijas gala lēmums </w:t>
      </w:r>
      <w:r w:rsidR="00634D9B" w:rsidRPr="0073575C">
        <w:rPr>
          <w:rFonts w:ascii="Times New Roman" w:eastAsia="Times New Roman" w:hAnsi="Times New Roman"/>
          <w:sz w:val="24"/>
          <w:szCs w:val="24"/>
          <w:lang w:val="lv-LV" w:eastAsia="en-GB"/>
        </w:rPr>
        <w:t xml:space="preserve">tiks pamatots </w:t>
      </w:r>
      <w:r w:rsidR="00001706" w:rsidRPr="0073575C">
        <w:rPr>
          <w:rFonts w:ascii="Times New Roman" w:eastAsia="Times New Roman" w:hAnsi="Times New Roman"/>
          <w:sz w:val="24"/>
          <w:szCs w:val="24"/>
          <w:lang w:val="lv-LV" w:eastAsia="en-GB"/>
        </w:rPr>
        <w:t xml:space="preserve">ar </w:t>
      </w:r>
      <w:r w:rsidR="00634D9B" w:rsidRPr="0073575C">
        <w:rPr>
          <w:rFonts w:ascii="Times New Roman" w:eastAsia="Times New Roman" w:hAnsi="Times New Roman"/>
          <w:sz w:val="24"/>
          <w:szCs w:val="24"/>
          <w:lang w:val="lv-LV" w:eastAsia="en-GB"/>
        </w:rPr>
        <w:t xml:space="preserve">tostarp </w:t>
      </w:r>
      <w:r w:rsidRPr="0073575C">
        <w:rPr>
          <w:rFonts w:ascii="Times New Roman" w:eastAsia="Times New Roman" w:hAnsi="Times New Roman"/>
          <w:sz w:val="24"/>
          <w:szCs w:val="24"/>
          <w:lang w:val="lv-LV" w:eastAsia="en-GB"/>
        </w:rPr>
        <w:t>Sabiedrisko pakalpojumu regulēšanas komisijas viedokli</w:t>
      </w:r>
      <w:r w:rsidR="00634D9B" w:rsidRPr="0073575C">
        <w:rPr>
          <w:rFonts w:ascii="Times New Roman" w:eastAsia="Times New Roman" w:hAnsi="Times New Roman"/>
          <w:sz w:val="24"/>
          <w:szCs w:val="24"/>
          <w:lang w:val="lv-LV" w:eastAsia="en-GB"/>
        </w:rPr>
        <w:t xml:space="preserve">, piemērot pieeju līdzīgos gadījumos, ja attiecināms. </w:t>
      </w:r>
    </w:p>
    <w:p w14:paraId="520A8F32" w14:textId="77777777" w:rsidR="0028324B" w:rsidRPr="0073575C" w:rsidRDefault="00C74CC9"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73575C">
        <w:rPr>
          <w:rFonts w:ascii="Times New Roman" w:eastAsia="Times New Roman" w:hAnsi="Times New Roman"/>
          <w:sz w:val="24"/>
          <w:szCs w:val="24"/>
          <w:lang w:val="lv-LV" w:eastAsia="en-GB"/>
        </w:rPr>
        <w:t xml:space="preserve">Sabiedrisko pakalpojumu regulēšanas komisija </w:t>
      </w:r>
      <w:r w:rsidR="0028324B" w:rsidRPr="0073575C">
        <w:rPr>
          <w:rFonts w:ascii="Times New Roman" w:eastAsia="Times New Roman" w:hAnsi="Times New Roman"/>
          <w:sz w:val="24"/>
          <w:szCs w:val="24"/>
          <w:lang w:val="lv-LV" w:eastAsia="en-GB"/>
        </w:rPr>
        <w:t xml:space="preserve">atbilstoši Elektronisko sakaru likumprojektā noteiktajai kompetencei patstāvīgi pieņem lēmumus un izdod administratīvos aktus, kas ir saistoši konkrētiem elektronisko sakaru komersantiem un galalietotājiem. Pildot savas funkcijas, pieņemot lēmumu vai izdodot administratīvo aktu, </w:t>
      </w:r>
      <w:r w:rsidRPr="0073575C">
        <w:rPr>
          <w:rFonts w:ascii="Times New Roman" w:eastAsia="Times New Roman" w:hAnsi="Times New Roman"/>
          <w:sz w:val="24"/>
          <w:szCs w:val="24"/>
          <w:lang w:val="lv-LV" w:eastAsia="en-GB"/>
        </w:rPr>
        <w:t xml:space="preserve">Sabiedrisko pakalpojumu regulēšanas komisija </w:t>
      </w:r>
      <w:r w:rsidR="0028324B" w:rsidRPr="0073575C">
        <w:rPr>
          <w:rFonts w:ascii="Times New Roman" w:eastAsia="Times New Roman" w:hAnsi="Times New Roman"/>
          <w:sz w:val="24"/>
          <w:szCs w:val="24"/>
          <w:lang w:val="lv-LV" w:eastAsia="en-GB"/>
        </w:rPr>
        <w:t xml:space="preserve">ņem vērā Eiropas Komisijas </w:t>
      </w:r>
      <w:r w:rsidR="0028324B" w:rsidRPr="0073575C">
        <w:rPr>
          <w:rFonts w:ascii="Times New Roman" w:eastAsia="Times New Roman" w:hAnsi="Times New Roman"/>
          <w:sz w:val="24"/>
          <w:szCs w:val="24"/>
          <w:lang w:val="lv-LV" w:eastAsia="en-GB"/>
        </w:rPr>
        <w:lastRenderedPageBreak/>
        <w:t xml:space="preserve">ieteikumus, vadlīnijas, pamatnostādnes un Eiropas Elektronisko sakaru regulatoru iestādei pieņemtās pamatnostādnes, atzinumus, ieteikumus, kopējās nostājas, </w:t>
      </w:r>
      <w:proofErr w:type="spellStart"/>
      <w:r w:rsidR="0028324B" w:rsidRPr="0073575C">
        <w:rPr>
          <w:rFonts w:ascii="Times New Roman" w:eastAsia="Times New Roman" w:hAnsi="Times New Roman"/>
          <w:sz w:val="24"/>
          <w:szCs w:val="24"/>
          <w:lang w:val="lv-LV" w:eastAsia="en-GB"/>
        </w:rPr>
        <w:t>paraugpraksi</w:t>
      </w:r>
      <w:proofErr w:type="spellEnd"/>
      <w:r w:rsidR="0028324B" w:rsidRPr="0073575C">
        <w:rPr>
          <w:rFonts w:ascii="Times New Roman" w:eastAsia="Times New Roman" w:hAnsi="Times New Roman"/>
          <w:sz w:val="24"/>
          <w:szCs w:val="24"/>
          <w:lang w:val="lv-LV" w:eastAsia="en-GB"/>
        </w:rPr>
        <w:t xml:space="preserve"> un metodoloģiju attiecīgajā jautājumā.</w:t>
      </w:r>
    </w:p>
    <w:p w14:paraId="7A246334" w14:textId="77777777" w:rsidR="00C40620" w:rsidRPr="0073575C" w:rsidRDefault="0028324B"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73575C">
        <w:rPr>
          <w:rFonts w:ascii="Times New Roman" w:eastAsia="Times New Roman" w:hAnsi="Times New Roman"/>
          <w:sz w:val="24"/>
          <w:szCs w:val="24"/>
          <w:lang w:val="lv-LV" w:eastAsia="en-GB"/>
        </w:rPr>
        <w:t>Kā būtiskākās</w:t>
      </w:r>
      <w:r w:rsidR="00C74CC9" w:rsidRPr="0073575C">
        <w:rPr>
          <w:rFonts w:ascii="Times New Roman" w:eastAsia="Times New Roman" w:hAnsi="Times New Roman"/>
          <w:sz w:val="24"/>
          <w:szCs w:val="24"/>
          <w:lang w:val="lv-LV" w:eastAsia="en-GB"/>
        </w:rPr>
        <w:t xml:space="preserve"> </w:t>
      </w:r>
      <w:r w:rsidRPr="0073575C">
        <w:rPr>
          <w:rFonts w:ascii="Times New Roman" w:eastAsia="Times New Roman" w:hAnsi="Times New Roman"/>
          <w:sz w:val="24"/>
          <w:szCs w:val="24"/>
          <w:lang w:val="lv-LV" w:eastAsia="en-GB"/>
        </w:rPr>
        <w:t xml:space="preserve">funkcijas </w:t>
      </w:r>
      <w:r w:rsidR="00C74CC9" w:rsidRPr="0073575C">
        <w:rPr>
          <w:rFonts w:ascii="Times New Roman" w:eastAsia="Times New Roman" w:hAnsi="Times New Roman"/>
          <w:sz w:val="24"/>
          <w:szCs w:val="24"/>
          <w:lang w:val="lv-LV" w:eastAsia="en-GB"/>
        </w:rPr>
        <w:t>saistībā ar valsts atbalstu</w:t>
      </w:r>
      <w:r w:rsidRPr="0073575C">
        <w:rPr>
          <w:rFonts w:ascii="Times New Roman" w:eastAsia="Times New Roman" w:hAnsi="Times New Roman"/>
          <w:sz w:val="24"/>
          <w:szCs w:val="24"/>
          <w:lang w:val="lv-LV" w:eastAsia="en-GB"/>
        </w:rPr>
        <w:t xml:space="preserve"> </w:t>
      </w:r>
      <w:r w:rsidR="00C74CC9" w:rsidRPr="0073575C">
        <w:rPr>
          <w:rFonts w:ascii="Times New Roman" w:eastAsia="Times New Roman" w:hAnsi="Times New Roman"/>
          <w:sz w:val="24"/>
          <w:szCs w:val="24"/>
          <w:lang w:val="lv-LV" w:eastAsia="en-GB"/>
        </w:rPr>
        <w:t>ir</w:t>
      </w:r>
      <w:r w:rsidRPr="0073575C">
        <w:rPr>
          <w:rFonts w:ascii="Times New Roman" w:eastAsia="Times New Roman" w:hAnsi="Times New Roman"/>
          <w:sz w:val="24"/>
          <w:szCs w:val="24"/>
          <w:lang w:val="lv-LV" w:eastAsia="en-GB"/>
        </w:rPr>
        <w:t xml:space="preserve"> veikt komersantu uzraudzību, veicināt konkurences attīstību, veicināt galalietotāju tiesību aizsardzību savas kompetences ietvaros, nodrošināt efektīvu ierobežoto resursu pārvaldību elektronisko sakaru nozarē, nosakot numerācijas un radiofrekvenču resursu piešķiršanas, anulēšanas, tālāknodošanas un kopējas izmantošanas nosacījumus un kārtību. </w:t>
      </w:r>
      <w:r w:rsidR="00C74CC9" w:rsidRPr="0073575C">
        <w:rPr>
          <w:rFonts w:ascii="Times New Roman" w:eastAsia="Times New Roman" w:hAnsi="Times New Roman"/>
          <w:sz w:val="24"/>
          <w:szCs w:val="24"/>
          <w:lang w:val="lv-LV" w:eastAsia="en-GB"/>
        </w:rPr>
        <w:t xml:space="preserve">Papildus tas </w:t>
      </w:r>
      <w:r w:rsidRPr="0073575C">
        <w:rPr>
          <w:rFonts w:ascii="Times New Roman" w:eastAsia="Times New Roman" w:hAnsi="Times New Roman"/>
          <w:sz w:val="24"/>
          <w:szCs w:val="24"/>
          <w:lang w:val="lv-LV" w:eastAsia="en-GB"/>
        </w:rPr>
        <w:t>veic tirgus definēšanu un analīzi, nosaka komersantus ar būtisku ietekmei tirgū un pieņem saistošus lēmumus par īpašajām prasībām un saistībām  komersantiem ar būtisku ietekmi tirgū.</w:t>
      </w:r>
    </w:p>
    <w:p w14:paraId="60FEAD43" w14:textId="77777777" w:rsidR="00C74CC9" w:rsidRPr="004B6836" w:rsidRDefault="00C74CC9"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73575C">
        <w:rPr>
          <w:rFonts w:ascii="Times New Roman" w:eastAsia="Times New Roman" w:hAnsi="Times New Roman"/>
          <w:sz w:val="24"/>
          <w:szCs w:val="24"/>
          <w:lang w:val="lv-LV" w:eastAsia="en-GB"/>
        </w:rPr>
        <w:t xml:space="preserve">Līdz ar to jāsecina, ka Latvijā </w:t>
      </w:r>
      <w:r w:rsidRPr="0073575C">
        <w:rPr>
          <w:rFonts w:ascii="Times New Roman" w:eastAsia="Times New Roman" w:hAnsi="Times New Roman"/>
          <w:sz w:val="24"/>
          <w:szCs w:val="24"/>
          <w:lang w:val="lv-LV" w:eastAsia="lv-LV" w:bidi="lv-LV"/>
        </w:rPr>
        <w:t xml:space="preserve">valsts regulatīvās iestādes funkcijas </w:t>
      </w:r>
      <w:r w:rsidR="00B66390" w:rsidRPr="0073575C">
        <w:rPr>
          <w:rFonts w:ascii="Times New Roman" w:eastAsia="Times New Roman" w:hAnsi="Times New Roman"/>
          <w:sz w:val="24"/>
          <w:szCs w:val="24"/>
          <w:lang w:val="lv-LV" w:eastAsia="lv-LV" w:bidi="lv-LV"/>
        </w:rPr>
        <w:t xml:space="preserve">elektronisko sakaru nozarē </w:t>
      </w:r>
      <w:r w:rsidRPr="0073575C">
        <w:rPr>
          <w:rFonts w:ascii="Times New Roman" w:eastAsia="Times New Roman" w:hAnsi="Times New Roman"/>
          <w:sz w:val="24"/>
          <w:szCs w:val="24"/>
          <w:lang w:val="lv-LV" w:eastAsia="lv-LV" w:bidi="lv-LV"/>
        </w:rPr>
        <w:t xml:space="preserve">īsteno </w:t>
      </w:r>
      <w:r w:rsidRPr="0073575C">
        <w:rPr>
          <w:rFonts w:ascii="Times New Roman" w:eastAsia="Times New Roman" w:hAnsi="Times New Roman"/>
          <w:sz w:val="24"/>
          <w:szCs w:val="24"/>
          <w:lang w:val="lv-LV" w:eastAsia="en-GB"/>
        </w:rPr>
        <w:t xml:space="preserve">Sabiedrisko pakalpojumu regulēšanas komisija, savukārt Konkurences padomes loma </w:t>
      </w:r>
      <w:r w:rsidR="00B66390" w:rsidRPr="0073575C">
        <w:rPr>
          <w:rFonts w:ascii="Times New Roman" w:eastAsia="Times New Roman" w:hAnsi="Times New Roman"/>
          <w:sz w:val="24"/>
          <w:szCs w:val="24"/>
          <w:lang w:val="lv-LV" w:eastAsia="en-GB"/>
        </w:rPr>
        <w:t>ir neatkarīga, nodrošinot uzdevumu veikšanu saistībā ar uzraudzību, kā tiek ievērots tirgus dalībnieku dominējošā stāvokļa ļaunprātīgas izmantošanas un vienošanās aizliegum</w:t>
      </w:r>
      <w:r w:rsidR="004B6836" w:rsidRPr="0073575C">
        <w:rPr>
          <w:rFonts w:ascii="Times New Roman" w:eastAsia="Times New Roman" w:hAnsi="Times New Roman"/>
          <w:sz w:val="24"/>
          <w:szCs w:val="24"/>
          <w:lang w:val="lv-LV" w:eastAsia="en-GB"/>
        </w:rPr>
        <w:t>s</w:t>
      </w:r>
      <w:r w:rsidR="00B66390" w:rsidRPr="0073575C">
        <w:rPr>
          <w:rFonts w:ascii="Times New Roman" w:eastAsia="Times New Roman" w:hAnsi="Times New Roman"/>
          <w:sz w:val="24"/>
          <w:szCs w:val="24"/>
          <w:lang w:val="lv-LV" w:eastAsia="en-GB"/>
        </w:rPr>
        <w:t>, kas noteikts Konkurences likumā un Līgumā par Eiropas Savienības darbību, kā arī ierobežot tirgus koncentrāciju, pieņemot lēmumus par tirgus dalībnieku apvienošanos.</w:t>
      </w:r>
    </w:p>
    <w:p w14:paraId="2549C86C" w14:textId="77777777" w:rsidR="00C40620" w:rsidRPr="004B6836" w:rsidRDefault="00C40620" w:rsidP="00A5042E">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4B6836">
        <w:rPr>
          <w:rFonts w:ascii="Times New Roman" w:eastAsia="Times New Roman" w:hAnsi="Times New Roman"/>
          <w:sz w:val="24"/>
          <w:szCs w:val="24"/>
          <w:lang w:val="lv-LV" w:eastAsia="lv-LV" w:bidi="lv-LV"/>
        </w:rPr>
        <w:t>Lūdzu, dariet zināmu valsts regulatīvās iestādes nostāju attiecībā uz piedāvāto atbalstu un, ja tas ir pieejams, valsts konkurences iestādes atzinumu:</w:t>
      </w:r>
    </w:p>
    <w:p w14:paraId="1A9A8BFD" w14:textId="4619E0F4" w:rsidR="00C40620" w:rsidRPr="00C40620" w:rsidRDefault="004B6836" w:rsidP="00C4062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Konkurences padomes atzinums nav lūgts, ņemot vērā, ka likumā noteiktie uzdevumi neparedz šāda vērtējuma sniegšanu.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2BA3749A" w14:textId="77777777" w:rsidTr="00C40620">
        <w:tc>
          <w:tcPr>
            <w:tcW w:w="9356" w:type="dxa"/>
            <w:shd w:val="clear" w:color="auto" w:fill="D9D9D9"/>
          </w:tcPr>
          <w:p w14:paraId="300ADBEA"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 xml:space="preserve">Saderības kritēriji </w:t>
            </w:r>
          </w:p>
        </w:tc>
      </w:tr>
    </w:tbl>
    <w:p w14:paraId="38BD148F" w14:textId="77777777" w:rsidR="00C40620" w:rsidRPr="00C40620" w:rsidRDefault="00C40620" w:rsidP="00C40620">
      <w:pPr>
        <w:spacing w:before="120" w:after="120" w:line="240" w:lineRule="auto"/>
        <w:jc w:val="both"/>
        <w:rPr>
          <w:rFonts w:ascii="Times New Roman" w:hAnsi="Times New Roman"/>
          <w:sz w:val="24"/>
          <w:szCs w:val="20"/>
          <w:lang w:val="lv-LV" w:eastAsia="lv-LV" w:bidi="lv-LV"/>
        </w:rPr>
      </w:pPr>
      <w:r w:rsidRPr="00C40620">
        <w:rPr>
          <w:rFonts w:ascii="Times New Roman" w:hAnsi="Times New Roman"/>
          <w:sz w:val="24"/>
          <w:szCs w:val="20"/>
          <w:lang w:val="lv-LV" w:eastAsia="lv-LV" w:bidi="lv-LV"/>
        </w:rPr>
        <w:t>Lūdzu, paskaidrojiet, kā paziņotais atbalsta pasākums atbilst nosacījumiem, kas norādīti Pamatnostādņu par platjoslas tīkliem 2.5. iedaļā.</w:t>
      </w:r>
    </w:p>
    <w:p w14:paraId="48CA78E8" w14:textId="77777777" w:rsidR="00C40620" w:rsidRPr="00C40620" w:rsidRDefault="008F7B13" w:rsidP="00C40620">
      <w:pPr>
        <w:tabs>
          <w:tab w:val="left" w:leader="dot" w:pos="9072"/>
        </w:tabs>
        <w:spacing w:before="120" w:after="120" w:line="240" w:lineRule="auto"/>
        <w:jc w:val="both"/>
        <w:rPr>
          <w:rFonts w:ascii="Times New Roman" w:hAnsi="Times New Roman"/>
          <w:iCs/>
          <w:noProof/>
          <w:sz w:val="24"/>
          <w:szCs w:val="20"/>
          <w:lang w:val="lv-LV" w:eastAsia="lv-LV" w:bidi="lv-LV"/>
        </w:rPr>
      </w:pPr>
      <w:r>
        <w:rPr>
          <w:rFonts w:ascii="Times New Roman" w:hAnsi="Times New Roman"/>
          <w:iCs/>
          <w:noProof/>
          <w:sz w:val="24"/>
          <w:szCs w:val="20"/>
          <w:lang w:val="lv-LV" w:eastAsia="lv-LV" w:bidi="lv-LV"/>
        </w:rPr>
        <w:t>Latvija</w:t>
      </w:r>
      <w:r w:rsidRPr="008F7B13">
        <w:rPr>
          <w:rFonts w:ascii="Times New Roman" w:hAnsi="Times New Roman"/>
          <w:iCs/>
          <w:noProof/>
          <w:sz w:val="24"/>
          <w:szCs w:val="20"/>
          <w:lang w:val="lv-LV" w:eastAsia="lv-LV" w:bidi="lv-LV"/>
        </w:rPr>
        <w:t xml:space="preserve"> ir izvērtējusi </w:t>
      </w:r>
      <w:r>
        <w:rPr>
          <w:rFonts w:ascii="Times New Roman" w:hAnsi="Times New Roman"/>
          <w:iCs/>
          <w:noProof/>
          <w:sz w:val="24"/>
          <w:szCs w:val="20"/>
          <w:lang w:val="lv-LV" w:eastAsia="lv-LV" w:bidi="lv-LV"/>
        </w:rPr>
        <w:t>atbalsta</w:t>
      </w:r>
      <w:r w:rsidRPr="008F7B13">
        <w:rPr>
          <w:rFonts w:ascii="Times New Roman" w:hAnsi="Times New Roman"/>
          <w:iCs/>
          <w:noProof/>
          <w:sz w:val="24"/>
          <w:szCs w:val="20"/>
          <w:lang w:val="lv-LV" w:eastAsia="lv-LV" w:bidi="lv-LV"/>
        </w:rPr>
        <w:t xml:space="preserve"> saderību ar LESD 107. panta 3. punkta c) apakšpunktu, kā</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arī, ņemot vērā Kopienas pamatnostādnes valsts atbalsta noteikumu piemērošanai</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attiecībā uz platjoslas tīklu ātru izvēršanu</w:t>
      </w:r>
      <w:r>
        <w:rPr>
          <w:rStyle w:val="FootnoteReference"/>
          <w:rFonts w:ascii="Times New Roman" w:hAnsi="Times New Roman"/>
          <w:iCs/>
          <w:noProof/>
          <w:sz w:val="24"/>
          <w:szCs w:val="20"/>
          <w:lang w:val="lv-LV" w:eastAsia="lv-LV" w:bidi="lv-LV"/>
        </w:rPr>
        <w:footnoteReference w:id="20"/>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kurās iekļauts LESD 107. panta 3. punkta c) apakšpunkta detalizēts</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skaidrojums attiecībā uz šo darbību</w:t>
      </w:r>
      <w:r>
        <w:rPr>
          <w:rFonts w:ascii="Times New Roman" w:hAnsi="Times New Roman"/>
          <w:iCs/>
          <w:noProof/>
          <w:sz w:val="24"/>
          <w:szCs w:val="20"/>
          <w:lang w:val="lv-LV" w:eastAsia="lv-LV" w:bidi="lv-LV"/>
        </w:rPr>
        <w:t>, kā arī ņemusi vērā 2021. gada Komisijas paziņojuma projektu “</w:t>
      </w:r>
      <w:r w:rsidRPr="008F7B13">
        <w:rPr>
          <w:rFonts w:ascii="Times New Roman" w:hAnsi="Times New Roman"/>
          <w:iCs/>
          <w:noProof/>
          <w:sz w:val="24"/>
          <w:szCs w:val="20"/>
          <w:lang w:val="lv-LV" w:eastAsia="lv-LV" w:bidi="lv-LV"/>
        </w:rPr>
        <w:t>Pamatnostādnes par valsts atbalstu platjoslas tīkliem</w:t>
      </w:r>
      <w:r>
        <w:rPr>
          <w:rFonts w:ascii="Times New Roman" w:hAnsi="Times New Roman"/>
          <w:iCs/>
          <w:noProof/>
          <w:sz w:val="24"/>
          <w:szCs w:val="20"/>
          <w:lang w:val="lv-LV" w:eastAsia="lv-LV" w:bidi="lv-LV"/>
        </w:rPr>
        <w:t>”</w:t>
      </w:r>
      <w:r w:rsidR="00D3214D">
        <w:rPr>
          <w:rFonts w:ascii="Times New Roman" w:hAnsi="Times New Roman"/>
          <w:iCs/>
          <w:noProof/>
          <w:sz w:val="24"/>
          <w:szCs w:val="20"/>
          <w:lang w:val="lv-LV" w:eastAsia="lv-LV" w:bidi="lv-LV"/>
        </w:rPr>
        <w:t xml:space="preserve"> un secina, ka tiek izpildīti saderības kritēriji, pamatojoties uz zemāk sniegto informāciju. </w:t>
      </w:r>
    </w:p>
    <w:p w14:paraId="1A8D36A6" w14:textId="77777777" w:rsidR="00C40620" w:rsidRPr="00C40620" w:rsidRDefault="00C40620" w:rsidP="00C40620">
      <w:pPr>
        <w:spacing w:before="240" w:after="120" w:line="240" w:lineRule="auto"/>
        <w:ind w:firstLine="567"/>
        <w:jc w:val="both"/>
        <w:rPr>
          <w:rFonts w:ascii="Times New Roman" w:hAnsi="Times New Roman"/>
          <w:i/>
          <w:sz w:val="24"/>
          <w:szCs w:val="20"/>
          <w:lang w:val="lv-LV" w:eastAsia="lv-LV" w:bidi="lv-LV"/>
        </w:rPr>
      </w:pPr>
      <w:r w:rsidRPr="00C40620">
        <w:rPr>
          <w:rFonts w:ascii="Times New Roman" w:hAnsi="Times New Roman"/>
          <w:i/>
          <w:sz w:val="24"/>
          <w:szCs w:val="20"/>
          <w:lang w:val="lv-LV" w:eastAsia="lv-LV" w:bidi="lv-LV"/>
        </w:rPr>
        <w:t>Vispārējas nozīmes mērķis</w:t>
      </w:r>
    </w:p>
    <w:p w14:paraId="36763407"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Vai atbalsta pasākuma mērķis ir sasniegt skaidri definētus vispārējas nozīmes mērķus?</w:t>
      </w:r>
    </w:p>
    <w:p w14:paraId="6FB6D372" w14:textId="77777777" w:rsidR="00C40620" w:rsidRPr="00C40620" w:rsidRDefault="00131111"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sidR="00C40620" w:rsidRPr="00C40620">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Nē</w:t>
      </w:r>
    </w:p>
    <w:p w14:paraId="53DAB3A0" w14:textId="77777777" w:rsid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Ja atbilde a) apakšpunktā ir “jā”, lūdzu, sniedziet aprakstu par vispārējas nozīmes mērķiem, kuri sasniedzami ar atbalsta pasākuma palīdzību:</w:t>
      </w:r>
    </w:p>
    <w:p w14:paraId="0829DAAB" w14:textId="77777777" w:rsidR="001F511F" w:rsidRPr="00C40620" w:rsidRDefault="001F511F" w:rsidP="00F74855">
      <w:pPr>
        <w:spacing w:after="240" w:line="240" w:lineRule="auto"/>
        <w:ind w:left="1134"/>
        <w:jc w:val="both"/>
        <w:rPr>
          <w:rFonts w:ascii="Times New Roman" w:eastAsia="Times New Roman" w:hAnsi="Times New Roman"/>
          <w:sz w:val="24"/>
          <w:szCs w:val="20"/>
          <w:lang w:val="lv-LV"/>
        </w:rPr>
      </w:pPr>
      <w:r>
        <w:rPr>
          <w:rFonts w:ascii="Times New Roman" w:eastAsia="Times New Roman" w:hAnsi="Times New Roman"/>
          <w:sz w:val="24"/>
          <w:szCs w:val="20"/>
          <w:lang w:val="lv-LV"/>
        </w:rPr>
        <w:lastRenderedPageBreak/>
        <w:t xml:space="preserve">Atbalsta pasākums ir atbilstošs </w:t>
      </w:r>
      <w:r w:rsidR="008407A3">
        <w:rPr>
          <w:rFonts w:ascii="Times New Roman" w:eastAsia="Times New Roman" w:hAnsi="Times New Roman"/>
          <w:sz w:val="24"/>
          <w:szCs w:val="20"/>
          <w:lang w:val="lv-LV"/>
        </w:rPr>
        <w:t xml:space="preserve">un veicina </w:t>
      </w:r>
      <w:r>
        <w:rPr>
          <w:rFonts w:ascii="Times New Roman" w:eastAsia="Times New Roman" w:hAnsi="Times New Roman"/>
          <w:sz w:val="24"/>
          <w:szCs w:val="20"/>
          <w:lang w:val="lv-LV"/>
        </w:rPr>
        <w:t>gan Eiropas Savienības, gan nacionāla līmeņa stratēģisk</w:t>
      </w:r>
      <w:r w:rsidR="008407A3">
        <w:rPr>
          <w:rFonts w:ascii="Times New Roman" w:eastAsia="Times New Roman" w:hAnsi="Times New Roman"/>
          <w:sz w:val="24"/>
          <w:szCs w:val="20"/>
          <w:lang w:val="lv-LV"/>
        </w:rPr>
        <w:t>o</w:t>
      </w:r>
      <w:r>
        <w:rPr>
          <w:rFonts w:ascii="Times New Roman" w:eastAsia="Times New Roman" w:hAnsi="Times New Roman"/>
          <w:sz w:val="24"/>
          <w:szCs w:val="20"/>
          <w:lang w:val="lv-LV"/>
        </w:rPr>
        <w:t xml:space="preserve"> mērķ</w:t>
      </w:r>
      <w:r w:rsidR="008407A3">
        <w:rPr>
          <w:rFonts w:ascii="Times New Roman" w:eastAsia="Times New Roman" w:hAnsi="Times New Roman"/>
          <w:sz w:val="24"/>
          <w:szCs w:val="20"/>
          <w:lang w:val="lv-LV"/>
        </w:rPr>
        <w:t>u sasniegšanu</w:t>
      </w:r>
      <w:r w:rsidR="00F74855">
        <w:rPr>
          <w:rFonts w:ascii="Times New Roman" w:eastAsia="Times New Roman" w:hAnsi="Times New Roman"/>
          <w:sz w:val="24"/>
          <w:szCs w:val="20"/>
          <w:lang w:val="lv-LV"/>
        </w:rPr>
        <w:t xml:space="preserve"> (skat. </w:t>
      </w:r>
      <w:r w:rsidR="00232DAF">
        <w:rPr>
          <w:rFonts w:ascii="Times New Roman" w:eastAsia="Times New Roman" w:hAnsi="Times New Roman"/>
          <w:sz w:val="24"/>
          <w:szCs w:val="20"/>
          <w:lang w:val="lv-LV"/>
        </w:rPr>
        <w:t>1.2. sadaļu).</w:t>
      </w:r>
      <w:r>
        <w:rPr>
          <w:rFonts w:ascii="Times New Roman" w:eastAsia="Times New Roman" w:hAnsi="Times New Roman"/>
          <w:sz w:val="24"/>
          <w:szCs w:val="20"/>
          <w:lang w:val="lv-LV"/>
        </w:rPr>
        <w:t xml:space="preserve"> </w:t>
      </w:r>
    </w:p>
    <w:p w14:paraId="48B687EB" w14:textId="77777777" w:rsidR="00C40620" w:rsidRPr="00C40620" w:rsidRDefault="00C40620" w:rsidP="00C40620">
      <w:pPr>
        <w:spacing w:before="240" w:after="120" w:line="240" w:lineRule="auto"/>
        <w:ind w:left="720" w:hanging="153"/>
        <w:jc w:val="both"/>
        <w:rPr>
          <w:rFonts w:ascii="Times New Roman" w:hAnsi="Times New Roman"/>
          <w:i/>
          <w:sz w:val="24"/>
          <w:szCs w:val="20"/>
          <w:lang w:val="lv-LV" w:eastAsia="lv-LV" w:bidi="lv-LV"/>
        </w:rPr>
      </w:pPr>
      <w:r w:rsidRPr="00C40620">
        <w:rPr>
          <w:rFonts w:ascii="Times New Roman" w:hAnsi="Times New Roman"/>
          <w:i/>
          <w:sz w:val="24"/>
          <w:szCs w:val="20"/>
          <w:lang w:val="lv-LV" w:eastAsia="lv-LV" w:bidi="lv-LV"/>
        </w:rPr>
        <w:t>Tirgus nepilnība</w:t>
      </w:r>
    </w:p>
    <w:p w14:paraId="1D892C3F"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atbalsta pasākums skar tirgus nepilnību vai būtisku nevienlīdzību, kas kavē platjoslas tīklu pakalpojumu pieejamību? </w:t>
      </w:r>
    </w:p>
    <w:p w14:paraId="3273399D" w14:textId="77777777" w:rsidR="00C40620" w:rsidRPr="00C40620" w:rsidRDefault="00EE2B65"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sidR="00C40620" w:rsidRPr="00C40620">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Nē</w:t>
      </w:r>
    </w:p>
    <w:p w14:paraId="097615E1" w14:textId="77777777" w:rsidR="00C40620" w:rsidRPr="00811D96"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811D96">
        <w:rPr>
          <w:rFonts w:ascii="Times New Roman" w:eastAsia="Times New Roman" w:hAnsi="Times New Roman"/>
          <w:sz w:val="24"/>
          <w:szCs w:val="20"/>
          <w:lang w:val="lv-LV"/>
        </w:rPr>
        <w:t xml:space="preserve">Ja atbilde c) apakšpunktā ir “jā”, lūdzu, aprakstiet šo tirgus nepilnību un sniedziet vispārīgu pārskatu par platjoslas tīklu tirgu attiecīgajā valstī vai reģionā un par atbalsta pasākuma </w:t>
      </w:r>
      <w:proofErr w:type="spellStart"/>
      <w:r w:rsidRPr="00811D96">
        <w:rPr>
          <w:rFonts w:ascii="Times New Roman" w:eastAsia="Times New Roman" w:hAnsi="Times New Roman"/>
          <w:sz w:val="24"/>
          <w:szCs w:val="20"/>
          <w:lang w:val="lv-LV"/>
        </w:rPr>
        <w:t>mērķteritorijām</w:t>
      </w:r>
      <w:proofErr w:type="spellEnd"/>
      <w:r w:rsidRPr="00811D96">
        <w:rPr>
          <w:rFonts w:ascii="Times New Roman" w:eastAsia="Times New Roman" w:hAnsi="Times New Roman"/>
          <w:sz w:val="24"/>
          <w:szCs w:val="20"/>
          <w:lang w:val="lv-LV"/>
        </w:rPr>
        <w:t xml:space="preserve">. </w:t>
      </w:r>
    </w:p>
    <w:p w14:paraId="1232040D" w14:textId="77777777" w:rsidR="00C40620" w:rsidRPr="00C40620" w:rsidRDefault="00C40620" w:rsidP="004A6A10">
      <w:pPr>
        <w:spacing w:before="120" w:after="120" w:line="240" w:lineRule="auto"/>
        <w:ind w:left="1134"/>
        <w:jc w:val="both"/>
        <w:rPr>
          <w:rFonts w:ascii="Times New Roman" w:eastAsia="Times New Roman" w:hAnsi="Times New Roman"/>
          <w:sz w:val="24"/>
          <w:szCs w:val="24"/>
          <w:lang w:val="lv-LV" w:eastAsia="lv-LV" w:bidi="lv-LV"/>
        </w:rPr>
      </w:pPr>
      <w:r w:rsidRPr="00EB343E">
        <w:rPr>
          <w:rFonts w:ascii="Times New Roman" w:eastAsia="Times New Roman" w:hAnsi="Times New Roman"/>
          <w:sz w:val="24"/>
          <w:szCs w:val="24"/>
          <w:lang w:val="lv-LV" w:eastAsia="lv-LV" w:bidi="lv-LV"/>
        </w:rPr>
        <w:t>Šajā pārskatā būtu jāietver informācija par platjoslas tīkla pārklājuma esošo līmeni, interneta izplatības pakāpi (pieslēgto mājsaimniecību un uzņēmumu skaitu), pakalpojumu pieejamības sadalījumu</w:t>
      </w:r>
      <w:r w:rsidRPr="00C40620">
        <w:rPr>
          <w:rFonts w:ascii="Times New Roman" w:eastAsia="Times New Roman" w:hAnsi="Times New Roman"/>
          <w:sz w:val="24"/>
          <w:szCs w:val="24"/>
          <w:lang w:val="lv-LV" w:eastAsia="lv-LV" w:bidi="lv-LV"/>
        </w:rPr>
        <w:t xml:space="preserve"> pa tehnoloģijām, galvenajām tendencēm (valsts vai reģionālajā) platjoslas tīklu tirgū, pilsētu/lauku atšķirības platjoslas tīklu pārklājuma ziņā, mazumtirdzniecības cenu salīdzinājumu ar cenām, kas tiek pieprasītas par tiem pašiem pakalpojumiem, kuri tiek sniegti valsts konkurētspējīgākās, bet citādi salīdzināmās teritorijās vai reģionos, pieejamajiem tehnoloģiskajiem risinājumiem platjoslas tīklu attīstībai un savienojamības </w:t>
      </w:r>
      <w:r w:rsidRPr="00C40620">
        <w:rPr>
          <w:rFonts w:ascii="Times New Roman" w:eastAsia="Times New Roman" w:hAnsi="Times New Roman"/>
          <w:spacing w:val="-4"/>
          <w:sz w:val="24"/>
          <w:szCs w:val="24"/>
          <w:lang w:val="lv-LV" w:eastAsia="lv-LV" w:bidi="lv-LV"/>
        </w:rPr>
        <w:t>pakalpojumu sniegšanai, konkurences situāciju elektroniskās komunikācijas</w:t>
      </w:r>
      <w:r w:rsidRPr="00C40620">
        <w:rPr>
          <w:rFonts w:ascii="Times New Roman" w:eastAsia="Times New Roman" w:hAnsi="Times New Roman"/>
          <w:sz w:val="24"/>
          <w:szCs w:val="24"/>
          <w:lang w:val="lv-LV" w:eastAsia="lv-LV" w:bidi="lv-LV"/>
        </w:rPr>
        <w:t xml:space="preserve"> tirgos (tirgu struktūru un dinamiku), pārskatu par valsts tiesisko regulējumu un par esošajām regulatīvajām saistībām attiecībā uz elektronisko komunikāciju operatoriem:</w:t>
      </w:r>
    </w:p>
    <w:p w14:paraId="2C7125FE" w14:textId="04AE1976"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 xml:space="preserve">Atbilstoši </w:t>
      </w:r>
      <w:r w:rsidR="00F4768E">
        <w:rPr>
          <w:rFonts w:ascii="Times New Roman" w:hAnsi="Times New Roman" w:cs="Times New Roman"/>
          <w:sz w:val="24"/>
          <w:szCs w:val="24"/>
        </w:rPr>
        <w:t>P</w:t>
      </w:r>
      <w:r w:rsidRPr="006B351C">
        <w:rPr>
          <w:rFonts w:ascii="Times New Roman" w:hAnsi="Times New Roman" w:cs="Times New Roman"/>
          <w:sz w:val="24"/>
          <w:szCs w:val="24"/>
        </w:rPr>
        <w:t>ētījuma datiem, platjoslas fiksētie VHCN pakalpojumi ar datu lejupielādes ātrumu vismaz 30 Mb</w:t>
      </w:r>
      <w:r>
        <w:rPr>
          <w:rFonts w:ascii="Times New Roman" w:hAnsi="Times New Roman" w:cs="Times New Roman"/>
          <w:sz w:val="24"/>
          <w:szCs w:val="24"/>
        </w:rPr>
        <w:t>it/</w:t>
      </w:r>
      <w:r w:rsidRPr="006B351C">
        <w:rPr>
          <w:rFonts w:ascii="Times New Roman" w:hAnsi="Times New Roman" w:cs="Times New Roman"/>
          <w:sz w:val="24"/>
          <w:szCs w:val="24"/>
        </w:rPr>
        <w:t xml:space="preserve">s ir pieejami apmēram 9.34% valsts teritoriju, taču tajās dzīvo 84.1% valsts iedzīvotāju.  </w:t>
      </w:r>
    </w:p>
    <w:p w14:paraId="0BCB3F2B" w14:textId="325632E1"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VHCN tīkli ar simetrisku ātrumu vismaz 100M</w:t>
      </w:r>
      <w:r>
        <w:rPr>
          <w:rFonts w:ascii="Times New Roman" w:hAnsi="Times New Roman" w:cs="Times New Roman"/>
          <w:sz w:val="24"/>
          <w:szCs w:val="24"/>
        </w:rPr>
        <w:t>it/</w:t>
      </w:r>
      <w:r w:rsidRPr="006B351C">
        <w:rPr>
          <w:rFonts w:ascii="Times New Roman" w:hAnsi="Times New Roman" w:cs="Times New Roman"/>
          <w:sz w:val="24"/>
          <w:szCs w:val="24"/>
        </w:rPr>
        <w:t xml:space="preserve">s, savukārt, pieejami tikai apmēram 1.6% valsts teritoriju (lielajās pilsētās un apdzīvotajās vietās), taču tajās dzīvo 70.1% iedzīvotāju. </w:t>
      </w:r>
    </w:p>
    <w:p w14:paraId="0F430973" w14:textId="4D60C9ED"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Tā kā šīs relatīvi nelielās teritorijas, kur VHCN pakalpojumi ir pieejami, ir pilsētas un lielās apdzīvotās vietas, valstī ir ļoti lielas pilsētu</w:t>
      </w:r>
      <w:r>
        <w:rPr>
          <w:rFonts w:ascii="Times New Roman" w:hAnsi="Times New Roman" w:cs="Times New Roman"/>
          <w:sz w:val="24"/>
          <w:szCs w:val="24"/>
        </w:rPr>
        <w:t xml:space="preserve"> un </w:t>
      </w:r>
      <w:r w:rsidRPr="006B351C">
        <w:rPr>
          <w:rFonts w:ascii="Times New Roman" w:hAnsi="Times New Roman" w:cs="Times New Roman"/>
          <w:sz w:val="24"/>
          <w:szCs w:val="24"/>
        </w:rPr>
        <w:t>lauku atšķirības platjoslas tīklu pārklājuma ziņā. Šī situācija nav apmierinoša un ir jāuzlabo, lai gan tā ir objektīvi saistīta ar zemu iedzīvotāju vidējo blīvumu valstī, vēsturiski lielu iedzīvotāju koncentrāciju Rīgas areālā un reģionālajos centros, kā arī ar aktīvu migrāciju no lauku teritorijām uz šiem centriem vai uz ārvalstīm.</w:t>
      </w:r>
    </w:p>
    <w:p w14:paraId="19CE366E" w14:textId="77777777"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Lai novērstu tirgus nepilnību, kas saistīta ar zemu iedzīvotāju blīvumu lielā daļā valsts teritorijas, kas nepieļauj pietiekami ātru VHCN platjoslas tīklu izvēršanas investīciju atmaksāšanos, nepieciešams valsts atbalsts šādu platjoslas tīklu izvēršanai teritorijās, kur tie nav pieejami.</w:t>
      </w:r>
    </w:p>
    <w:p w14:paraId="170ACF8A" w14:textId="3C5711F2"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 xml:space="preserve">Pētījuma dati un veiktā analīze rāda, ka mobilie tīkli ir pieejami apmēram 90% valsts teritoriju un tajās dzīvo apmēram 97.7% valsts iedzīvotāju. Praktisko mobilā tīkla ātrdarbību var novērtēt, balstoties uz </w:t>
      </w:r>
      <w:r>
        <w:rPr>
          <w:rFonts w:ascii="Times New Roman" w:hAnsi="Times New Roman" w:cs="Times New Roman"/>
          <w:sz w:val="24"/>
          <w:szCs w:val="24"/>
        </w:rPr>
        <w:t>Sabiedriskās pakalpojumu regulēšanas komisijas</w:t>
      </w:r>
      <w:r w:rsidRPr="006B351C">
        <w:rPr>
          <w:rFonts w:ascii="Times New Roman" w:hAnsi="Times New Roman" w:cs="Times New Roman"/>
          <w:sz w:val="24"/>
          <w:szCs w:val="24"/>
        </w:rPr>
        <w:t xml:space="preserve"> regulāri veiktajiem mērījumiem. Atbilstoši </w:t>
      </w:r>
      <w:r>
        <w:rPr>
          <w:rFonts w:ascii="Times New Roman" w:hAnsi="Times New Roman" w:cs="Times New Roman"/>
          <w:sz w:val="24"/>
          <w:szCs w:val="24"/>
        </w:rPr>
        <w:t xml:space="preserve">Sabiedriskās </w:t>
      </w:r>
      <w:r>
        <w:rPr>
          <w:rFonts w:ascii="Times New Roman" w:hAnsi="Times New Roman" w:cs="Times New Roman"/>
          <w:sz w:val="24"/>
          <w:szCs w:val="24"/>
        </w:rPr>
        <w:lastRenderedPageBreak/>
        <w:t>pakalpojumu regulēšanas komisijas</w:t>
      </w:r>
      <w:r w:rsidRPr="006B351C">
        <w:rPr>
          <w:rFonts w:ascii="Times New Roman" w:hAnsi="Times New Roman" w:cs="Times New Roman"/>
          <w:sz w:val="24"/>
          <w:szCs w:val="24"/>
        </w:rPr>
        <w:t xml:space="preserve"> 2019. gada mērījumiem</w:t>
      </w:r>
      <w:r w:rsidRPr="006B351C">
        <w:rPr>
          <w:rStyle w:val="FootnoteReference"/>
          <w:rFonts w:ascii="Times New Roman" w:hAnsi="Times New Roman" w:cs="Times New Roman"/>
          <w:sz w:val="24"/>
          <w:szCs w:val="24"/>
        </w:rPr>
        <w:footnoteReference w:id="21"/>
      </w:r>
      <w:r w:rsidRPr="006B351C">
        <w:rPr>
          <w:rFonts w:ascii="Times New Roman" w:hAnsi="Times New Roman" w:cs="Times New Roman"/>
          <w:sz w:val="24"/>
          <w:szCs w:val="24"/>
        </w:rPr>
        <w:t xml:space="preserve">, </w:t>
      </w:r>
      <w:proofErr w:type="spellStart"/>
      <w:r w:rsidRPr="006B351C">
        <w:rPr>
          <w:rFonts w:ascii="Times New Roman" w:hAnsi="Times New Roman" w:cs="Times New Roman"/>
          <w:sz w:val="24"/>
          <w:szCs w:val="24"/>
        </w:rPr>
        <w:t>pieslēguma</w:t>
      </w:r>
      <w:proofErr w:type="spellEnd"/>
      <w:r w:rsidRPr="006B351C">
        <w:rPr>
          <w:rFonts w:ascii="Times New Roman" w:hAnsi="Times New Roman" w:cs="Times New Roman"/>
          <w:sz w:val="24"/>
          <w:szCs w:val="24"/>
        </w:rPr>
        <w:t xml:space="preserve"> ātruma vidējās vērtības 95% mērījumu 4G datu pārraides tehnoloģijā 2019.gadā Latvijā bija 36.6 Mb</w:t>
      </w:r>
      <w:r>
        <w:rPr>
          <w:rFonts w:ascii="Times New Roman" w:hAnsi="Times New Roman" w:cs="Times New Roman"/>
          <w:sz w:val="24"/>
          <w:szCs w:val="24"/>
        </w:rPr>
        <w:t>it/</w:t>
      </w:r>
      <w:r w:rsidRPr="006B351C">
        <w:rPr>
          <w:rFonts w:ascii="Times New Roman" w:hAnsi="Times New Roman" w:cs="Times New Roman"/>
          <w:sz w:val="24"/>
          <w:szCs w:val="24"/>
        </w:rPr>
        <w:t>s lejupielādei un 19.15 Mb</w:t>
      </w:r>
      <w:r>
        <w:rPr>
          <w:rFonts w:ascii="Times New Roman" w:hAnsi="Times New Roman" w:cs="Times New Roman"/>
          <w:sz w:val="24"/>
          <w:szCs w:val="24"/>
        </w:rPr>
        <w:t>it/</w:t>
      </w:r>
      <w:r w:rsidRPr="006B351C">
        <w:rPr>
          <w:rFonts w:ascii="Times New Roman" w:hAnsi="Times New Roman" w:cs="Times New Roman"/>
          <w:sz w:val="24"/>
          <w:szCs w:val="24"/>
        </w:rPr>
        <w:t>s augšupielādei. Tādējādi var uzskatīt, ka valstī ir nodrošināts labs mobilā interneta pārklājums ar vidējo ātrumu ap 30 Mb</w:t>
      </w:r>
      <w:r>
        <w:rPr>
          <w:rFonts w:ascii="Times New Roman" w:hAnsi="Times New Roman" w:cs="Times New Roman"/>
          <w:sz w:val="24"/>
          <w:szCs w:val="24"/>
        </w:rPr>
        <w:t>it/</w:t>
      </w:r>
      <w:r w:rsidRPr="006B351C">
        <w:rPr>
          <w:rFonts w:ascii="Times New Roman" w:hAnsi="Times New Roman" w:cs="Times New Roman"/>
          <w:sz w:val="24"/>
          <w:szCs w:val="24"/>
        </w:rPr>
        <w:t>s. Taču vienlaicīgi jānorāda, ka lejupielādes ātrums virs 30 Mb</w:t>
      </w:r>
      <w:r>
        <w:rPr>
          <w:rFonts w:ascii="Times New Roman" w:hAnsi="Times New Roman" w:cs="Times New Roman"/>
          <w:sz w:val="24"/>
          <w:szCs w:val="24"/>
        </w:rPr>
        <w:t>it/</w:t>
      </w:r>
      <w:r w:rsidRPr="006B351C">
        <w:rPr>
          <w:rFonts w:ascii="Times New Roman" w:hAnsi="Times New Roman" w:cs="Times New Roman"/>
          <w:sz w:val="24"/>
          <w:szCs w:val="24"/>
        </w:rPr>
        <w:t xml:space="preserve">s ir bijis tikai 64% no mērījumu, kas veikti dažādās vietās valstī. </w:t>
      </w:r>
      <w:r>
        <w:rPr>
          <w:rFonts w:ascii="Times New Roman" w:hAnsi="Times New Roman" w:cs="Times New Roman"/>
          <w:sz w:val="24"/>
          <w:szCs w:val="24"/>
        </w:rPr>
        <w:t>Sabiedriskās pakalpojumu regulēšanas komisijas</w:t>
      </w:r>
      <w:r w:rsidRPr="006B351C">
        <w:rPr>
          <w:rFonts w:ascii="Times New Roman" w:hAnsi="Times New Roman" w:cs="Times New Roman"/>
          <w:sz w:val="24"/>
          <w:szCs w:val="24"/>
        </w:rPr>
        <w:t xml:space="preserve"> atzīmē, ka, lai gan kopumā pakalpojuma pieejamība valstī ir laba, tomēr atsevišķos mērījumos novērotas augšupielādes ātruma vērtības, kas ir zemākas pat par 256 </w:t>
      </w:r>
      <w:proofErr w:type="spellStart"/>
      <w:r w:rsidRPr="006B351C">
        <w:rPr>
          <w:rFonts w:ascii="Times New Roman" w:hAnsi="Times New Roman" w:cs="Times New Roman"/>
          <w:sz w:val="24"/>
          <w:szCs w:val="24"/>
        </w:rPr>
        <w:t>Kb</w:t>
      </w:r>
      <w:r>
        <w:rPr>
          <w:rFonts w:ascii="Times New Roman" w:hAnsi="Times New Roman" w:cs="Times New Roman"/>
          <w:sz w:val="24"/>
          <w:szCs w:val="24"/>
        </w:rPr>
        <w:t>it</w:t>
      </w:r>
      <w:proofErr w:type="spellEnd"/>
      <w:r>
        <w:rPr>
          <w:rFonts w:ascii="Times New Roman" w:hAnsi="Times New Roman" w:cs="Times New Roman"/>
          <w:sz w:val="24"/>
          <w:szCs w:val="24"/>
        </w:rPr>
        <w:t>/</w:t>
      </w:r>
      <w:r w:rsidRPr="006B351C">
        <w:rPr>
          <w:rFonts w:ascii="Times New Roman" w:hAnsi="Times New Roman" w:cs="Times New Roman"/>
          <w:sz w:val="24"/>
          <w:szCs w:val="24"/>
        </w:rPr>
        <w:t xml:space="preserve">s, un šādās teritorijās pakalpojuma pieejamība var būt būtiski traucēta. </w:t>
      </w:r>
    </w:p>
    <w:p w14:paraId="14C88FBE" w14:textId="77777777"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Lai novērstu tirgus nepilnību, kas saistīta ar iedzīvotāju neesamību vai ļoti zemu to blīvumu nelielā daļā valsts teritorijas, kur mobilie operatori nav ieinteresēti piedāvāt savus pakalpojumus, nepieciešams valsts atbalsts pamata vai VHCN platjoslas tīklu izvēršanai šajās teritorijās, tā nodrošinot mobilā tīkla pārklājumu visā valsts teritorijā.</w:t>
      </w:r>
    </w:p>
    <w:p w14:paraId="6D3F1EBF" w14:textId="77777777" w:rsidR="006B351C" w:rsidRPr="006B351C" w:rsidRDefault="006B351C" w:rsidP="00AF5E20">
      <w:pPr>
        <w:pStyle w:val="HeadingText"/>
        <w:spacing w:after="0"/>
        <w:ind w:left="1134"/>
        <w:rPr>
          <w:rFonts w:ascii="Times New Roman" w:hAnsi="Times New Roman" w:cs="Times New Roman"/>
          <w:color w:val="auto"/>
          <w:sz w:val="24"/>
          <w:szCs w:val="24"/>
        </w:rPr>
      </w:pPr>
      <w:r w:rsidRPr="006B351C">
        <w:rPr>
          <w:rFonts w:ascii="Times New Roman" w:hAnsi="Times New Roman" w:cs="Times New Roman"/>
          <w:color w:val="auto"/>
          <w:sz w:val="24"/>
          <w:szCs w:val="24"/>
        </w:rPr>
        <w:t>Platjoslas pakalpojumu pieejamības sadalījums pa tehnoloģijām</w:t>
      </w:r>
    </w:p>
    <w:p w14:paraId="298B8477" w14:textId="5868D23B"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 xml:space="preserve">Fiksēto platjoslas pakalpojumu jomā Latvijā ir liels VHCN </w:t>
      </w:r>
      <w:proofErr w:type="spellStart"/>
      <w:r w:rsidRPr="006B351C">
        <w:rPr>
          <w:rFonts w:ascii="Times New Roman" w:hAnsi="Times New Roman" w:cs="Times New Roman"/>
          <w:sz w:val="24"/>
          <w:szCs w:val="24"/>
        </w:rPr>
        <w:t>pieslēgumu</w:t>
      </w:r>
      <w:proofErr w:type="spellEnd"/>
      <w:r w:rsidRPr="006B351C">
        <w:rPr>
          <w:rFonts w:ascii="Times New Roman" w:hAnsi="Times New Roman" w:cs="Times New Roman"/>
          <w:sz w:val="24"/>
          <w:szCs w:val="24"/>
        </w:rPr>
        <w:t xml:space="preserve"> īpatsvars - 80% </w:t>
      </w:r>
      <w:proofErr w:type="spellStart"/>
      <w:r w:rsidRPr="006B351C">
        <w:rPr>
          <w:rFonts w:ascii="Times New Roman" w:hAnsi="Times New Roman" w:cs="Times New Roman"/>
          <w:sz w:val="24"/>
          <w:szCs w:val="24"/>
        </w:rPr>
        <w:t>pieslēgumu</w:t>
      </w:r>
      <w:proofErr w:type="spellEnd"/>
      <w:r w:rsidRPr="006B351C">
        <w:rPr>
          <w:rFonts w:ascii="Times New Roman" w:hAnsi="Times New Roman" w:cs="Times New Roman"/>
          <w:sz w:val="24"/>
          <w:szCs w:val="24"/>
        </w:rPr>
        <w:t xml:space="preserve"> nodrošina ātrumus virs 30Mb</w:t>
      </w:r>
      <w:r>
        <w:rPr>
          <w:rFonts w:ascii="Times New Roman" w:hAnsi="Times New Roman" w:cs="Times New Roman"/>
          <w:sz w:val="24"/>
          <w:szCs w:val="24"/>
        </w:rPr>
        <w:t>it/</w:t>
      </w:r>
      <w:r w:rsidRPr="006B351C">
        <w:rPr>
          <w:rFonts w:ascii="Times New Roman" w:hAnsi="Times New Roman" w:cs="Times New Roman"/>
          <w:sz w:val="24"/>
          <w:szCs w:val="24"/>
        </w:rPr>
        <w:t xml:space="preserve">s un 70% ir optiskie VHCN </w:t>
      </w:r>
      <w:proofErr w:type="spellStart"/>
      <w:r w:rsidRPr="006B351C">
        <w:rPr>
          <w:rFonts w:ascii="Times New Roman" w:hAnsi="Times New Roman" w:cs="Times New Roman"/>
          <w:sz w:val="24"/>
          <w:szCs w:val="24"/>
        </w:rPr>
        <w:t>pieslēgumi</w:t>
      </w:r>
      <w:proofErr w:type="spellEnd"/>
      <w:r w:rsidRPr="006B351C">
        <w:rPr>
          <w:rFonts w:ascii="Times New Roman" w:hAnsi="Times New Roman" w:cs="Times New Roman"/>
          <w:sz w:val="24"/>
          <w:szCs w:val="24"/>
        </w:rPr>
        <w:t>, kas nodrošina simetriskus lejupielādes un augšupielādes ātrumus virs 100</w:t>
      </w:r>
      <w:r>
        <w:rPr>
          <w:rFonts w:ascii="Times New Roman" w:hAnsi="Times New Roman" w:cs="Times New Roman"/>
          <w:sz w:val="24"/>
          <w:szCs w:val="24"/>
        </w:rPr>
        <w:t xml:space="preserve"> </w:t>
      </w:r>
      <w:r w:rsidRPr="006B351C">
        <w:rPr>
          <w:rFonts w:ascii="Times New Roman" w:hAnsi="Times New Roman" w:cs="Times New Roman"/>
          <w:sz w:val="24"/>
          <w:szCs w:val="24"/>
        </w:rPr>
        <w:t>Mb</w:t>
      </w:r>
      <w:r>
        <w:rPr>
          <w:rFonts w:ascii="Times New Roman" w:hAnsi="Times New Roman" w:cs="Times New Roman"/>
          <w:sz w:val="24"/>
          <w:szCs w:val="24"/>
        </w:rPr>
        <w:t>it/</w:t>
      </w:r>
      <w:r w:rsidRPr="006B351C">
        <w:rPr>
          <w:rFonts w:ascii="Times New Roman" w:hAnsi="Times New Roman" w:cs="Times New Roman"/>
          <w:sz w:val="24"/>
          <w:szCs w:val="24"/>
        </w:rPr>
        <w:t>s. VHCN tīklos, kas nodrošina pakalpojumus ar ātrumiem starp 30 un 100 Mb</w:t>
      </w:r>
      <w:r>
        <w:rPr>
          <w:rFonts w:ascii="Times New Roman" w:hAnsi="Times New Roman" w:cs="Times New Roman"/>
          <w:sz w:val="24"/>
          <w:szCs w:val="24"/>
        </w:rPr>
        <w:t>it/</w:t>
      </w:r>
      <w:r w:rsidRPr="006B351C">
        <w:rPr>
          <w:rFonts w:ascii="Times New Roman" w:hAnsi="Times New Roman" w:cs="Times New Roman"/>
          <w:sz w:val="24"/>
          <w:szCs w:val="24"/>
        </w:rPr>
        <w:t xml:space="preserve">s, šobrīd tiek izmantotas dažādas vadu (telefona kabeļi (DSL, VDSL), koaksiālie kabeļi (DOCSIS), </w:t>
      </w:r>
      <w:proofErr w:type="spellStart"/>
      <w:r w:rsidRPr="006B351C">
        <w:rPr>
          <w:rFonts w:ascii="Times New Roman" w:hAnsi="Times New Roman" w:cs="Times New Roman"/>
          <w:sz w:val="24"/>
          <w:szCs w:val="24"/>
        </w:rPr>
        <w:t>Ethernet</w:t>
      </w:r>
      <w:proofErr w:type="spellEnd"/>
      <w:r w:rsidRPr="006B351C">
        <w:rPr>
          <w:rFonts w:ascii="Times New Roman" w:hAnsi="Times New Roman" w:cs="Times New Roman"/>
          <w:sz w:val="24"/>
          <w:szCs w:val="24"/>
        </w:rPr>
        <w:t xml:space="preserve"> tīkli) un radio tehnoloģijas, kas pakāpeniski tiek aizvietotas ar optiku, tā pārejot uz VHCN.</w:t>
      </w:r>
    </w:p>
    <w:p w14:paraId="6865A577" w14:textId="77777777"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 xml:space="preserve">Mobilie platjoslas pakalpojumi praktiski visur valstī tiek nodrošināti, izmantojot 4G tehnoloģijas.  </w:t>
      </w:r>
    </w:p>
    <w:p w14:paraId="1E89B713" w14:textId="77777777" w:rsidR="006B351C" w:rsidRPr="006B351C" w:rsidRDefault="006B351C" w:rsidP="00AF5E20">
      <w:pPr>
        <w:pStyle w:val="HeadingText"/>
        <w:spacing w:after="0"/>
        <w:ind w:left="1134"/>
        <w:rPr>
          <w:rFonts w:ascii="Times New Roman" w:hAnsi="Times New Roman" w:cs="Times New Roman"/>
          <w:color w:val="auto"/>
          <w:sz w:val="24"/>
          <w:szCs w:val="24"/>
        </w:rPr>
      </w:pPr>
      <w:r w:rsidRPr="006B351C">
        <w:rPr>
          <w:rFonts w:ascii="Times New Roman" w:hAnsi="Times New Roman" w:cs="Times New Roman"/>
          <w:color w:val="auto"/>
          <w:sz w:val="24"/>
          <w:szCs w:val="24"/>
        </w:rPr>
        <w:t>Galvenās tendences platjoslas tīklu tirgū</w:t>
      </w:r>
    </w:p>
    <w:p w14:paraId="24411C83" w14:textId="2B1EF42F"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Galvenā tendence fiksētās platjoslas tirgū ir VHCN optisko tīklu, kas nodrošina  simetriskus ātrumus no 100</w:t>
      </w:r>
      <w:r>
        <w:rPr>
          <w:rFonts w:ascii="Times New Roman" w:hAnsi="Times New Roman" w:cs="Times New Roman"/>
          <w:sz w:val="24"/>
          <w:szCs w:val="24"/>
        </w:rPr>
        <w:t xml:space="preserve"> </w:t>
      </w:r>
      <w:r w:rsidRPr="006B351C">
        <w:rPr>
          <w:rFonts w:ascii="Times New Roman" w:hAnsi="Times New Roman" w:cs="Times New Roman"/>
          <w:sz w:val="24"/>
          <w:szCs w:val="24"/>
        </w:rPr>
        <w:t>Mb</w:t>
      </w:r>
      <w:r>
        <w:rPr>
          <w:rFonts w:ascii="Times New Roman" w:hAnsi="Times New Roman" w:cs="Times New Roman"/>
          <w:sz w:val="24"/>
          <w:szCs w:val="24"/>
        </w:rPr>
        <w:t>it/</w:t>
      </w:r>
      <w:r w:rsidRPr="006B351C">
        <w:rPr>
          <w:rFonts w:ascii="Times New Roman" w:hAnsi="Times New Roman" w:cs="Times New Roman"/>
          <w:sz w:val="24"/>
          <w:szCs w:val="24"/>
        </w:rPr>
        <w:t>s līdz pat 1 Gb</w:t>
      </w:r>
      <w:r>
        <w:rPr>
          <w:rFonts w:ascii="Times New Roman" w:hAnsi="Times New Roman" w:cs="Times New Roman"/>
          <w:sz w:val="24"/>
          <w:szCs w:val="24"/>
        </w:rPr>
        <w:t>it/</w:t>
      </w:r>
      <w:r w:rsidRPr="006B351C">
        <w:rPr>
          <w:rFonts w:ascii="Times New Roman" w:hAnsi="Times New Roman" w:cs="Times New Roman"/>
          <w:sz w:val="24"/>
          <w:szCs w:val="24"/>
        </w:rPr>
        <w:t xml:space="preserve">s (atkarībā no klienta vajadzībām) pieejamības palielināšanās. </w:t>
      </w:r>
    </w:p>
    <w:p w14:paraId="70EF8170" w14:textId="77777777" w:rsidR="006B351C" w:rsidRPr="00CA2228" w:rsidRDefault="006B351C" w:rsidP="00AF5E20">
      <w:pPr>
        <w:pStyle w:val="BodyText"/>
        <w:spacing w:after="0"/>
        <w:ind w:left="1134"/>
        <w:jc w:val="both"/>
        <w:rPr>
          <w:rFonts w:ascii="Times New Roman" w:hAnsi="Times New Roman" w:cs="Times New Roman"/>
          <w:sz w:val="24"/>
          <w:szCs w:val="24"/>
        </w:rPr>
      </w:pPr>
      <w:r w:rsidRPr="00CA2228">
        <w:rPr>
          <w:rFonts w:ascii="Times New Roman" w:hAnsi="Times New Roman" w:cs="Times New Roman"/>
          <w:sz w:val="24"/>
          <w:szCs w:val="24"/>
        </w:rPr>
        <w:t>Vērojama operatoru investīciju nepietiekamība VHCN tīklu izvēršanai, lai sasniegtu ES gigabitu savienojamības mērķus, jo biezi apdzīvotajās teritorijās šie tīkli ir izvērsti un turpmākās investīcijas jāveic teritorijās, kur nav sagaidāma ātra to atmaksāšanās. Tam būtu nepieciešams valsts atbalsts.</w:t>
      </w:r>
    </w:p>
    <w:p w14:paraId="2F459A34" w14:textId="23CFCC4F"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Attiecībā uz mobilās platjoslas tirgu var atzīmēt, ka praktiski pilnībā ir notikusi pāreja uz 4G tīkliem (tikai 10 no visu 3 mobilo operatoru apmērām 3000 bāzes stacijām nenodrošina 4G). Tādējādi apmēram 90% valsts teritorijas ir pieejams 4G mobilais tīkls ar teorētisko lejupielādes ātrumu līdz 100</w:t>
      </w:r>
      <w:r w:rsidR="00F25619">
        <w:rPr>
          <w:rFonts w:ascii="Times New Roman" w:hAnsi="Times New Roman" w:cs="Times New Roman"/>
          <w:sz w:val="24"/>
          <w:szCs w:val="24"/>
        </w:rPr>
        <w:t xml:space="preserve"> </w:t>
      </w:r>
      <w:r w:rsidRPr="006B351C">
        <w:rPr>
          <w:rFonts w:ascii="Times New Roman" w:hAnsi="Times New Roman" w:cs="Times New Roman"/>
          <w:sz w:val="24"/>
          <w:szCs w:val="24"/>
        </w:rPr>
        <w:t>Mb</w:t>
      </w:r>
      <w:r w:rsidR="00F25619">
        <w:rPr>
          <w:rFonts w:ascii="Times New Roman" w:hAnsi="Times New Roman" w:cs="Times New Roman"/>
          <w:sz w:val="24"/>
          <w:szCs w:val="24"/>
        </w:rPr>
        <w:t>it/</w:t>
      </w:r>
      <w:r w:rsidRPr="006B351C">
        <w:rPr>
          <w:rFonts w:ascii="Times New Roman" w:hAnsi="Times New Roman" w:cs="Times New Roman"/>
          <w:sz w:val="24"/>
          <w:szCs w:val="24"/>
        </w:rPr>
        <w:t>s (bāzes staciju tiešā tuvumā, ja bāzes staciju izmanto neliels abonentu skaits). Kā jau minēts, lejupielādes ātrums virs 30</w:t>
      </w:r>
      <w:r w:rsidR="00F25619">
        <w:rPr>
          <w:rFonts w:ascii="Times New Roman" w:hAnsi="Times New Roman" w:cs="Times New Roman"/>
          <w:sz w:val="24"/>
          <w:szCs w:val="24"/>
        </w:rPr>
        <w:t xml:space="preserve"> </w:t>
      </w:r>
      <w:r w:rsidRPr="006B351C">
        <w:rPr>
          <w:rFonts w:ascii="Times New Roman" w:hAnsi="Times New Roman" w:cs="Times New Roman"/>
          <w:sz w:val="24"/>
          <w:szCs w:val="24"/>
        </w:rPr>
        <w:t>Mb</w:t>
      </w:r>
      <w:r w:rsidR="00F25619">
        <w:rPr>
          <w:rFonts w:ascii="Times New Roman" w:hAnsi="Times New Roman" w:cs="Times New Roman"/>
          <w:sz w:val="24"/>
          <w:szCs w:val="24"/>
        </w:rPr>
        <w:t>it/</w:t>
      </w:r>
      <w:r w:rsidRPr="006B351C">
        <w:rPr>
          <w:rFonts w:ascii="Times New Roman" w:hAnsi="Times New Roman" w:cs="Times New Roman"/>
          <w:sz w:val="24"/>
          <w:szCs w:val="24"/>
        </w:rPr>
        <w:t>s ir bijis tikai 64% mērījumu dažādās valsts daļās dažādos laikos.</w:t>
      </w:r>
    </w:p>
    <w:p w14:paraId="1C3981C1" w14:textId="77777777" w:rsidR="006B351C" w:rsidRPr="00F25619" w:rsidRDefault="006B351C" w:rsidP="00AF5E20">
      <w:pPr>
        <w:pStyle w:val="HeadingText"/>
        <w:spacing w:after="0"/>
        <w:ind w:left="1134"/>
        <w:rPr>
          <w:rFonts w:ascii="Times New Roman" w:hAnsi="Times New Roman" w:cs="Times New Roman"/>
          <w:color w:val="auto"/>
          <w:sz w:val="24"/>
          <w:szCs w:val="24"/>
        </w:rPr>
      </w:pPr>
      <w:r w:rsidRPr="00F25619">
        <w:rPr>
          <w:rFonts w:ascii="Times New Roman" w:hAnsi="Times New Roman" w:cs="Times New Roman"/>
          <w:color w:val="auto"/>
          <w:sz w:val="24"/>
          <w:szCs w:val="24"/>
        </w:rPr>
        <w:t xml:space="preserve">Platjoslas pakalpojumu </w:t>
      </w:r>
      <w:bookmarkStart w:id="4" w:name="_Hlk58861564"/>
      <w:r w:rsidRPr="00F25619">
        <w:rPr>
          <w:rFonts w:ascii="Times New Roman" w:hAnsi="Times New Roman" w:cs="Times New Roman"/>
          <w:color w:val="auto"/>
          <w:sz w:val="24"/>
          <w:szCs w:val="24"/>
        </w:rPr>
        <w:t xml:space="preserve">mazumtirdzniecības </w:t>
      </w:r>
      <w:bookmarkEnd w:id="4"/>
      <w:r w:rsidRPr="00F25619">
        <w:rPr>
          <w:rFonts w:ascii="Times New Roman" w:hAnsi="Times New Roman" w:cs="Times New Roman"/>
          <w:color w:val="auto"/>
          <w:sz w:val="24"/>
          <w:szCs w:val="24"/>
        </w:rPr>
        <w:t>cenas</w:t>
      </w:r>
    </w:p>
    <w:p w14:paraId="653379D1" w14:textId="4D6780C3"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Tā kā visi 3 valsts mobilo sakaru operatori savus pakalpojumus piedāvā visā valstī, to  cenas visur ir vienādas. Operatoru konkurence nodrošina gala lietotājiem pieejamas cenas, kas sākas no apmēram 10 EUR mēnesī un iekļauj interneta pieeju ar vidējo ātrumu ap 30</w:t>
      </w:r>
      <w:r w:rsidR="00260184">
        <w:rPr>
          <w:rFonts w:ascii="Times New Roman" w:hAnsi="Times New Roman" w:cs="Times New Roman"/>
          <w:sz w:val="24"/>
          <w:szCs w:val="24"/>
        </w:rPr>
        <w:t xml:space="preserve"> </w:t>
      </w:r>
      <w:r w:rsidRPr="006B351C">
        <w:rPr>
          <w:rFonts w:ascii="Times New Roman" w:hAnsi="Times New Roman" w:cs="Times New Roman"/>
          <w:sz w:val="24"/>
          <w:szCs w:val="24"/>
        </w:rPr>
        <w:t>Mb</w:t>
      </w:r>
      <w:r w:rsidR="00260184">
        <w:rPr>
          <w:rFonts w:ascii="Times New Roman" w:hAnsi="Times New Roman" w:cs="Times New Roman"/>
          <w:sz w:val="24"/>
          <w:szCs w:val="24"/>
        </w:rPr>
        <w:t>it/</w:t>
      </w:r>
      <w:r w:rsidRPr="006B351C">
        <w:rPr>
          <w:rFonts w:ascii="Times New Roman" w:hAnsi="Times New Roman" w:cs="Times New Roman"/>
          <w:sz w:val="24"/>
          <w:szCs w:val="24"/>
        </w:rPr>
        <w:t>s.</w:t>
      </w:r>
    </w:p>
    <w:p w14:paraId="02D52351" w14:textId="4DB54021"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lastRenderedPageBreak/>
        <w:t xml:space="preserve">Arī fiksēto platjoslas pakalpojumu mazumtirdzniecības cenas dažādās vietās valstī, kur šādi pakalpojumi ir pieejami, ir ļoti tuvas, jo lielākais pakalpojumu sniedzējs </w:t>
      </w:r>
      <w:r w:rsidR="00D02523">
        <w:rPr>
          <w:rFonts w:ascii="Times New Roman" w:hAnsi="Times New Roman" w:cs="Times New Roman"/>
          <w:sz w:val="24"/>
          <w:szCs w:val="24"/>
        </w:rPr>
        <w:t>SIA “</w:t>
      </w:r>
      <w:proofErr w:type="spellStart"/>
      <w:r w:rsidRPr="006B351C">
        <w:rPr>
          <w:rFonts w:ascii="Times New Roman" w:hAnsi="Times New Roman" w:cs="Times New Roman"/>
          <w:sz w:val="24"/>
          <w:szCs w:val="24"/>
        </w:rPr>
        <w:t>Tet</w:t>
      </w:r>
      <w:proofErr w:type="spellEnd"/>
      <w:r w:rsidR="00D02523">
        <w:rPr>
          <w:rFonts w:ascii="Times New Roman" w:hAnsi="Times New Roman" w:cs="Times New Roman"/>
          <w:sz w:val="24"/>
          <w:szCs w:val="24"/>
        </w:rPr>
        <w:t xml:space="preserve">” </w:t>
      </w:r>
      <w:r w:rsidRPr="006B351C">
        <w:rPr>
          <w:rFonts w:ascii="Times New Roman" w:hAnsi="Times New Roman" w:cs="Times New Roman"/>
          <w:sz w:val="24"/>
          <w:szCs w:val="24"/>
        </w:rPr>
        <w:t>piedāvā savus pakalpojumus par vienādām cenām visā valstī, un pārējiem tirgus spēlētājiem ir jākonkurē ar līdzīgām cenām. Šīs cenas sākas no apmēram 15 EUR mēnesī par pakalpojumu ar simetrisku 100</w:t>
      </w:r>
      <w:r w:rsidR="00260184">
        <w:rPr>
          <w:rFonts w:ascii="Times New Roman" w:hAnsi="Times New Roman" w:cs="Times New Roman"/>
          <w:sz w:val="24"/>
          <w:szCs w:val="24"/>
        </w:rPr>
        <w:t xml:space="preserve"> </w:t>
      </w:r>
      <w:r w:rsidRPr="006B351C">
        <w:rPr>
          <w:rFonts w:ascii="Times New Roman" w:hAnsi="Times New Roman" w:cs="Times New Roman"/>
          <w:sz w:val="24"/>
          <w:szCs w:val="24"/>
        </w:rPr>
        <w:t>Mb</w:t>
      </w:r>
      <w:r w:rsidR="00260184">
        <w:rPr>
          <w:rFonts w:ascii="Times New Roman" w:hAnsi="Times New Roman" w:cs="Times New Roman"/>
          <w:sz w:val="24"/>
          <w:szCs w:val="24"/>
        </w:rPr>
        <w:t>it/</w:t>
      </w:r>
      <w:r w:rsidRPr="006B351C">
        <w:rPr>
          <w:rFonts w:ascii="Times New Roman" w:hAnsi="Times New Roman" w:cs="Times New Roman"/>
          <w:sz w:val="24"/>
          <w:szCs w:val="24"/>
        </w:rPr>
        <w:t>s ātrumu. Te jāņem vērā, ka fiksētie platjoslas pakalpojumi ar ātrumu virs 100</w:t>
      </w:r>
      <w:r w:rsidR="00260184">
        <w:rPr>
          <w:rFonts w:ascii="Times New Roman" w:hAnsi="Times New Roman" w:cs="Times New Roman"/>
          <w:sz w:val="24"/>
          <w:szCs w:val="24"/>
        </w:rPr>
        <w:t xml:space="preserve"> </w:t>
      </w:r>
      <w:r w:rsidRPr="006B351C">
        <w:rPr>
          <w:rFonts w:ascii="Times New Roman" w:hAnsi="Times New Roman" w:cs="Times New Roman"/>
          <w:sz w:val="24"/>
          <w:szCs w:val="24"/>
        </w:rPr>
        <w:t>Mb</w:t>
      </w:r>
      <w:r w:rsidR="00260184">
        <w:rPr>
          <w:rFonts w:ascii="Times New Roman" w:hAnsi="Times New Roman" w:cs="Times New Roman"/>
          <w:sz w:val="24"/>
          <w:szCs w:val="24"/>
        </w:rPr>
        <w:t>it/</w:t>
      </w:r>
      <w:r w:rsidRPr="006B351C">
        <w:rPr>
          <w:rFonts w:ascii="Times New Roman" w:hAnsi="Times New Roman" w:cs="Times New Roman"/>
          <w:sz w:val="24"/>
          <w:szCs w:val="24"/>
        </w:rPr>
        <w:t>s reāli ir pieejami tikai pilsētās un lielākās apdzīvotās vietās.</w:t>
      </w:r>
    </w:p>
    <w:p w14:paraId="45B88C7A" w14:textId="77777777"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 xml:space="preserve">Taču jaunu optisko tīklu </w:t>
      </w:r>
      <w:proofErr w:type="spellStart"/>
      <w:r w:rsidRPr="006B351C">
        <w:rPr>
          <w:rFonts w:ascii="Times New Roman" w:hAnsi="Times New Roman" w:cs="Times New Roman"/>
          <w:sz w:val="24"/>
          <w:szCs w:val="24"/>
        </w:rPr>
        <w:t>pieslēgumu</w:t>
      </w:r>
      <w:proofErr w:type="spellEnd"/>
      <w:r w:rsidRPr="006B351C">
        <w:rPr>
          <w:rFonts w:ascii="Times New Roman" w:hAnsi="Times New Roman" w:cs="Times New Roman"/>
          <w:sz w:val="24"/>
          <w:szCs w:val="24"/>
        </w:rPr>
        <w:t xml:space="preserve"> ierīkošana mazās apdzīvotās vietās individuāliem klientiem tālu no vidējās jūdzes tīklu </w:t>
      </w:r>
      <w:proofErr w:type="spellStart"/>
      <w:r w:rsidRPr="006B351C">
        <w:rPr>
          <w:rFonts w:ascii="Times New Roman" w:hAnsi="Times New Roman" w:cs="Times New Roman"/>
          <w:sz w:val="24"/>
          <w:szCs w:val="24"/>
        </w:rPr>
        <w:t>pieslēguma</w:t>
      </w:r>
      <w:proofErr w:type="spellEnd"/>
      <w:r w:rsidRPr="006B351C">
        <w:rPr>
          <w:rFonts w:ascii="Times New Roman" w:hAnsi="Times New Roman" w:cs="Times New Roman"/>
          <w:sz w:val="24"/>
          <w:szCs w:val="24"/>
        </w:rPr>
        <w:t xml:space="preserve"> punktiem prasa lielas investīcijas. Lai tās veiktu, pakalpojumu sniedzēji bieži prasa klientu līdzdalību, tāpēc efektīvās VHCN platjoslas pakalpojumu izmaksas </w:t>
      </w:r>
      <w:proofErr w:type="spellStart"/>
      <w:r w:rsidRPr="006B351C">
        <w:rPr>
          <w:rFonts w:ascii="Times New Roman" w:hAnsi="Times New Roman" w:cs="Times New Roman"/>
          <w:sz w:val="24"/>
          <w:szCs w:val="24"/>
        </w:rPr>
        <w:t>mazstāvu</w:t>
      </w:r>
      <w:proofErr w:type="spellEnd"/>
      <w:r w:rsidRPr="006B351C">
        <w:rPr>
          <w:rFonts w:ascii="Times New Roman" w:hAnsi="Times New Roman" w:cs="Times New Roman"/>
          <w:sz w:val="24"/>
          <w:szCs w:val="24"/>
        </w:rPr>
        <w:t xml:space="preserve"> apbūves teritorijās un mazās apdzīvotās vietās var būt augstas un bieži nepieejamas.</w:t>
      </w:r>
    </w:p>
    <w:p w14:paraId="53F20B0C" w14:textId="77777777"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Kopumā var teikt, ka tirgus nepilnība valstī nav saistīta ar dažādām platjoslas pakalpojumu mazumtirdzniecības cenām teritorijās ar dažādu konkurētspēju, bet gan ar pieejamajiem tehnoloģiskajiem risinājumiem un infrastruktūru platjoslas tīklu attīstībai un savienojamības pakalpojumu sniegšanai.</w:t>
      </w:r>
    </w:p>
    <w:p w14:paraId="079EBD54" w14:textId="77777777" w:rsidR="006B351C" w:rsidRPr="00260184" w:rsidRDefault="006B351C" w:rsidP="00AF5E20">
      <w:pPr>
        <w:pStyle w:val="BodyText"/>
        <w:spacing w:after="0"/>
        <w:ind w:left="1134"/>
        <w:jc w:val="both"/>
        <w:rPr>
          <w:rFonts w:ascii="Times New Roman" w:hAnsi="Times New Roman" w:cs="Times New Roman"/>
          <w:sz w:val="24"/>
          <w:szCs w:val="24"/>
        </w:rPr>
      </w:pPr>
      <w:r w:rsidRPr="00260184">
        <w:rPr>
          <w:rFonts w:ascii="Times New Roman" w:hAnsi="Times New Roman" w:cs="Times New Roman"/>
          <w:sz w:val="24"/>
          <w:szCs w:val="24"/>
        </w:rPr>
        <w:t>Vērojama operatoru investīciju nepietiekamība, lai  varētu turpināt nodrošināt VHCN tīklus aizvien plašākai iedzīvotāju daļai arī mazāk apdzīvotās teritorijās par tādām pašām cenām kā blīvāk apdzīvotās teritorijās. Tam būtu nepieciešams valsts atbalsts.</w:t>
      </w:r>
    </w:p>
    <w:p w14:paraId="6FD1FD8E" w14:textId="77777777" w:rsidR="006B351C" w:rsidRPr="00260184" w:rsidRDefault="006B351C" w:rsidP="00AF5E20">
      <w:pPr>
        <w:pStyle w:val="HeadingText"/>
        <w:spacing w:after="0"/>
        <w:ind w:left="1134"/>
        <w:rPr>
          <w:rFonts w:ascii="Times New Roman" w:hAnsi="Times New Roman" w:cs="Times New Roman"/>
          <w:color w:val="auto"/>
          <w:sz w:val="24"/>
          <w:szCs w:val="24"/>
        </w:rPr>
      </w:pPr>
      <w:r w:rsidRPr="00260184">
        <w:rPr>
          <w:rFonts w:ascii="Times New Roman" w:hAnsi="Times New Roman" w:cs="Times New Roman"/>
          <w:color w:val="auto"/>
          <w:sz w:val="24"/>
          <w:szCs w:val="24"/>
        </w:rPr>
        <w:t>Pieejamie tehnoloģiskie risinājumi platjoslas tīklu attīstībai</w:t>
      </w:r>
    </w:p>
    <w:p w14:paraId="65F919B5" w14:textId="63215512"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Par nozīmīgu nākotnes tehnoloģisko risinājumu platjoslas VHCN tīklu attīstībai un savienojamības pakalpojumu sniegšanai valstī būtu jāuzskata optisko tīklu izvēršana, kas nodrošina simetriskus ātrumus, sākot no 100</w:t>
      </w:r>
      <w:r w:rsidR="00260184">
        <w:rPr>
          <w:rFonts w:ascii="Times New Roman" w:hAnsi="Times New Roman" w:cs="Times New Roman"/>
          <w:sz w:val="24"/>
          <w:szCs w:val="24"/>
        </w:rPr>
        <w:t xml:space="preserve"> </w:t>
      </w:r>
      <w:r w:rsidRPr="006B351C">
        <w:rPr>
          <w:rFonts w:ascii="Times New Roman" w:hAnsi="Times New Roman" w:cs="Times New Roman"/>
          <w:sz w:val="24"/>
          <w:szCs w:val="24"/>
        </w:rPr>
        <w:t>Mb</w:t>
      </w:r>
      <w:r w:rsidR="00260184">
        <w:rPr>
          <w:rFonts w:ascii="Times New Roman" w:hAnsi="Times New Roman" w:cs="Times New Roman"/>
          <w:sz w:val="24"/>
          <w:szCs w:val="24"/>
        </w:rPr>
        <w:t>it/</w:t>
      </w:r>
      <w:r w:rsidRPr="006B351C">
        <w:rPr>
          <w:rFonts w:ascii="Times New Roman" w:hAnsi="Times New Roman" w:cs="Times New Roman"/>
          <w:sz w:val="24"/>
          <w:szCs w:val="24"/>
        </w:rPr>
        <w:t>s, ar iespēju tos uzlabot līdz 1</w:t>
      </w:r>
      <w:r w:rsidR="00260184">
        <w:rPr>
          <w:rFonts w:ascii="Times New Roman" w:hAnsi="Times New Roman" w:cs="Times New Roman"/>
          <w:sz w:val="24"/>
          <w:szCs w:val="24"/>
        </w:rPr>
        <w:t xml:space="preserve"> </w:t>
      </w:r>
      <w:r w:rsidRPr="006B351C">
        <w:rPr>
          <w:rFonts w:ascii="Times New Roman" w:hAnsi="Times New Roman" w:cs="Times New Roman"/>
          <w:sz w:val="24"/>
          <w:szCs w:val="24"/>
        </w:rPr>
        <w:t>Gb</w:t>
      </w:r>
      <w:r w:rsidR="00260184">
        <w:rPr>
          <w:rFonts w:ascii="Times New Roman" w:hAnsi="Times New Roman" w:cs="Times New Roman"/>
          <w:sz w:val="24"/>
          <w:szCs w:val="24"/>
        </w:rPr>
        <w:t>it/</w:t>
      </w:r>
      <w:r w:rsidRPr="006B351C">
        <w:rPr>
          <w:rFonts w:ascii="Times New Roman" w:hAnsi="Times New Roman" w:cs="Times New Roman"/>
          <w:sz w:val="24"/>
          <w:szCs w:val="24"/>
        </w:rPr>
        <w:t xml:space="preserve">s. </w:t>
      </w:r>
    </w:p>
    <w:p w14:paraId="205C2EF7" w14:textId="77777777"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Tuvākā nākotnē par vēl vienu VHCN tīklu tehnoloģisko risinājumu varēs uzskatīt 5G mobilo tīklu izbūvi. Taču garantētā ātruma nodrošināšana mobilajos tīklos, arī 5G tīklos, kur tīkla šūnas ietvaros lietotāji izmanto vienu un to pašu frekvenču diapazonu, prasīs ļoti daudzu bāzes staciju blīvu izvietošanu.</w:t>
      </w:r>
    </w:p>
    <w:p w14:paraId="0B827706" w14:textId="77777777"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Tā kā mobilie tīkli valstī pārklāj apmēram 90% teritorijas, šo pārklājumu nepieciešams uzlabot. Šim nolūkam atbilstošs tehnoloģiskais risinājums ir 4G tīklu (vai 5G tīklu zemajā frekvenču diapazonā) izvēršana, lai nodrošinātu mobilo platjoslas pakalpojumu pieejamību visā valstī.</w:t>
      </w:r>
    </w:p>
    <w:p w14:paraId="271CEAFC" w14:textId="453D684A" w:rsidR="006B351C" w:rsidRPr="006B351C" w:rsidRDefault="006B351C" w:rsidP="00AF5E20">
      <w:pPr>
        <w:pStyle w:val="BodyText"/>
        <w:spacing w:after="0"/>
        <w:ind w:left="1134"/>
        <w:jc w:val="both"/>
        <w:rPr>
          <w:rFonts w:ascii="Times New Roman" w:hAnsi="Times New Roman" w:cs="Times New Roman"/>
          <w:sz w:val="24"/>
          <w:szCs w:val="24"/>
        </w:rPr>
      </w:pPr>
      <w:r w:rsidRPr="006B351C">
        <w:rPr>
          <w:rFonts w:ascii="Times New Roman" w:hAnsi="Times New Roman" w:cs="Times New Roman"/>
          <w:sz w:val="24"/>
          <w:szCs w:val="24"/>
        </w:rPr>
        <w:t xml:space="preserve">Veicot platjoslas pakalpojumu pieejamības uzlabošanu valstī, būtiski ir izmantot “vidējās jūdzes” tīklu un </w:t>
      </w:r>
      <w:proofErr w:type="spellStart"/>
      <w:r w:rsidRPr="006B351C">
        <w:rPr>
          <w:rFonts w:ascii="Times New Roman" w:hAnsi="Times New Roman" w:cs="Times New Roman"/>
          <w:sz w:val="24"/>
          <w:szCs w:val="24"/>
        </w:rPr>
        <w:t>pieslēguma</w:t>
      </w:r>
      <w:proofErr w:type="spellEnd"/>
      <w:r w:rsidRPr="006B351C">
        <w:rPr>
          <w:rFonts w:ascii="Times New Roman" w:hAnsi="Times New Roman" w:cs="Times New Roman"/>
          <w:sz w:val="24"/>
          <w:szCs w:val="24"/>
        </w:rPr>
        <w:t xml:space="preserve"> punktus, kas </w:t>
      </w:r>
      <w:r w:rsidR="009001B0">
        <w:rPr>
          <w:rFonts w:ascii="Times New Roman" w:hAnsi="Times New Roman" w:cs="Times New Roman"/>
          <w:sz w:val="24"/>
          <w:szCs w:val="24"/>
        </w:rPr>
        <w:t>ir</w:t>
      </w:r>
      <w:r w:rsidRPr="006B351C">
        <w:rPr>
          <w:rFonts w:ascii="Times New Roman" w:hAnsi="Times New Roman" w:cs="Times New Roman"/>
          <w:sz w:val="24"/>
          <w:szCs w:val="24"/>
        </w:rPr>
        <w:t xml:space="preserve"> izbūvēti projekta "Nākamās paaudzes elektronisko sakaru tīkla attīstība lauku reģionos"</w:t>
      </w:r>
      <w:r w:rsidR="009001B0">
        <w:rPr>
          <w:rFonts w:ascii="Times New Roman" w:hAnsi="Times New Roman" w:cs="Times New Roman"/>
          <w:sz w:val="24"/>
          <w:szCs w:val="24"/>
        </w:rPr>
        <w:t xml:space="preserve"> </w:t>
      </w:r>
      <w:r w:rsidRPr="006B351C">
        <w:rPr>
          <w:rFonts w:ascii="Times New Roman" w:hAnsi="Times New Roman" w:cs="Times New Roman"/>
          <w:sz w:val="24"/>
          <w:szCs w:val="24"/>
        </w:rPr>
        <w:t xml:space="preserve">un projekta "Elektroniskās sakaru infrastruktūras pieejamības uzlabošana lauku teritorijās" ietvaros. </w:t>
      </w:r>
    </w:p>
    <w:p w14:paraId="1B6F9C2B" w14:textId="79EC0321" w:rsidR="006B351C" w:rsidRPr="00AF5E20" w:rsidRDefault="006B351C" w:rsidP="00AF5E20">
      <w:pPr>
        <w:pStyle w:val="BodyText"/>
        <w:spacing w:after="0"/>
        <w:ind w:left="1134"/>
        <w:jc w:val="both"/>
        <w:rPr>
          <w:rFonts w:ascii="Times New Roman" w:hAnsi="Times New Roman" w:cs="Times New Roman"/>
          <w:sz w:val="24"/>
          <w:szCs w:val="24"/>
        </w:rPr>
      </w:pPr>
      <w:r w:rsidRPr="005E050A">
        <w:rPr>
          <w:rFonts w:ascii="Times New Roman" w:hAnsi="Times New Roman" w:cs="Times New Roman"/>
          <w:sz w:val="24"/>
          <w:szCs w:val="24"/>
        </w:rPr>
        <w:t xml:space="preserve">Lai novērstu tirgus nepilnības (investīciju trūkums “pēdējās jūdzes” izbūvei līdz gala lietotājam, lokālu komersantu neesamība), kuru dēļ pietiekamā mērā netiek izmantots valstī izbūvētais “vidējās jūdzes” tīkls, ir nepieciešams papildu valsts </w:t>
      </w:r>
      <w:r w:rsidRPr="00AF5E20">
        <w:rPr>
          <w:rFonts w:ascii="Times New Roman" w:hAnsi="Times New Roman" w:cs="Times New Roman"/>
          <w:sz w:val="24"/>
          <w:szCs w:val="24"/>
        </w:rPr>
        <w:t>atbalsts.</w:t>
      </w:r>
    </w:p>
    <w:p w14:paraId="23C6D033" w14:textId="77777777" w:rsidR="006B351C" w:rsidRPr="00AF5E20" w:rsidRDefault="006B351C" w:rsidP="00AF5E20">
      <w:pPr>
        <w:pStyle w:val="HeadingText"/>
        <w:spacing w:after="0"/>
        <w:ind w:left="1134"/>
        <w:rPr>
          <w:rFonts w:ascii="Times New Roman" w:hAnsi="Times New Roman" w:cs="Times New Roman"/>
          <w:color w:val="auto"/>
          <w:sz w:val="24"/>
          <w:szCs w:val="24"/>
        </w:rPr>
      </w:pPr>
      <w:r w:rsidRPr="00AF5E20">
        <w:rPr>
          <w:rFonts w:ascii="Times New Roman" w:hAnsi="Times New Roman" w:cs="Times New Roman"/>
          <w:color w:val="auto"/>
          <w:sz w:val="24"/>
          <w:szCs w:val="24"/>
        </w:rPr>
        <w:t>Konkurences situācija elektroniskās komunikācijas tirgos</w:t>
      </w:r>
    </w:p>
    <w:p w14:paraId="1D2DFF4F" w14:textId="774C450F" w:rsidR="006B351C" w:rsidRPr="00AF5E20" w:rsidRDefault="006B351C" w:rsidP="00AF5E20">
      <w:pPr>
        <w:pStyle w:val="BodyText"/>
        <w:spacing w:after="0"/>
        <w:ind w:left="1134"/>
        <w:jc w:val="both"/>
        <w:rPr>
          <w:rFonts w:ascii="Times New Roman" w:hAnsi="Times New Roman" w:cs="Times New Roman"/>
          <w:sz w:val="24"/>
          <w:szCs w:val="24"/>
        </w:rPr>
      </w:pPr>
      <w:r w:rsidRPr="00AF5E20">
        <w:rPr>
          <w:rFonts w:ascii="Times New Roman" w:hAnsi="Times New Roman" w:cs="Times New Roman"/>
          <w:sz w:val="24"/>
          <w:szCs w:val="24"/>
        </w:rPr>
        <w:t xml:space="preserve">Fiksēto platjoslas pakalpojumu jomā valstī notiek tirgus koncentrācija 4-5 lielāko spēlētāju jomā, jo mazajiem uzņēmumiem nepietiek investīciju optisko tīklu izbūvei. </w:t>
      </w:r>
    </w:p>
    <w:p w14:paraId="08A837D2" w14:textId="77777777" w:rsidR="006B351C" w:rsidRPr="00AF5E20" w:rsidRDefault="006B351C" w:rsidP="00AF5E20">
      <w:pPr>
        <w:pStyle w:val="BodyText"/>
        <w:spacing w:after="0"/>
        <w:ind w:left="1134"/>
        <w:jc w:val="both"/>
        <w:rPr>
          <w:rFonts w:ascii="Times New Roman" w:hAnsi="Times New Roman" w:cs="Times New Roman"/>
          <w:sz w:val="24"/>
          <w:szCs w:val="24"/>
        </w:rPr>
      </w:pPr>
      <w:r w:rsidRPr="00AF5E20">
        <w:rPr>
          <w:rFonts w:ascii="Times New Roman" w:hAnsi="Times New Roman" w:cs="Times New Roman"/>
          <w:sz w:val="24"/>
          <w:szCs w:val="24"/>
        </w:rPr>
        <w:t xml:space="preserve">Valsts atbalsts infrastruktūras izbūvei ļautu atdzīvināt konkurenci fiksēto VHCN pakalpojumu tirgū. </w:t>
      </w:r>
    </w:p>
    <w:p w14:paraId="387216A8" w14:textId="77777777" w:rsidR="006B351C" w:rsidRPr="00AF5E20" w:rsidRDefault="006B351C" w:rsidP="00AF5E20">
      <w:pPr>
        <w:pStyle w:val="BodyText"/>
        <w:spacing w:after="0"/>
        <w:ind w:left="1134"/>
        <w:jc w:val="both"/>
        <w:rPr>
          <w:rFonts w:ascii="Times New Roman" w:hAnsi="Times New Roman" w:cs="Times New Roman"/>
          <w:sz w:val="24"/>
          <w:szCs w:val="24"/>
        </w:rPr>
      </w:pPr>
      <w:r w:rsidRPr="00AF5E20">
        <w:rPr>
          <w:rFonts w:ascii="Times New Roman" w:hAnsi="Times New Roman" w:cs="Times New Roman"/>
          <w:sz w:val="24"/>
          <w:szCs w:val="24"/>
        </w:rPr>
        <w:lastRenderedPageBreak/>
        <w:t>Mobilo 4G platjoslas pakalpojumu sektorā valstī kopumā valda veselīga konkurence. Taču operatori ir izbūvējuši savas neatkarīgas tehniskās infrastruktūras. Daļēja infrastruktūras kopēja izmantošana būtu ietaupījusi investīciju kapitālu 5G tīklu izvēršanai un, iespējams, palīdzējusi nodrošināt zemākas pakalpojumu cenas gala lietotājiem.</w:t>
      </w:r>
    </w:p>
    <w:p w14:paraId="0BDBFAAF" w14:textId="77777777" w:rsidR="006B351C" w:rsidRPr="00AF5E20" w:rsidRDefault="006B351C" w:rsidP="00AF5E20">
      <w:pPr>
        <w:pStyle w:val="BodyText"/>
        <w:spacing w:after="0"/>
        <w:ind w:left="1134"/>
        <w:jc w:val="both"/>
        <w:rPr>
          <w:rFonts w:ascii="Times New Roman" w:hAnsi="Times New Roman" w:cs="Times New Roman"/>
          <w:sz w:val="24"/>
          <w:szCs w:val="24"/>
        </w:rPr>
      </w:pPr>
      <w:r w:rsidRPr="00AF5E20">
        <w:rPr>
          <w:rFonts w:ascii="Times New Roman" w:hAnsi="Times New Roman" w:cs="Times New Roman"/>
          <w:sz w:val="24"/>
          <w:szCs w:val="24"/>
        </w:rPr>
        <w:t xml:space="preserve">Attiecībā uz 5G tīklu izbūvi kopēja tehniskās infrastruktūras izbūve būtu izdevīga gan pašiem komersantiem, gan klientiem, gan arī valstij kopumā, tāpēc šis tirgus būtu jāregulē, nodefinējot spēles noteikumus, kas liek visiem operatoriem kooperēties, neatkarīgi no to īpašnieku sastāva. </w:t>
      </w:r>
    </w:p>
    <w:p w14:paraId="112CC246" w14:textId="77777777" w:rsidR="006B351C" w:rsidRPr="00E42B9E" w:rsidRDefault="006B351C" w:rsidP="00AF5E20">
      <w:pPr>
        <w:pStyle w:val="BodyText"/>
        <w:spacing w:after="0"/>
        <w:ind w:left="1134"/>
        <w:jc w:val="both"/>
        <w:rPr>
          <w:rFonts w:ascii="Times New Roman" w:hAnsi="Times New Roman" w:cs="Times New Roman"/>
          <w:sz w:val="24"/>
          <w:szCs w:val="24"/>
        </w:rPr>
      </w:pPr>
      <w:r w:rsidRPr="00AF5E20">
        <w:rPr>
          <w:rFonts w:ascii="Times New Roman" w:hAnsi="Times New Roman" w:cs="Times New Roman"/>
          <w:sz w:val="24"/>
          <w:szCs w:val="24"/>
        </w:rPr>
        <w:t xml:space="preserve">Viens no risinājumiem varētu būt valsts atbalsts kopīgas 5G tehniskās infrastruktūras izbūvei (optiskie tīkli un torņi, atsevišķos gadījumos pat kopīgi izmantojamas 5G bāzes stacijas), kas ļautu ātri nodrošināt 5G VHCN tīklu pieejamību, samazinātu izmaksas, nodrošinātu pieejamas cenas un ļautu operatoriem konkurēt, piedāvājot dažādus pakalpojumus, izmantojot kopīgu </w:t>
      </w:r>
      <w:r w:rsidRPr="00E42B9E">
        <w:rPr>
          <w:rFonts w:ascii="Times New Roman" w:hAnsi="Times New Roman" w:cs="Times New Roman"/>
          <w:sz w:val="24"/>
          <w:szCs w:val="24"/>
        </w:rPr>
        <w:t>infrastruktūru.</w:t>
      </w:r>
    </w:p>
    <w:p w14:paraId="1FF55B53" w14:textId="77777777" w:rsidR="006B351C" w:rsidRPr="00E42B9E" w:rsidRDefault="006B351C" w:rsidP="00AF5E20">
      <w:pPr>
        <w:pStyle w:val="BodyText"/>
        <w:spacing w:after="0"/>
        <w:ind w:left="1134"/>
        <w:jc w:val="both"/>
        <w:rPr>
          <w:rFonts w:ascii="Times New Roman" w:hAnsi="Times New Roman" w:cs="Times New Roman"/>
          <w:b/>
          <w:color w:val="4472C4" w:themeColor="accent1"/>
          <w:sz w:val="24"/>
          <w:szCs w:val="24"/>
        </w:rPr>
      </w:pPr>
      <w:r w:rsidRPr="00E42B9E">
        <w:rPr>
          <w:rFonts w:ascii="Times New Roman" w:hAnsi="Times New Roman" w:cs="Times New Roman"/>
          <w:b/>
          <w:sz w:val="24"/>
          <w:szCs w:val="24"/>
        </w:rPr>
        <w:t xml:space="preserve">ES finansētie projekti interneta piekļuves nodrošināšanai </w:t>
      </w:r>
    </w:p>
    <w:p w14:paraId="22BD5014" w14:textId="45C0C6DC" w:rsidR="006B351C" w:rsidRPr="00E42B9E" w:rsidRDefault="006B351C" w:rsidP="00AF5E20">
      <w:pPr>
        <w:pStyle w:val="BodyText"/>
        <w:spacing w:after="0"/>
        <w:ind w:left="1134"/>
        <w:jc w:val="both"/>
        <w:rPr>
          <w:rFonts w:ascii="Times New Roman" w:hAnsi="Times New Roman" w:cs="Times New Roman"/>
          <w:sz w:val="24"/>
          <w:szCs w:val="24"/>
        </w:rPr>
      </w:pPr>
      <w:r w:rsidRPr="00E42B9E">
        <w:rPr>
          <w:rFonts w:ascii="Times New Roman" w:hAnsi="Times New Roman" w:cs="Times New Roman"/>
          <w:sz w:val="24"/>
          <w:szCs w:val="24"/>
        </w:rPr>
        <w:t xml:space="preserve">Līdz šim Latvijā, izmantojot ES fondu līdzekļus, ir īstenots publiski pārvaldīta tīkla modelis, </w:t>
      </w:r>
      <w:r w:rsidR="00E42B9E" w:rsidRPr="00E42B9E">
        <w:rPr>
          <w:rFonts w:ascii="Times New Roman" w:hAnsi="Times New Roman" w:cs="Times New Roman"/>
          <w:sz w:val="24"/>
          <w:szCs w:val="24"/>
        </w:rPr>
        <w:t xml:space="preserve">valsts akciju sabiedrībai “Latvijas Valsts radio un televīzijas centrs” </w:t>
      </w:r>
      <w:r w:rsidRPr="00E42B9E">
        <w:rPr>
          <w:rFonts w:ascii="Times New Roman" w:hAnsi="Times New Roman" w:cs="Times New Roman"/>
          <w:sz w:val="24"/>
          <w:szCs w:val="24"/>
        </w:rPr>
        <w:t xml:space="preserve">veicot investīcijas vidējās jūdzes infrastruktūrā, vadot un tieši kontrolējot to ierīkošanu. </w:t>
      </w:r>
      <w:r w:rsidR="00E42B9E" w:rsidRPr="00E42B9E">
        <w:rPr>
          <w:rFonts w:ascii="Times New Roman" w:hAnsi="Times New Roman" w:cs="Times New Roman"/>
          <w:sz w:val="24"/>
          <w:szCs w:val="24"/>
        </w:rPr>
        <w:t xml:space="preserve">Valsts akciju sabiedrība “Latvijas Valsts radio un televīzijas centrs” </w:t>
      </w:r>
      <w:r w:rsidRPr="00E42B9E">
        <w:rPr>
          <w:rFonts w:ascii="Times New Roman" w:hAnsi="Times New Roman" w:cs="Times New Roman"/>
          <w:sz w:val="24"/>
          <w:szCs w:val="24"/>
        </w:rPr>
        <w:t xml:space="preserve">nodrošina izveidotās vidējās jūdzes infrastruktūras pieejamību interneta piekļuves pakalpojumu sniegšanas operatoriem. </w:t>
      </w:r>
    </w:p>
    <w:p w14:paraId="23D219C0" w14:textId="0AC115E2" w:rsidR="00C40620" w:rsidRPr="00C40620" w:rsidRDefault="00EB343E" w:rsidP="00AF5E20">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00E42B9E">
        <w:rPr>
          <w:rFonts w:ascii="Times New Roman" w:eastAsia="Times New Roman" w:hAnsi="Times New Roman"/>
          <w:sz w:val="24"/>
          <w:szCs w:val="24"/>
          <w:lang w:val="lv-LV" w:eastAsia="lv-LV" w:bidi="lv-LV"/>
        </w:rPr>
        <w:t xml:space="preserve">Skat. pamatformas 6.2. </w:t>
      </w:r>
      <w:r w:rsidR="00DE6837" w:rsidRPr="00E42B9E">
        <w:rPr>
          <w:rFonts w:ascii="Times New Roman" w:eastAsia="Times New Roman" w:hAnsi="Times New Roman"/>
          <w:sz w:val="24"/>
          <w:szCs w:val="24"/>
          <w:lang w:val="lv-LV" w:eastAsia="lv-LV" w:bidi="lv-LV"/>
        </w:rPr>
        <w:t>punktā sniegto informāciju</w:t>
      </w:r>
      <w:r w:rsidRPr="00E42B9E">
        <w:rPr>
          <w:rFonts w:ascii="Times New Roman" w:eastAsia="Times New Roman" w:hAnsi="Times New Roman"/>
          <w:sz w:val="24"/>
          <w:szCs w:val="24"/>
          <w:lang w:val="lv-LV" w:eastAsia="lv-LV" w:bidi="lv-LV"/>
        </w:rPr>
        <w:t>.</w:t>
      </w:r>
      <w:r>
        <w:rPr>
          <w:rFonts w:ascii="Times New Roman" w:eastAsia="Times New Roman" w:hAnsi="Times New Roman"/>
          <w:sz w:val="24"/>
          <w:szCs w:val="24"/>
          <w:lang w:val="lv-LV" w:eastAsia="lv-LV" w:bidi="lv-LV"/>
        </w:rPr>
        <w:t xml:space="preserve"> </w:t>
      </w:r>
      <w:r w:rsidR="00B96469">
        <w:rPr>
          <w:rFonts w:ascii="Times New Roman" w:eastAsia="Times New Roman" w:hAnsi="Times New Roman"/>
          <w:sz w:val="24"/>
          <w:szCs w:val="24"/>
          <w:lang w:val="lv-LV" w:eastAsia="lv-LV" w:bidi="lv-LV"/>
        </w:rPr>
        <w:t xml:space="preserve"> </w:t>
      </w:r>
      <w:r w:rsidR="00676AA9">
        <w:rPr>
          <w:rFonts w:ascii="Times New Roman" w:eastAsia="Times New Roman" w:hAnsi="Times New Roman"/>
          <w:sz w:val="24"/>
          <w:szCs w:val="24"/>
          <w:lang w:val="lv-LV" w:eastAsia="lv-LV" w:bidi="lv-LV"/>
        </w:rPr>
        <w:t xml:space="preserve"> </w:t>
      </w:r>
    </w:p>
    <w:p w14:paraId="4E32A8F9" w14:textId="77777777" w:rsidR="00C40620" w:rsidRPr="00C40620" w:rsidRDefault="00C40620" w:rsidP="00C40620">
      <w:pPr>
        <w:tabs>
          <w:tab w:val="left" w:pos="2161"/>
        </w:tabs>
        <w:spacing w:before="240" w:after="120" w:line="240" w:lineRule="auto"/>
        <w:ind w:left="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Piemērots instruments</w:t>
      </w:r>
    </w:p>
    <w:p w14:paraId="08894A94"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pierādiet atbalsta pasākuma piemērotību: </w:t>
      </w:r>
    </w:p>
    <w:p w14:paraId="15FEB562" w14:textId="77777777" w:rsidR="00C40620" w:rsidRPr="00C40620" w:rsidRDefault="00DE6837"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Skat. pamatformas 6.3. punktā sniegto informāciju. </w:t>
      </w:r>
    </w:p>
    <w:p w14:paraId="67812B1E"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jau ir bijuši ieviesti jebkādi citi alternatīvi (mazāk kropļojoši) instrumenti, lai veicinātu platjoslas pakalpojumu sniegšanu un novērstu platjoslas tīklu savienojamības </w:t>
      </w:r>
      <w:proofErr w:type="spellStart"/>
      <w:r w:rsidRPr="00C40620">
        <w:rPr>
          <w:rFonts w:ascii="Times New Roman" w:eastAsia="Times New Roman" w:hAnsi="Times New Roman"/>
          <w:sz w:val="24"/>
          <w:szCs w:val="20"/>
          <w:lang w:val="lv-LV"/>
        </w:rPr>
        <w:t>neesību</w:t>
      </w:r>
      <w:proofErr w:type="spellEnd"/>
      <w:r w:rsidRPr="00C40620">
        <w:rPr>
          <w:rFonts w:ascii="Times New Roman" w:eastAsia="Times New Roman" w:hAnsi="Times New Roman"/>
          <w:sz w:val="24"/>
          <w:szCs w:val="20"/>
          <w:lang w:val="lv-LV"/>
        </w:rPr>
        <w:t xml:space="preserve">, tostarp </w:t>
      </w:r>
      <w:proofErr w:type="spellStart"/>
      <w:r w:rsidRPr="00C40620">
        <w:rPr>
          <w:rFonts w:ascii="Times New Roman" w:eastAsia="Times New Roman" w:hAnsi="Times New Roman"/>
          <w:i/>
          <w:sz w:val="24"/>
          <w:szCs w:val="20"/>
          <w:lang w:val="lv-LV"/>
        </w:rPr>
        <w:t>ex</w:t>
      </w:r>
      <w:proofErr w:type="spellEnd"/>
      <w:r w:rsidRPr="00C40620">
        <w:rPr>
          <w:rFonts w:ascii="Times New Roman" w:eastAsia="Times New Roman" w:hAnsi="Times New Roman"/>
          <w:i/>
          <w:sz w:val="24"/>
          <w:szCs w:val="20"/>
          <w:lang w:val="lv-LV"/>
        </w:rPr>
        <w:t xml:space="preserve"> </w:t>
      </w:r>
      <w:proofErr w:type="spellStart"/>
      <w:r w:rsidRPr="00C40620">
        <w:rPr>
          <w:rFonts w:ascii="Times New Roman" w:eastAsia="Times New Roman" w:hAnsi="Times New Roman"/>
          <w:i/>
          <w:sz w:val="24"/>
          <w:szCs w:val="20"/>
          <w:lang w:val="lv-LV"/>
        </w:rPr>
        <w:t>ante</w:t>
      </w:r>
      <w:proofErr w:type="spellEnd"/>
      <w:r w:rsidRPr="00C40620">
        <w:rPr>
          <w:rFonts w:ascii="Times New Roman" w:eastAsia="Times New Roman" w:hAnsi="Times New Roman"/>
          <w:sz w:val="24"/>
          <w:szCs w:val="20"/>
          <w:lang w:val="lv-LV"/>
        </w:rPr>
        <w:t xml:space="preserve"> regulējums vai pieprasījuma stimulēšana?</w:t>
      </w:r>
    </w:p>
    <w:p w14:paraId="616018C7" w14:textId="77777777" w:rsidR="00C40620" w:rsidRPr="00C40620" w:rsidRDefault="00C40620" w:rsidP="00C40620">
      <w:pPr>
        <w:spacing w:before="100" w:beforeAutospacing="1" w:after="100" w:afterAutospacing="1" w:line="240" w:lineRule="auto"/>
        <w:ind w:left="1985"/>
        <w:rPr>
          <w:rFonts w:ascii="Times New Roman" w:hAnsi="Times New Roman"/>
          <w:sz w:val="24"/>
          <w:szCs w:val="20"/>
          <w:lang w:val="lv-LV" w:eastAsia="lv-LV" w:bidi="lv-LV"/>
        </w:rPr>
      </w:pPr>
      <w:r w:rsidRPr="00C4062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40620">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sidRPr="00C40620">
        <w:rPr>
          <w:rFonts w:ascii="Times New Roman" w:hAnsi="Times New Roman"/>
          <w:sz w:val="24"/>
          <w:szCs w:val="20"/>
          <w:lang w:val="lv-LV" w:eastAsia="lv-LV" w:bidi="lv-LV"/>
        </w:rPr>
        <w:fldChar w:fldCharType="end"/>
      </w:r>
      <w:r w:rsidRPr="00C40620">
        <w:rPr>
          <w:rFonts w:ascii="Times New Roman" w:hAnsi="Times New Roman"/>
          <w:sz w:val="24"/>
          <w:szCs w:val="20"/>
          <w:lang w:val="lv-LV" w:eastAsia="lv-LV" w:bidi="lv-LV"/>
        </w:rPr>
        <w:tab/>
        <w:t xml:space="preserve">Jā </w:t>
      </w:r>
      <w:r w:rsidRPr="00C40620">
        <w:rPr>
          <w:rFonts w:ascii="Times New Roman" w:hAnsi="Times New Roman"/>
          <w:sz w:val="24"/>
          <w:szCs w:val="20"/>
          <w:lang w:val="lv-LV" w:eastAsia="lv-LV" w:bidi="lv-LV"/>
        </w:rPr>
        <w:tab/>
      </w:r>
      <w:r w:rsidRPr="00C40620">
        <w:rPr>
          <w:rFonts w:ascii="Times New Roman" w:hAnsi="Times New Roman"/>
          <w:sz w:val="24"/>
          <w:szCs w:val="20"/>
          <w:lang w:val="lv-LV" w:eastAsia="lv-LV" w:bidi="lv-LV"/>
        </w:rPr>
        <w:tab/>
        <w:t xml:space="preserve"> </w:t>
      </w:r>
      <w:r w:rsidR="00232DAF">
        <w:rPr>
          <w:rFonts w:ascii="Times New Roman" w:hAnsi="Times New Roman"/>
          <w:sz w:val="24"/>
          <w:szCs w:val="20"/>
          <w:lang w:val="lv-LV" w:eastAsia="lv-LV" w:bidi="lv-LV"/>
        </w:rPr>
        <w:fldChar w:fldCharType="begin">
          <w:ffData>
            <w:name w:val=""/>
            <w:enabled/>
            <w:calcOnExit w:val="0"/>
            <w:checkBox>
              <w:sizeAuto/>
              <w:default w:val="1"/>
            </w:checkBox>
          </w:ffData>
        </w:fldChar>
      </w:r>
      <w:r w:rsidR="00232DAF">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sidR="00232DAF">
        <w:rPr>
          <w:rFonts w:ascii="Times New Roman" w:hAnsi="Times New Roman"/>
          <w:sz w:val="24"/>
          <w:szCs w:val="20"/>
          <w:lang w:val="lv-LV" w:eastAsia="lv-LV" w:bidi="lv-LV"/>
        </w:rPr>
        <w:fldChar w:fldCharType="end"/>
      </w:r>
      <w:r w:rsidRPr="00C40620">
        <w:rPr>
          <w:rFonts w:ascii="Times New Roman" w:hAnsi="Times New Roman"/>
          <w:sz w:val="24"/>
          <w:szCs w:val="20"/>
          <w:lang w:val="lv-LV" w:eastAsia="lv-LV" w:bidi="lv-LV"/>
        </w:rPr>
        <w:tab/>
        <w:t>Nē</w:t>
      </w:r>
    </w:p>
    <w:p w14:paraId="3EA3864D"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Ja atbilde f) apakšpunktā ir “jā”, lūdzu, aprakstiet šīs iniciatīvas un paskaidrojiet, kāpēc tās tika uzskatītas par nepietiekamām, lai sasniegtu vēlamos platjoslas tīklu attīstības mērķus: </w:t>
      </w:r>
    </w:p>
    <w:p w14:paraId="2264030E" w14:textId="77777777" w:rsidR="00C40620" w:rsidRPr="00C40620" w:rsidRDefault="00C40620"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71D5E3B5" w14:textId="77777777" w:rsidR="00C40620" w:rsidRPr="00C40620" w:rsidRDefault="00C40620"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358D9CBA" w14:textId="77777777" w:rsidR="00C40620" w:rsidRPr="00DA0FED"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DA0FED">
        <w:rPr>
          <w:rFonts w:ascii="Times New Roman" w:eastAsia="Times New Roman" w:hAnsi="Times New Roman"/>
          <w:sz w:val="24"/>
          <w:szCs w:val="20"/>
          <w:lang w:val="lv-LV"/>
        </w:rPr>
        <w:t xml:space="preserve">Vai esošie tīklu operatori pēdējos trīs gados ir veikuši jebkādus privātus ieguldījumus </w:t>
      </w:r>
      <w:proofErr w:type="spellStart"/>
      <w:r w:rsidRPr="00DA0FED">
        <w:rPr>
          <w:rFonts w:ascii="Times New Roman" w:eastAsia="Times New Roman" w:hAnsi="Times New Roman"/>
          <w:sz w:val="24"/>
          <w:szCs w:val="20"/>
          <w:lang w:val="lv-LV"/>
        </w:rPr>
        <w:t>mērķteritorijās</w:t>
      </w:r>
      <w:proofErr w:type="spellEnd"/>
      <w:r w:rsidRPr="00DA0FED">
        <w:rPr>
          <w:rFonts w:ascii="Times New Roman" w:eastAsia="Times New Roman" w:hAnsi="Times New Roman"/>
          <w:sz w:val="24"/>
          <w:szCs w:val="20"/>
          <w:lang w:val="lv-LV"/>
        </w:rPr>
        <w:t>?</w:t>
      </w:r>
    </w:p>
    <w:p w14:paraId="14C25CB8" w14:textId="77777777" w:rsidR="00C40620" w:rsidRPr="00C40620" w:rsidRDefault="00232DAF"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sidR="00C40620" w:rsidRPr="00C40620">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Nē</w:t>
      </w:r>
    </w:p>
    <w:p w14:paraId="7F6BCDD1" w14:textId="77777777" w:rsidR="00C40620" w:rsidRPr="00C40620" w:rsidRDefault="008328B5" w:rsidP="008328B5">
      <w:pPr>
        <w:widowControl w:val="0"/>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 xml:space="preserve">Ja atbilde h) apakšpunktā ir “jā”, lūdzu, aprakstiet šos ieguldījumus un paskaidrojiet, kāpēc ar esošo platjoslas tīklu infrastruktūru nepietiek, lai </w:t>
      </w:r>
      <w:r w:rsidR="00C40620" w:rsidRPr="00C40620">
        <w:rPr>
          <w:rFonts w:ascii="Times New Roman" w:eastAsia="Times New Roman" w:hAnsi="Times New Roman"/>
          <w:sz w:val="24"/>
          <w:szCs w:val="20"/>
          <w:lang w:val="lv-LV"/>
        </w:rPr>
        <w:lastRenderedPageBreak/>
        <w:t>apmierinātu iedzīvotāju un uzņēmumu vajadzības, un kāpēc ir nepieciešams valsts atbalsts:</w:t>
      </w:r>
    </w:p>
    <w:p w14:paraId="7A8E1BBE" w14:textId="798AED19" w:rsidR="002548E4" w:rsidRPr="0004012B" w:rsidRDefault="0038221A" w:rsidP="002548E4">
      <w:pPr>
        <w:tabs>
          <w:tab w:val="left" w:leader="dot" w:pos="9072"/>
        </w:tabs>
        <w:spacing w:before="120" w:after="120" w:line="240" w:lineRule="auto"/>
        <w:ind w:left="709"/>
        <w:jc w:val="both"/>
        <w:rPr>
          <w:rFonts w:ascii="Times New Roman" w:hAnsi="Times New Roman"/>
          <w:sz w:val="24"/>
          <w:szCs w:val="24"/>
          <w:lang w:val="lv-LV" w:eastAsia="lv-LV" w:bidi="lv-LV"/>
        </w:rPr>
      </w:pPr>
      <w:r>
        <w:rPr>
          <w:rFonts w:ascii="Times New Roman" w:eastAsia="Times New Roman" w:hAnsi="Times New Roman"/>
          <w:sz w:val="24"/>
          <w:szCs w:val="24"/>
          <w:lang w:val="lv-LV" w:eastAsia="lv-LV" w:bidi="lv-LV"/>
        </w:rPr>
        <w:t>Skat. sniegto informāciju 1.7., 1.8., 2.2. punktos.</w:t>
      </w:r>
      <w:r w:rsidR="00887379">
        <w:rPr>
          <w:rFonts w:ascii="Times New Roman" w:eastAsia="Times New Roman" w:hAnsi="Times New Roman"/>
          <w:sz w:val="24"/>
          <w:szCs w:val="24"/>
          <w:lang w:val="lv-LV" w:eastAsia="lv-LV" w:bidi="lv-LV"/>
        </w:rPr>
        <w:t xml:space="preserve"> </w:t>
      </w:r>
      <w:r w:rsidR="00165985">
        <w:rPr>
          <w:rFonts w:ascii="Times New Roman" w:eastAsia="Times New Roman" w:hAnsi="Times New Roman"/>
          <w:sz w:val="24"/>
          <w:szCs w:val="24"/>
          <w:lang w:val="lv-LV" w:eastAsia="lv-LV" w:bidi="lv-LV"/>
        </w:rPr>
        <w:t>Ņemot vērā šajos punktos sniegto analīzi, jāsecina, ka l</w:t>
      </w:r>
      <w:r w:rsidR="00C54A37">
        <w:rPr>
          <w:rFonts w:ascii="Times New Roman" w:eastAsia="Times New Roman" w:hAnsi="Times New Roman"/>
          <w:sz w:val="24"/>
          <w:szCs w:val="24"/>
          <w:lang w:val="lv-LV" w:eastAsia="lv-LV" w:bidi="lv-LV"/>
        </w:rPr>
        <w:t>īdz ar to e</w:t>
      </w:r>
      <w:r w:rsidR="001F5C6B">
        <w:rPr>
          <w:rFonts w:ascii="Times New Roman" w:eastAsia="Times New Roman" w:hAnsi="Times New Roman"/>
          <w:sz w:val="24"/>
          <w:szCs w:val="24"/>
          <w:lang w:val="lv-LV" w:eastAsia="lv-LV" w:bidi="lv-LV"/>
        </w:rPr>
        <w:t xml:space="preserve">sošā infrastruktūra nav pietiekama, lai </w:t>
      </w:r>
      <w:r>
        <w:rPr>
          <w:rFonts w:ascii="Times New Roman" w:eastAsia="Times New Roman" w:hAnsi="Times New Roman"/>
          <w:sz w:val="24"/>
          <w:szCs w:val="24"/>
          <w:lang w:val="lv-LV" w:eastAsia="lv-LV" w:bidi="lv-LV"/>
        </w:rPr>
        <w:t>nodrošinātu ES un nacionālajiem stratēģiskajiem mērķiem atbilstošus interneta pakalpojumus.</w:t>
      </w:r>
    </w:p>
    <w:p w14:paraId="2029E735" w14:textId="77777777" w:rsidR="00C40620" w:rsidRPr="00C40620" w:rsidRDefault="00C40620" w:rsidP="00C40620">
      <w:pPr>
        <w:keepNext/>
        <w:keepLines/>
        <w:tabs>
          <w:tab w:val="left" w:pos="2161"/>
        </w:tabs>
        <w:spacing w:before="240" w:after="120" w:line="240" w:lineRule="auto"/>
        <w:ind w:firstLine="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Stimulējošā ietekme </w:t>
      </w:r>
    </w:p>
    <w:p w14:paraId="0297A17E" w14:textId="77777777" w:rsidR="00C40620" w:rsidRPr="00C40620" w:rsidRDefault="008328B5" w:rsidP="00C40620">
      <w:pPr>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Lūdzu, aprakstiet atbalsta pasākuma paredzamo pozitīvo ietekmi:</w:t>
      </w:r>
    </w:p>
    <w:p w14:paraId="0E1B0BF5" w14:textId="43ECDE23" w:rsidR="00C40620" w:rsidRPr="00C40620" w:rsidRDefault="00C27953" w:rsidP="00C27953">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00FF625D">
        <w:rPr>
          <w:rFonts w:ascii="Times New Roman" w:eastAsia="Times New Roman" w:hAnsi="Times New Roman"/>
          <w:sz w:val="24"/>
          <w:szCs w:val="24"/>
          <w:lang w:val="lv-LV" w:eastAsia="lv-LV" w:bidi="lv-LV"/>
        </w:rPr>
        <w:t xml:space="preserve">Atbalsta pozitīvā ietekme vērsta uz nākotnēs prasību apmierināšanu </w:t>
      </w:r>
      <w:r w:rsidR="005E050A" w:rsidRPr="00FF625D">
        <w:rPr>
          <w:rFonts w:ascii="Times New Roman" w:eastAsia="Times New Roman" w:hAnsi="Times New Roman"/>
          <w:sz w:val="24"/>
          <w:szCs w:val="24"/>
          <w:lang w:val="lv-LV" w:eastAsia="lv-LV" w:bidi="lv-LV"/>
        </w:rPr>
        <w:t xml:space="preserve"> - s</w:t>
      </w:r>
      <w:r w:rsidR="0067160C" w:rsidRPr="00FF625D">
        <w:rPr>
          <w:rFonts w:ascii="Times New Roman" w:eastAsia="Times New Roman" w:hAnsi="Times New Roman"/>
          <w:sz w:val="24"/>
          <w:szCs w:val="24"/>
          <w:lang w:val="lv-LV" w:eastAsia="lv-LV" w:bidi="lv-LV"/>
        </w:rPr>
        <w:t>kat. 1.3. punktā sniegto informāciju.</w:t>
      </w:r>
      <w:r w:rsidR="0067160C">
        <w:rPr>
          <w:rFonts w:ascii="Times New Roman" w:eastAsia="Times New Roman" w:hAnsi="Times New Roman"/>
          <w:sz w:val="24"/>
          <w:szCs w:val="24"/>
          <w:lang w:val="lv-LV" w:eastAsia="lv-LV" w:bidi="lv-LV"/>
        </w:rPr>
        <w:t xml:space="preserve"> </w:t>
      </w:r>
    </w:p>
    <w:p w14:paraId="3EA67DCA" w14:textId="77777777" w:rsidR="00C40620" w:rsidRPr="00C40620" w:rsidRDefault="00C40620" w:rsidP="00C40620">
      <w:pPr>
        <w:keepNext/>
        <w:keepLines/>
        <w:tabs>
          <w:tab w:val="left" w:pos="2161"/>
        </w:tabs>
        <w:spacing w:before="240" w:after="120" w:line="240" w:lineRule="auto"/>
        <w:ind w:left="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Krass uzlabojums</w:t>
      </w:r>
    </w:p>
    <w:p w14:paraId="14347950"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atbalsta pasākums nodrošinās krasu uzlabojumu platjoslas tīklu pieejamības ziņā? </w:t>
      </w:r>
    </w:p>
    <w:p w14:paraId="3C1EBE1E" w14:textId="77777777" w:rsidR="00C40620" w:rsidRPr="00C40620" w:rsidRDefault="00EE2B65"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880D8B">
        <w:rPr>
          <w:rFonts w:ascii="Times New Roman" w:hAnsi="Times New Roman"/>
          <w:sz w:val="24"/>
          <w:szCs w:val="20"/>
          <w:lang w:val="lv-LV" w:eastAsia="lv-LV" w:bidi="lv-LV"/>
        </w:rPr>
      </w:r>
      <w:r w:rsidR="00880D8B">
        <w:rPr>
          <w:rFonts w:ascii="Times New Roman" w:hAnsi="Times New Roman"/>
          <w:sz w:val="24"/>
          <w:szCs w:val="20"/>
          <w:lang w:val="lv-LV" w:eastAsia="lv-LV" w:bidi="lv-LV"/>
        </w:rPr>
        <w:fldChar w:fldCharType="separate"/>
      </w:r>
      <w:r w:rsidR="00C40620" w:rsidRPr="00C40620">
        <w:rPr>
          <w:rFonts w:ascii="Times New Roman" w:hAnsi="Times New Roman"/>
          <w:sz w:val="24"/>
          <w:szCs w:val="20"/>
          <w:lang w:val="lv-LV" w:eastAsia="lv-LV" w:bidi="lv-LV"/>
        </w:rPr>
        <w:fldChar w:fldCharType="end"/>
      </w:r>
      <w:r w:rsidR="00C40620" w:rsidRPr="00C40620">
        <w:rPr>
          <w:rFonts w:ascii="Times New Roman" w:hAnsi="Times New Roman"/>
          <w:sz w:val="24"/>
          <w:szCs w:val="20"/>
          <w:lang w:val="lv-LV" w:eastAsia="lv-LV" w:bidi="lv-LV"/>
        </w:rPr>
        <w:tab/>
        <w:t>Nē</w:t>
      </w:r>
    </w:p>
    <w:p w14:paraId="02704664" w14:textId="77777777" w:rsidR="00C40620" w:rsidRPr="00C40620" w:rsidRDefault="008328B5" w:rsidP="00C40620">
      <w:pPr>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 xml:space="preserve">Ja atbilde k) apakšpunktā ir “jā”, lūdzu, pierādiet to, veicot esošā un plānotā tīkla izvērsuma salīdzināšanu (tas ir, pirms un pēc plānotās iejaukšanās). Jo īpaši, lūdzu, sīki aprakstiet, vai un kādā mērā tiks veikti nozīmīgi jauni ieguldījumi platjoslas tīklos un kādas jaunas iespējas tiks ieviestas tirgū platjoslas tīklu pakalpojumu pieejamības un kvalitātes ziņā: </w:t>
      </w:r>
    </w:p>
    <w:p w14:paraId="2849145D" w14:textId="3FFE3868" w:rsidR="00C40620" w:rsidRPr="00C40620" w:rsidRDefault="00314FCD" w:rsidP="00947BCD">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Ieguldījumus plānots veikt VHCN baltajās teritorijās. Pēc valsts atbalsta sniegšanas tajās būs nodrošināta piekļuve </w:t>
      </w:r>
      <w:r w:rsidR="002703C9">
        <w:rPr>
          <w:rFonts w:ascii="Times New Roman" w:eastAsia="Times New Roman" w:hAnsi="Times New Roman"/>
          <w:sz w:val="24"/>
          <w:szCs w:val="24"/>
          <w:lang w:val="lv-LV" w:eastAsia="lv-LV" w:bidi="lv-LV"/>
        </w:rPr>
        <w:t>VHCN</w:t>
      </w:r>
      <w:r w:rsidR="00204650">
        <w:rPr>
          <w:rFonts w:ascii="Times New Roman" w:eastAsia="Times New Roman" w:hAnsi="Times New Roman"/>
          <w:sz w:val="24"/>
          <w:szCs w:val="24"/>
          <w:lang w:val="lv-LV" w:eastAsia="lv-LV" w:bidi="lv-LV"/>
        </w:rPr>
        <w:t>, kur pakalpojumu sniedz</w:t>
      </w:r>
      <w:r>
        <w:rPr>
          <w:rFonts w:ascii="Times New Roman" w:eastAsia="Times New Roman" w:hAnsi="Times New Roman"/>
          <w:sz w:val="24"/>
          <w:szCs w:val="24"/>
          <w:lang w:val="lv-LV" w:eastAsia="lv-LV" w:bidi="lv-LV"/>
        </w:rPr>
        <w:t xml:space="preserve"> vismaz vien</w:t>
      </w:r>
      <w:r w:rsidR="00204650">
        <w:rPr>
          <w:rFonts w:ascii="Times New Roman" w:eastAsia="Times New Roman" w:hAnsi="Times New Roman"/>
          <w:sz w:val="24"/>
          <w:szCs w:val="24"/>
          <w:lang w:val="lv-LV" w:eastAsia="lv-LV" w:bidi="lv-LV"/>
        </w:rPr>
        <w:t>s</w:t>
      </w:r>
      <w:r>
        <w:rPr>
          <w:rFonts w:ascii="Times New Roman" w:eastAsia="Times New Roman" w:hAnsi="Times New Roman"/>
          <w:sz w:val="24"/>
          <w:szCs w:val="24"/>
          <w:lang w:val="lv-LV" w:eastAsia="lv-LV" w:bidi="lv-LV"/>
        </w:rPr>
        <w:t xml:space="preserve"> elektronisko sakaru </w:t>
      </w:r>
      <w:r w:rsidR="00204650">
        <w:rPr>
          <w:rFonts w:ascii="Times New Roman" w:eastAsia="Times New Roman" w:hAnsi="Times New Roman"/>
          <w:sz w:val="24"/>
          <w:szCs w:val="24"/>
          <w:lang w:val="lv-LV" w:eastAsia="lv-LV" w:bidi="lv-LV"/>
        </w:rPr>
        <w:t xml:space="preserve">operators. </w:t>
      </w:r>
      <w:r w:rsidR="00204650" w:rsidRPr="00F546BB">
        <w:rPr>
          <w:rFonts w:ascii="Times New Roman" w:eastAsia="Times New Roman" w:hAnsi="Times New Roman"/>
          <w:sz w:val="24"/>
          <w:szCs w:val="24"/>
          <w:lang w:val="lv-LV" w:eastAsia="lv-LV" w:bidi="lv-LV"/>
        </w:rPr>
        <w:t>Ņemot vērā kartēšanas rezultātus un sabiedriskās apspriešanas rezultātus (skat.</w:t>
      </w:r>
      <w:r w:rsidR="00A622F1">
        <w:rPr>
          <w:rFonts w:ascii="Times New Roman" w:eastAsia="Times New Roman" w:hAnsi="Times New Roman"/>
          <w:sz w:val="24"/>
          <w:szCs w:val="24"/>
          <w:lang w:val="lv-LV" w:eastAsia="lv-LV" w:bidi="lv-LV"/>
        </w:rPr>
        <w:t xml:space="preserve"> 1.7., </w:t>
      </w:r>
      <w:r w:rsidR="00204650" w:rsidRPr="00F546BB">
        <w:rPr>
          <w:rFonts w:ascii="Times New Roman" w:eastAsia="Times New Roman" w:hAnsi="Times New Roman"/>
          <w:sz w:val="24"/>
          <w:szCs w:val="24"/>
          <w:lang w:val="lv-LV" w:eastAsia="lv-LV" w:bidi="lv-LV"/>
        </w:rPr>
        <w:t>2.1.-2.3. punktos sniegto informāciju)</w:t>
      </w:r>
      <w:r w:rsidR="00204650">
        <w:rPr>
          <w:rFonts w:ascii="Times New Roman" w:eastAsia="Times New Roman" w:hAnsi="Times New Roman"/>
          <w:sz w:val="24"/>
          <w:szCs w:val="24"/>
          <w:lang w:val="lv-LV" w:eastAsia="lv-LV" w:bidi="lv-LV"/>
        </w:rPr>
        <w:t xml:space="preserve">, teritorijās, kur šobrīd </w:t>
      </w:r>
      <w:r w:rsidR="00D8319E">
        <w:rPr>
          <w:rFonts w:ascii="Times New Roman" w:eastAsia="Times New Roman" w:hAnsi="Times New Roman"/>
          <w:sz w:val="24"/>
          <w:szCs w:val="24"/>
          <w:lang w:val="lv-LV" w:eastAsia="lv-LV" w:bidi="lv-LV"/>
        </w:rPr>
        <w:t xml:space="preserve">nav piekļuve </w:t>
      </w:r>
      <w:r w:rsidR="002703C9">
        <w:rPr>
          <w:rFonts w:ascii="Times New Roman" w:eastAsia="Times New Roman" w:hAnsi="Times New Roman"/>
          <w:sz w:val="24"/>
          <w:szCs w:val="24"/>
          <w:lang w:val="lv-LV" w:eastAsia="lv-LV" w:bidi="lv-LV"/>
        </w:rPr>
        <w:t>VHCN</w:t>
      </w:r>
      <w:r w:rsidR="00D8319E">
        <w:rPr>
          <w:rFonts w:ascii="Times New Roman" w:eastAsia="Times New Roman" w:hAnsi="Times New Roman"/>
          <w:sz w:val="24"/>
          <w:szCs w:val="24"/>
          <w:lang w:val="lv-LV" w:eastAsia="lv-LV" w:bidi="lv-LV"/>
        </w:rPr>
        <w:t xml:space="preserve">, tas ir, internets vispār nav pieejams vai arī tas ir mazāks nekā 100 Mbit/s. Kā jau minēts 2.2. punkta 4. apakšpunktā, lai gan </w:t>
      </w:r>
      <w:r w:rsidR="00D8319E" w:rsidRPr="008E1A38">
        <w:rPr>
          <w:rFonts w:ascii="Times New Roman" w:hAnsi="Times New Roman"/>
          <w:sz w:val="24"/>
          <w:szCs w:val="24"/>
          <w:lang w:val="lv-LV"/>
        </w:rPr>
        <w:t>mobilo sakaru tīkli ir pieejami apmēram 90% valsts teritorijas un tajās dzīvo apmēram 97,7% iedzīvotāju</w:t>
      </w:r>
      <w:r w:rsidR="00C96C42">
        <w:rPr>
          <w:rFonts w:ascii="Times New Roman" w:hAnsi="Times New Roman"/>
          <w:sz w:val="24"/>
          <w:szCs w:val="24"/>
          <w:lang w:val="lv-LV"/>
        </w:rPr>
        <w:t xml:space="preserve">, tie šobrīd nenodrošina pakalpojumus, kas vērsti uz nākotnes prasību apmierināšanu. </w:t>
      </w:r>
    </w:p>
    <w:p w14:paraId="169F09CF" w14:textId="77777777" w:rsidR="00C40620" w:rsidRPr="00C40620" w:rsidRDefault="00C40620" w:rsidP="00C40620">
      <w:pPr>
        <w:keepNext/>
        <w:keepLines/>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lastRenderedPageBreak/>
        <w:t>Lūdzu, izskaidrojiet plānotās izmaiņas atbalsta saņēmēja(-u) rīcībā:</w:t>
      </w:r>
    </w:p>
    <w:p w14:paraId="6E480265" w14:textId="7020C2C6" w:rsidR="00305595" w:rsidRPr="00BF3BE4" w:rsidRDefault="005D3872" w:rsidP="00B47F57">
      <w:pPr>
        <w:keepNext/>
        <w:keepLines/>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005D3872">
        <w:rPr>
          <w:rFonts w:ascii="Times New Roman" w:eastAsia="Times New Roman" w:hAnsi="Times New Roman"/>
          <w:sz w:val="24"/>
          <w:szCs w:val="24"/>
          <w:lang w:val="lv-LV" w:eastAsia="lv-LV" w:bidi="lv-LV"/>
        </w:rPr>
        <w:t xml:space="preserve">Valsts atbalsts sniegs motivāciju, lai VHCN baltajās teritorijās būtu vismaz viens elektronisko sakaru komersants, kas </w:t>
      </w:r>
      <w:r w:rsidR="00305595" w:rsidRPr="005D3872">
        <w:rPr>
          <w:rFonts w:ascii="Times New Roman" w:eastAsia="Times New Roman" w:hAnsi="Times New Roman"/>
          <w:sz w:val="24"/>
          <w:szCs w:val="24"/>
          <w:lang w:val="lv-LV" w:eastAsia="lv-LV" w:bidi="lv-LV"/>
        </w:rPr>
        <w:t xml:space="preserve">piedāvās </w:t>
      </w:r>
      <w:r w:rsidR="002703C9">
        <w:rPr>
          <w:rFonts w:ascii="Times New Roman" w:eastAsia="Times New Roman" w:hAnsi="Times New Roman"/>
          <w:sz w:val="24"/>
          <w:szCs w:val="24"/>
          <w:lang w:val="lv-LV" w:eastAsia="lv-LV" w:bidi="lv-LV"/>
        </w:rPr>
        <w:t>VHCN</w:t>
      </w:r>
      <w:r w:rsidRPr="005D3872">
        <w:rPr>
          <w:rFonts w:ascii="Times New Roman" w:eastAsia="Times New Roman" w:hAnsi="Times New Roman"/>
          <w:sz w:val="24"/>
          <w:szCs w:val="24"/>
          <w:lang w:val="lv-LV" w:eastAsia="lv-LV" w:bidi="lv-LV"/>
        </w:rPr>
        <w:t xml:space="preserve"> </w:t>
      </w:r>
      <w:r w:rsidR="00305595" w:rsidRPr="005D3872">
        <w:rPr>
          <w:rFonts w:ascii="Times New Roman" w:eastAsia="Times New Roman" w:hAnsi="Times New Roman"/>
          <w:sz w:val="24"/>
          <w:szCs w:val="24"/>
          <w:lang w:val="lv-LV" w:eastAsia="lv-LV" w:bidi="lv-LV"/>
        </w:rPr>
        <w:t xml:space="preserve">pakalpojumus galalietotājiem. </w:t>
      </w:r>
      <w:r>
        <w:rPr>
          <w:rFonts w:ascii="Times New Roman" w:eastAsia="Times New Roman" w:hAnsi="Times New Roman"/>
          <w:sz w:val="24"/>
          <w:szCs w:val="24"/>
          <w:lang w:val="lv-LV" w:eastAsia="lv-LV" w:bidi="lv-LV"/>
        </w:rPr>
        <w:t xml:space="preserve">Vienlaikus elektronisko sakaru operatoram, kas  būs jānenodrošina iespēja piekļuvei citiem elektronisko sakaru komersantiem. Tas veicinās konkurenci, nodrošinot </w:t>
      </w:r>
      <w:r w:rsidR="00BF3BE4">
        <w:rPr>
          <w:rFonts w:ascii="Times New Roman" w:eastAsia="Times New Roman" w:hAnsi="Times New Roman"/>
          <w:sz w:val="24"/>
          <w:szCs w:val="24"/>
          <w:lang w:val="lv-LV" w:eastAsia="lv-LV" w:bidi="lv-LV"/>
        </w:rPr>
        <w:t xml:space="preserve">kvalitatīvāku </w:t>
      </w:r>
      <w:r>
        <w:rPr>
          <w:rFonts w:ascii="Times New Roman" w:eastAsia="Times New Roman" w:hAnsi="Times New Roman"/>
          <w:sz w:val="24"/>
          <w:szCs w:val="24"/>
          <w:lang w:val="lv-LV" w:eastAsia="lv-LV" w:bidi="lv-LV"/>
        </w:rPr>
        <w:t>pakalpojum</w:t>
      </w:r>
      <w:r w:rsidR="00BF3BE4">
        <w:rPr>
          <w:rFonts w:ascii="Times New Roman" w:eastAsia="Times New Roman" w:hAnsi="Times New Roman"/>
          <w:sz w:val="24"/>
          <w:szCs w:val="24"/>
          <w:lang w:val="lv-LV" w:eastAsia="lv-LV" w:bidi="lv-LV"/>
        </w:rPr>
        <w:t>u par konkurētspējīgu cenu</w:t>
      </w:r>
      <w:r w:rsidR="00BF3BE4" w:rsidRPr="00BF3BE4">
        <w:rPr>
          <w:rFonts w:ascii="Times New Roman" w:eastAsia="Times New Roman" w:hAnsi="Times New Roman"/>
          <w:sz w:val="24"/>
          <w:szCs w:val="24"/>
          <w:lang w:val="lv-LV" w:eastAsia="lv-LV" w:bidi="lv-LV"/>
        </w:rPr>
        <w:t xml:space="preserve">. </w:t>
      </w:r>
      <w:r w:rsidR="00AB132A" w:rsidRPr="00BF3BE4">
        <w:rPr>
          <w:rFonts w:ascii="Times New Roman" w:eastAsia="Times New Roman" w:hAnsi="Times New Roman"/>
          <w:sz w:val="24"/>
          <w:szCs w:val="24"/>
          <w:lang w:val="lv-LV" w:eastAsia="lv-LV" w:bidi="lv-LV"/>
        </w:rPr>
        <w:t>Elektronisko sakaru komersanti</w:t>
      </w:r>
      <w:r w:rsidR="00305595" w:rsidRPr="00BF3BE4">
        <w:rPr>
          <w:rFonts w:ascii="Times New Roman" w:eastAsia="Times New Roman" w:hAnsi="Times New Roman"/>
          <w:sz w:val="24"/>
          <w:szCs w:val="24"/>
          <w:lang w:val="lv-LV" w:eastAsia="lv-LV" w:bidi="lv-LV"/>
        </w:rPr>
        <w:t xml:space="preserve"> būs ieinteresēti izmantot infrastruktūru šādu iemeslu dēļ:</w:t>
      </w:r>
    </w:p>
    <w:p w14:paraId="5B0A81E4" w14:textId="6B2AF500" w:rsidR="00305595" w:rsidRPr="00BF3BE4" w:rsidRDefault="00305595" w:rsidP="00B47F57">
      <w:pPr>
        <w:keepNext/>
        <w:keepLines/>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00BF3BE4">
        <w:rPr>
          <w:rFonts w:ascii="Times New Roman" w:eastAsia="Times New Roman" w:hAnsi="Times New Roman"/>
          <w:sz w:val="24"/>
          <w:szCs w:val="24"/>
          <w:lang w:val="lv-LV" w:eastAsia="lv-LV" w:bidi="lv-LV"/>
        </w:rPr>
        <w:t xml:space="preserve">- </w:t>
      </w:r>
      <w:r w:rsidR="00AB132A" w:rsidRPr="00BF3BE4">
        <w:rPr>
          <w:rFonts w:ascii="Times New Roman" w:eastAsia="Times New Roman" w:hAnsi="Times New Roman"/>
          <w:sz w:val="24"/>
          <w:szCs w:val="24"/>
          <w:lang w:val="lv-LV" w:eastAsia="lv-LV" w:bidi="lv-LV"/>
        </w:rPr>
        <w:t xml:space="preserve">infrastruktūrai </w:t>
      </w:r>
      <w:r w:rsidRPr="00BF3BE4">
        <w:rPr>
          <w:rFonts w:ascii="Times New Roman" w:eastAsia="Times New Roman" w:hAnsi="Times New Roman"/>
          <w:sz w:val="24"/>
          <w:szCs w:val="24"/>
          <w:lang w:val="lv-LV" w:eastAsia="lv-LV" w:bidi="lv-LV"/>
        </w:rPr>
        <w:t>būs datu pārraides jauda</w:t>
      </w:r>
      <w:r w:rsidR="00AB132A" w:rsidRPr="00BF3BE4">
        <w:rPr>
          <w:rFonts w:ascii="Times New Roman" w:eastAsia="Times New Roman" w:hAnsi="Times New Roman"/>
          <w:sz w:val="24"/>
          <w:szCs w:val="24"/>
          <w:lang w:val="lv-LV" w:eastAsia="lv-LV" w:bidi="lv-LV"/>
        </w:rPr>
        <w:t>, kas var apmierināt</w:t>
      </w:r>
      <w:r w:rsidRPr="00BF3BE4">
        <w:rPr>
          <w:rFonts w:ascii="Times New Roman" w:eastAsia="Times New Roman" w:hAnsi="Times New Roman"/>
          <w:sz w:val="24"/>
          <w:szCs w:val="24"/>
          <w:lang w:val="lv-LV" w:eastAsia="lv-LV" w:bidi="lv-LV"/>
        </w:rPr>
        <w:t xml:space="preserve"> </w:t>
      </w:r>
      <w:r w:rsidR="00AB132A" w:rsidRPr="00BF3BE4">
        <w:rPr>
          <w:rFonts w:ascii="Times New Roman" w:eastAsia="Times New Roman" w:hAnsi="Times New Roman"/>
          <w:sz w:val="24"/>
          <w:szCs w:val="24"/>
          <w:lang w:val="lv-LV" w:eastAsia="lv-LV" w:bidi="lv-LV"/>
        </w:rPr>
        <w:t xml:space="preserve">potenciālo </w:t>
      </w:r>
      <w:r w:rsidRPr="00BF3BE4">
        <w:rPr>
          <w:rFonts w:ascii="Times New Roman" w:eastAsia="Times New Roman" w:hAnsi="Times New Roman"/>
          <w:sz w:val="24"/>
          <w:szCs w:val="24"/>
          <w:lang w:val="lv-LV" w:eastAsia="lv-LV" w:bidi="lv-LV"/>
        </w:rPr>
        <w:t>klient</w:t>
      </w:r>
      <w:r w:rsidR="00AB132A" w:rsidRPr="00BF3BE4">
        <w:rPr>
          <w:rFonts w:ascii="Times New Roman" w:eastAsia="Times New Roman" w:hAnsi="Times New Roman"/>
          <w:sz w:val="24"/>
          <w:szCs w:val="24"/>
          <w:lang w:val="lv-LV" w:eastAsia="lv-LV" w:bidi="lv-LV"/>
        </w:rPr>
        <w:t>u nākotnes pieprasījumu</w:t>
      </w:r>
      <w:r w:rsidRPr="00BF3BE4">
        <w:rPr>
          <w:rFonts w:ascii="Times New Roman" w:eastAsia="Times New Roman" w:hAnsi="Times New Roman"/>
          <w:sz w:val="24"/>
          <w:szCs w:val="24"/>
          <w:lang w:val="lv-LV" w:eastAsia="lv-LV" w:bidi="lv-LV"/>
        </w:rPr>
        <w:t>;</w:t>
      </w:r>
    </w:p>
    <w:p w14:paraId="3D25F4A0" w14:textId="77777777" w:rsidR="00305595" w:rsidRPr="00BF3BE4" w:rsidRDefault="00305595" w:rsidP="00B47F57">
      <w:pPr>
        <w:keepNext/>
        <w:keepLines/>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00BF3BE4">
        <w:rPr>
          <w:rFonts w:ascii="Times New Roman" w:eastAsia="Times New Roman" w:hAnsi="Times New Roman"/>
          <w:sz w:val="24"/>
          <w:szCs w:val="24"/>
          <w:lang w:val="lv-LV" w:eastAsia="lv-LV" w:bidi="lv-LV"/>
        </w:rPr>
        <w:t>- nomas izdevumi būs mazāki salīdzinājumā, ja elektronisko sakaru operatoram pašam būtu jāveic izdevumi infrastruktūr</w:t>
      </w:r>
      <w:r w:rsidR="00AB132A" w:rsidRPr="00BF3BE4">
        <w:rPr>
          <w:rFonts w:ascii="Times New Roman" w:eastAsia="Times New Roman" w:hAnsi="Times New Roman"/>
          <w:sz w:val="24"/>
          <w:szCs w:val="24"/>
          <w:lang w:val="lv-LV" w:eastAsia="lv-LV" w:bidi="lv-LV"/>
        </w:rPr>
        <w:t>as attīstībā</w:t>
      </w:r>
      <w:r w:rsidRPr="00BF3BE4">
        <w:rPr>
          <w:rFonts w:ascii="Times New Roman" w:eastAsia="Times New Roman" w:hAnsi="Times New Roman"/>
          <w:sz w:val="24"/>
          <w:szCs w:val="24"/>
          <w:lang w:val="lv-LV" w:eastAsia="lv-LV" w:bidi="lv-LV"/>
        </w:rPr>
        <w:t>;</w:t>
      </w:r>
    </w:p>
    <w:p w14:paraId="74266E12" w14:textId="77777777" w:rsidR="00C40620" w:rsidRPr="00C40620" w:rsidRDefault="00305595" w:rsidP="00B47F57">
      <w:pPr>
        <w:keepNext/>
        <w:keepLines/>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00BF3BE4">
        <w:rPr>
          <w:rFonts w:ascii="Times New Roman" w:eastAsia="Times New Roman" w:hAnsi="Times New Roman"/>
          <w:sz w:val="24"/>
          <w:szCs w:val="24"/>
          <w:lang w:val="lv-LV" w:eastAsia="lv-LV" w:bidi="lv-LV"/>
        </w:rPr>
        <w:t>- jauniem tirgus dalībniekiem būs iespējas sākt uzņēmējdarbību pašreizējā jomā ar mazākām investīcijām.</w:t>
      </w:r>
      <w:r>
        <w:rPr>
          <w:rFonts w:ascii="Times New Roman" w:eastAsia="Times New Roman" w:hAnsi="Times New Roman"/>
          <w:sz w:val="24"/>
          <w:szCs w:val="24"/>
          <w:lang w:val="lv-LV" w:eastAsia="lv-LV" w:bidi="lv-LV"/>
        </w:rPr>
        <w:t xml:space="preserve"> </w:t>
      </w:r>
    </w:p>
    <w:p w14:paraId="0159A17A"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pierādiet, ka bez valsts atbalsta tajā pašā laikposmā un/vai ar tiem pašiem nosacījumiem nebūtu iespējams veikt līdzīgu ieguldījumu platjoslas tīklos: </w:t>
      </w:r>
    </w:p>
    <w:p w14:paraId="66947F63" w14:textId="77777777" w:rsidR="00C40620" w:rsidRPr="00C40620" w:rsidRDefault="008A7D18" w:rsidP="009A0204">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00F546BB">
        <w:rPr>
          <w:rFonts w:ascii="Times New Roman" w:eastAsia="Times New Roman" w:hAnsi="Times New Roman"/>
          <w:sz w:val="24"/>
          <w:szCs w:val="24"/>
          <w:lang w:val="lv-LV" w:eastAsia="lv-LV" w:bidi="lv-LV"/>
        </w:rPr>
        <w:t>Ņemot vērā kartēšanas rezultātus un sabiedriskās apspriešanas rezultātus</w:t>
      </w:r>
      <w:r w:rsidR="00601BA3" w:rsidRPr="00F546BB">
        <w:rPr>
          <w:rFonts w:ascii="Times New Roman" w:eastAsia="Times New Roman" w:hAnsi="Times New Roman"/>
          <w:sz w:val="24"/>
          <w:szCs w:val="24"/>
          <w:lang w:val="lv-LV" w:eastAsia="lv-LV" w:bidi="lv-LV"/>
        </w:rPr>
        <w:t xml:space="preserve"> (skat.</w:t>
      </w:r>
      <w:r w:rsidR="00016C3F" w:rsidRPr="00F546BB">
        <w:rPr>
          <w:rFonts w:ascii="Times New Roman" w:eastAsia="Times New Roman" w:hAnsi="Times New Roman"/>
          <w:sz w:val="24"/>
          <w:szCs w:val="24"/>
          <w:lang w:val="lv-LV" w:eastAsia="lv-LV" w:bidi="lv-LV"/>
        </w:rPr>
        <w:t>2.1.-2.3. punktos sniegto informāciju)</w:t>
      </w:r>
      <w:r w:rsidRPr="00F546BB">
        <w:rPr>
          <w:rFonts w:ascii="Times New Roman" w:eastAsia="Times New Roman" w:hAnsi="Times New Roman"/>
          <w:sz w:val="24"/>
          <w:szCs w:val="24"/>
          <w:lang w:val="lv-LV" w:eastAsia="lv-LV" w:bidi="lv-LV"/>
        </w:rPr>
        <w:t xml:space="preserve">, </w:t>
      </w:r>
      <w:r w:rsidR="009A0204" w:rsidRPr="00F546BB">
        <w:rPr>
          <w:rFonts w:ascii="Times New Roman" w:eastAsia="Times New Roman" w:hAnsi="Times New Roman"/>
          <w:sz w:val="24"/>
          <w:szCs w:val="24"/>
          <w:lang w:val="lv-LV" w:eastAsia="lv-LV" w:bidi="lv-LV"/>
        </w:rPr>
        <w:t>mērķa teritorijās trīs turpmākajos gados bez valsts atbalsta netiktu veikti ieguldījumi,</w:t>
      </w:r>
      <w:r w:rsidR="009A0204" w:rsidRPr="009A0204">
        <w:rPr>
          <w:rFonts w:ascii="Times New Roman" w:eastAsia="Times New Roman" w:hAnsi="Times New Roman"/>
          <w:sz w:val="24"/>
          <w:szCs w:val="24"/>
          <w:lang w:val="lv-LV" w:eastAsia="lv-LV" w:bidi="lv-LV"/>
        </w:rPr>
        <w:t xml:space="preserve"> tātad atbalsts rada izmaiņas operatoru lēmumos par ieguldīšanu.</w:t>
      </w:r>
    </w:p>
    <w:p w14:paraId="69E7F066" w14:textId="77777777" w:rsidR="00C40620" w:rsidRPr="00C40620"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Samērīgums</w:t>
      </w:r>
    </w:p>
    <w:p w14:paraId="01FE72E4"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paskaidrojiet, kā tiek nodrošināts, ka atbalsta pasākuma apjoms aprobežojas ar nepieciešamo minimumu: </w:t>
      </w:r>
    </w:p>
    <w:p w14:paraId="198A55A5" w14:textId="6C2EF05A" w:rsidR="00C40620" w:rsidRPr="00C40620" w:rsidRDefault="000810A3"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F546BB">
        <w:rPr>
          <w:rFonts w:ascii="Times New Roman" w:eastAsia="Times New Roman" w:hAnsi="Times New Roman"/>
          <w:sz w:val="24"/>
          <w:szCs w:val="24"/>
          <w:lang w:val="lv-LV" w:eastAsia="lv-LV" w:bidi="lv-LV"/>
        </w:rPr>
        <w:t>Skat. pamatformas 6.5. punktā sniegto informāciju.</w:t>
      </w:r>
      <w:r>
        <w:rPr>
          <w:rFonts w:ascii="Times New Roman" w:eastAsia="Times New Roman" w:hAnsi="Times New Roman"/>
          <w:sz w:val="24"/>
          <w:szCs w:val="24"/>
          <w:lang w:val="lv-LV" w:eastAsia="lv-LV" w:bidi="lv-LV"/>
        </w:rPr>
        <w:t xml:space="preserve"> </w:t>
      </w:r>
    </w:p>
    <w:p w14:paraId="6B0452FD" w14:textId="77777777" w:rsidR="00C40620" w:rsidRPr="00C40620" w:rsidRDefault="00C40620" w:rsidP="00C40620">
      <w:pPr>
        <w:keepNext/>
        <w:keepLines/>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Konkurences izkropļojumi un ietekme uz tirdzniecību</w:t>
      </w:r>
    </w:p>
    <w:p w14:paraId="1FF09FA9"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Lūdzu, paskaidrojiet, kāda varētu būt atbalsta pasākuma negatīvā ietekme uz konkurenci un tirdzniecību (piemēram, iespēja izraisīt privāto ieguldījumu izstumšanu vai dominējošā stāvokļa nostiprināšanos) un kādi pasākuma elementi</w:t>
      </w:r>
      <w:r w:rsidRPr="00C40620">
        <w:rPr>
          <w:rFonts w:ascii="Times New Roman" w:eastAsia="Times New Roman" w:hAnsi="Times New Roman"/>
          <w:sz w:val="24"/>
          <w:szCs w:val="20"/>
          <w:vertAlign w:val="superscript"/>
          <w:lang w:val="lv-LV"/>
        </w:rPr>
        <w:footnoteReference w:id="22"/>
      </w:r>
      <w:r w:rsidRPr="00C40620">
        <w:rPr>
          <w:rFonts w:ascii="Times New Roman" w:eastAsia="Times New Roman" w:hAnsi="Times New Roman"/>
          <w:sz w:val="24"/>
          <w:szCs w:val="20"/>
          <w:lang w:val="lv-LV"/>
        </w:rPr>
        <w:t xml:space="preserve"> varētu šos riskus samazināt: </w:t>
      </w:r>
    </w:p>
    <w:p w14:paraId="6D29D1A9" w14:textId="6A664D33" w:rsidR="00C40620" w:rsidRPr="00C40620" w:rsidRDefault="00626730" w:rsidP="00626730">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00940AC2">
        <w:rPr>
          <w:rFonts w:ascii="Times New Roman" w:eastAsia="Times New Roman" w:hAnsi="Times New Roman"/>
          <w:sz w:val="24"/>
          <w:szCs w:val="24"/>
          <w:lang w:val="lv-LV" w:eastAsia="lv-LV" w:bidi="lv-LV"/>
        </w:rPr>
        <w:t>Izvērtējot plānoto ieguldījumu intervenci, secināts, ka ieguldījumu un uzņēmējdarbības modelis</w:t>
      </w:r>
      <w:r w:rsidR="00855882" w:rsidRPr="00940AC2">
        <w:rPr>
          <w:rFonts w:ascii="Times New Roman" w:eastAsia="Times New Roman" w:hAnsi="Times New Roman"/>
          <w:sz w:val="24"/>
          <w:szCs w:val="24"/>
          <w:lang w:val="lv-LV" w:eastAsia="lv-LV" w:bidi="lv-LV"/>
        </w:rPr>
        <w:t xml:space="preserve">, proti, </w:t>
      </w:r>
      <w:r w:rsidR="00940AC2" w:rsidRPr="00940AC2">
        <w:rPr>
          <w:rFonts w:ascii="Times New Roman" w:eastAsia="Times New Roman" w:hAnsi="Times New Roman"/>
          <w:sz w:val="24"/>
          <w:szCs w:val="24"/>
          <w:lang w:val="lv-LV" w:eastAsia="lv-LV" w:bidi="lv-LV"/>
        </w:rPr>
        <w:t>privāti</w:t>
      </w:r>
      <w:r w:rsidR="00855882" w:rsidRPr="00940AC2">
        <w:rPr>
          <w:rFonts w:ascii="Times New Roman" w:eastAsia="Times New Roman" w:hAnsi="Times New Roman"/>
          <w:sz w:val="24"/>
          <w:szCs w:val="24"/>
          <w:lang w:val="lv-LV" w:eastAsia="lv-LV" w:bidi="lv-LV"/>
        </w:rPr>
        <w:t xml:space="preserve"> pārvaldīta tīkla modelis un </w:t>
      </w:r>
      <w:r w:rsidR="00940AC2" w:rsidRPr="00940AC2">
        <w:rPr>
          <w:rFonts w:ascii="Times New Roman" w:eastAsia="Times New Roman" w:hAnsi="Times New Roman"/>
          <w:sz w:val="24"/>
          <w:szCs w:val="24"/>
          <w:lang w:val="lv-LV" w:eastAsia="lv-LV" w:bidi="lv-LV"/>
        </w:rPr>
        <w:t>aktīvā</w:t>
      </w:r>
      <w:r w:rsidR="00855882" w:rsidRPr="00940AC2">
        <w:rPr>
          <w:rFonts w:ascii="Times New Roman" w:eastAsia="Times New Roman" w:hAnsi="Times New Roman"/>
          <w:sz w:val="24"/>
          <w:szCs w:val="24"/>
          <w:lang w:val="lv-LV" w:eastAsia="lv-LV" w:bidi="lv-LV"/>
        </w:rPr>
        <w:t xml:space="preserve"> slāņa atvērtais modelis,</w:t>
      </w:r>
      <w:r w:rsidRPr="00940AC2">
        <w:rPr>
          <w:rFonts w:ascii="Times New Roman" w:eastAsia="Times New Roman" w:hAnsi="Times New Roman"/>
          <w:sz w:val="24"/>
          <w:szCs w:val="24"/>
          <w:lang w:val="lv-LV" w:eastAsia="lv-LV" w:bidi="lv-LV"/>
        </w:rPr>
        <w:t xml:space="preserve"> ir optimāls, lai </w:t>
      </w:r>
      <w:r w:rsidR="00D960D0" w:rsidRPr="00940AC2">
        <w:rPr>
          <w:rFonts w:ascii="Times New Roman" w:eastAsia="Times New Roman" w:hAnsi="Times New Roman"/>
          <w:sz w:val="24"/>
          <w:szCs w:val="24"/>
          <w:lang w:val="lv-LV" w:eastAsia="lv-LV" w:bidi="lv-LV"/>
        </w:rPr>
        <w:t>veicinātu Eiropas Savienības un nacionālo mērķu sasniegšanu</w:t>
      </w:r>
      <w:r w:rsidR="00855882" w:rsidRPr="00940AC2">
        <w:rPr>
          <w:rFonts w:ascii="Times New Roman" w:eastAsia="Times New Roman" w:hAnsi="Times New Roman"/>
          <w:sz w:val="24"/>
          <w:szCs w:val="24"/>
          <w:lang w:val="lv-LV" w:eastAsia="lv-LV" w:bidi="lv-LV"/>
        </w:rPr>
        <w:t xml:space="preserve"> un iespējamo elektronisko sakaru komersantu aktivitāti nākotnē</w:t>
      </w:r>
      <w:r w:rsidR="00556EB3" w:rsidRPr="00940AC2">
        <w:rPr>
          <w:rFonts w:ascii="Times New Roman" w:eastAsia="Times New Roman" w:hAnsi="Times New Roman"/>
          <w:sz w:val="24"/>
          <w:szCs w:val="24"/>
          <w:lang w:val="lv-LV" w:eastAsia="lv-LV" w:bidi="lv-LV"/>
        </w:rPr>
        <w:t xml:space="preserve">. Šobrīd </w:t>
      </w:r>
      <w:r w:rsidR="00D960D0" w:rsidRPr="00940AC2">
        <w:rPr>
          <w:rFonts w:ascii="Times New Roman" w:eastAsia="Times New Roman" w:hAnsi="Times New Roman"/>
          <w:sz w:val="24"/>
          <w:szCs w:val="24"/>
          <w:lang w:val="lv-LV" w:eastAsia="lv-LV" w:bidi="lv-LV"/>
        </w:rPr>
        <w:t>to sasniegšanā el</w:t>
      </w:r>
      <w:r w:rsidR="00D960D0" w:rsidRPr="004A658D">
        <w:rPr>
          <w:rFonts w:ascii="Times New Roman" w:eastAsia="Times New Roman" w:hAnsi="Times New Roman"/>
          <w:sz w:val="24"/>
          <w:szCs w:val="24"/>
          <w:lang w:val="lv-LV" w:eastAsia="lv-LV" w:bidi="lv-LV"/>
        </w:rPr>
        <w:t xml:space="preserve">ektronisko sakaru operatoriem </w:t>
      </w:r>
      <w:r w:rsidRPr="004A658D">
        <w:rPr>
          <w:rFonts w:ascii="Times New Roman" w:eastAsia="Times New Roman" w:hAnsi="Times New Roman"/>
          <w:sz w:val="24"/>
          <w:szCs w:val="24"/>
          <w:lang w:val="lv-LV" w:eastAsia="lv-LV" w:bidi="lv-LV"/>
        </w:rPr>
        <w:t xml:space="preserve"> </w:t>
      </w:r>
      <w:r w:rsidR="00D960D0" w:rsidRPr="004A658D">
        <w:rPr>
          <w:rFonts w:ascii="Times New Roman" w:eastAsia="Times New Roman" w:hAnsi="Times New Roman"/>
          <w:sz w:val="24"/>
          <w:szCs w:val="24"/>
          <w:lang w:val="lv-LV" w:eastAsia="lv-LV" w:bidi="lv-LV"/>
        </w:rPr>
        <w:t xml:space="preserve">nav intereses, ko pamato investīciju plānu neesamība </w:t>
      </w:r>
      <w:proofErr w:type="spellStart"/>
      <w:r w:rsidR="00D960D0" w:rsidRPr="004A658D">
        <w:rPr>
          <w:rFonts w:ascii="Times New Roman" w:eastAsia="Times New Roman" w:hAnsi="Times New Roman"/>
          <w:sz w:val="24"/>
          <w:szCs w:val="24"/>
          <w:lang w:val="lv-LV" w:eastAsia="lv-LV" w:bidi="lv-LV"/>
        </w:rPr>
        <w:t>mērķteritorijā</w:t>
      </w:r>
      <w:proofErr w:type="spellEnd"/>
      <w:r w:rsidR="00D960D0" w:rsidRPr="004A658D">
        <w:rPr>
          <w:rFonts w:ascii="Times New Roman" w:eastAsia="Times New Roman" w:hAnsi="Times New Roman"/>
          <w:sz w:val="24"/>
          <w:szCs w:val="24"/>
          <w:lang w:val="lv-LV" w:eastAsia="lv-LV" w:bidi="lv-LV"/>
        </w:rPr>
        <w:t xml:space="preserve"> </w:t>
      </w:r>
      <w:r w:rsidRPr="004A658D">
        <w:rPr>
          <w:rFonts w:ascii="Times New Roman" w:eastAsia="Times New Roman" w:hAnsi="Times New Roman"/>
          <w:sz w:val="24"/>
          <w:szCs w:val="24"/>
          <w:lang w:val="lv-LV" w:eastAsia="lv-LV" w:bidi="lv-LV"/>
        </w:rPr>
        <w:t>(Papildus skat. pamatformas 6.6. punktā sniegto informāciju</w:t>
      </w:r>
      <w:r w:rsidR="00A622F1">
        <w:rPr>
          <w:rFonts w:ascii="Times New Roman" w:eastAsia="Times New Roman" w:hAnsi="Times New Roman"/>
          <w:sz w:val="24"/>
          <w:szCs w:val="24"/>
          <w:lang w:val="lv-LV" w:eastAsia="lv-LV" w:bidi="lv-LV"/>
        </w:rPr>
        <w:t>)</w:t>
      </w:r>
      <w:r w:rsidRPr="004A658D">
        <w:rPr>
          <w:rFonts w:ascii="Times New Roman" w:eastAsia="Times New Roman" w:hAnsi="Times New Roman"/>
          <w:sz w:val="24"/>
          <w:szCs w:val="24"/>
          <w:lang w:val="lv-LV" w:eastAsia="lv-LV" w:bidi="lv-LV"/>
        </w:rPr>
        <w:t>.</w:t>
      </w:r>
      <w:r>
        <w:rPr>
          <w:rFonts w:ascii="Times New Roman" w:eastAsia="Times New Roman" w:hAnsi="Times New Roman"/>
          <w:sz w:val="24"/>
          <w:szCs w:val="24"/>
          <w:lang w:val="lv-LV" w:eastAsia="lv-LV" w:bidi="lv-LV"/>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2AA9B4BE" w14:textId="77777777" w:rsidTr="00C40620">
        <w:tc>
          <w:tcPr>
            <w:tcW w:w="9356" w:type="dxa"/>
            <w:shd w:val="clear" w:color="auto" w:fill="D9D9D9"/>
          </w:tcPr>
          <w:p w14:paraId="785D343B"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lastRenderedPageBreak/>
              <w:t>Cita informācija</w:t>
            </w:r>
          </w:p>
        </w:tc>
      </w:tr>
    </w:tbl>
    <w:p w14:paraId="4B87B9DC" w14:textId="77777777" w:rsidR="00C40620" w:rsidRPr="00C40620" w:rsidRDefault="00C40620" w:rsidP="00C40620">
      <w:pPr>
        <w:spacing w:before="120" w:after="120" w:line="240" w:lineRule="auto"/>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norādiet jebkādu citu informāciju, kuru uzskatāt par būtisku attiecīgā pasākuma novērtējumam saskaņā ar Pamatnostādnēm par platjoslas tīkliem, vai jebkādu citu informāciju, kas ir būtiska no Savienības Konkurences un iekšējā tirgus noteikumu viedokļa</w:t>
      </w:r>
      <w:r w:rsidRPr="00C40620">
        <w:rPr>
          <w:rFonts w:ascii="Times New Roman" w:eastAsia="Times New Roman" w:hAnsi="Times New Roman"/>
          <w:sz w:val="24"/>
          <w:szCs w:val="24"/>
          <w:vertAlign w:val="superscript"/>
          <w:lang w:val="lv-LV" w:eastAsia="lv-LV" w:bidi="lv-LV"/>
        </w:rPr>
        <w:footnoteReference w:id="23"/>
      </w:r>
      <w:r w:rsidRPr="00C40620">
        <w:rPr>
          <w:rFonts w:ascii="Times New Roman" w:eastAsia="Times New Roman" w:hAnsi="Times New Roman"/>
          <w:sz w:val="24"/>
          <w:szCs w:val="24"/>
          <w:lang w:val="lv-LV" w:eastAsia="lv-LV" w:bidi="lv-LV"/>
        </w:rPr>
        <w:t>.</w:t>
      </w:r>
    </w:p>
    <w:p w14:paraId="30F208C9" w14:textId="77777777" w:rsidR="00C40620" w:rsidRPr="00C40620" w:rsidRDefault="00C40620" w:rsidP="00C40620">
      <w:pPr>
        <w:tabs>
          <w:tab w:val="left" w:leader="dot" w:pos="9072"/>
        </w:tabs>
        <w:spacing w:before="120" w:after="120" w:line="240" w:lineRule="auto"/>
        <w:jc w:val="both"/>
        <w:rPr>
          <w:rFonts w:ascii="Times New Roman" w:hAnsi="Times New Roman"/>
          <w:iCs/>
          <w:noProof/>
          <w:sz w:val="24"/>
          <w:szCs w:val="20"/>
          <w:lang w:val="lv-LV" w:eastAsia="lv-LV" w:bidi="lv-LV"/>
        </w:rPr>
      </w:pPr>
      <w:r w:rsidRPr="00C40620">
        <w:rPr>
          <w:rFonts w:ascii="Times New Roman" w:hAnsi="Times New Roman"/>
          <w:sz w:val="24"/>
          <w:szCs w:val="20"/>
          <w:lang w:val="lv-LV" w:eastAsia="lv-LV" w:bidi="lv-LV"/>
        </w:rPr>
        <w:tab/>
      </w:r>
    </w:p>
    <w:p w14:paraId="5047D505" w14:textId="77777777" w:rsidR="0076587C" w:rsidRPr="00C40620" w:rsidRDefault="0076587C" w:rsidP="00C40620">
      <w:pPr>
        <w:spacing w:after="0" w:line="240" w:lineRule="auto"/>
        <w:rPr>
          <w:rFonts w:ascii="Times New Roman" w:hAnsi="Times New Roman"/>
          <w:sz w:val="24"/>
          <w:szCs w:val="20"/>
          <w:lang w:val="lv-LV" w:eastAsia="lv-LV" w:bidi="lv-LV"/>
        </w:rPr>
      </w:pPr>
    </w:p>
    <w:sectPr w:rsidR="0076587C" w:rsidRPr="00C4062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3793" w14:textId="77777777" w:rsidR="009E374E" w:rsidRDefault="009E374E" w:rsidP="00C40620">
      <w:pPr>
        <w:spacing w:after="0" w:line="240" w:lineRule="auto"/>
      </w:pPr>
      <w:r>
        <w:separator/>
      </w:r>
    </w:p>
  </w:endnote>
  <w:endnote w:type="continuationSeparator" w:id="0">
    <w:p w14:paraId="34C5F9D8" w14:textId="77777777" w:rsidR="009E374E" w:rsidRDefault="009E374E" w:rsidP="00C40620">
      <w:pPr>
        <w:spacing w:after="0" w:line="240" w:lineRule="auto"/>
      </w:pPr>
      <w:r>
        <w:continuationSeparator/>
      </w:r>
    </w:p>
  </w:endnote>
  <w:endnote w:type="continuationNotice" w:id="1">
    <w:p w14:paraId="0C868AA1" w14:textId="77777777" w:rsidR="009E374E" w:rsidRDefault="009E3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AE55" w14:textId="77777777" w:rsidR="00C40620" w:rsidRDefault="00C40620">
    <w:pPr>
      <w:pStyle w:val="Footer"/>
      <w:jc w:val="right"/>
    </w:pPr>
    <w:r>
      <w:fldChar w:fldCharType="begin"/>
    </w:r>
    <w:r>
      <w:instrText xml:space="preserve"> PAGE   \* MERGEFORMAT </w:instrText>
    </w:r>
    <w:r>
      <w:fldChar w:fldCharType="separate"/>
    </w:r>
    <w:r w:rsidR="008328B5">
      <w:rPr>
        <w:noProof/>
      </w:rPr>
      <w:t>8</w:t>
    </w:r>
    <w:r>
      <w:rPr>
        <w:noProof/>
      </w:rPr>
      <w:fldChar w:fldCharType="end"/>
    </w:r>
  </w:p>
  <w:p w14:paraId="08F1CBD3" w14:textId="77777777" w:rsidR="00C40620" w:rsidRDefault="00C4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CF30" w14:textId="77777777" w:rsidR="009E374E" w:rsidRDefault="009E374E" w:rsidP="00C40620">
      <w:pPr>
        <w:spacing w:after="0" w:line="240" w:lineRule="auto"/>
      </w:pPr>
      <w:r>
        <w:separator/>
      </w:r>
    </w:p>
  </w:footnote>
  <w:footnote w:type="continuationSeparator" w:id="0">
    <w:p w14:paraId="7C33815C" w14:textId="77777777" w:rsidR="009E374E" w:rsidRDefault="009E374E" w:rsidP="00C40620">
      <w:pPr>
        <w:spacing w:after="0" w:line="240" w:lineRule="auto"/>
      </w:pPr>
      <w:r>
        <w:continuationSeparator/>
      </w:r>
    </w:p>
  </w:footnote>
  <w:footnote w:type="continuationNotice" w:id="1">
    <w:p w14:paraId="34C837E0" w14:textId="77777777" w:rsidR="009E374E" w:rsidRDefault="009E374E">
      <w:pPr>
        <w:spacing w:after="0" w:line="240" w:lineRule="auto"/>
      </w:pPr>
    </w:p>
  </w:footnote>
  <w:footnote w:id="2">
    <w:p w14:paraId="1EEA38C3" w14:textId="77777777" w:rsidR="00C40620" w:rsidRPr="00D34A5A" w:rsidRDefault="00C40620" w:rsidP="00D34A5A">
      <w:pPr>
        <w:pStyle w:val="FootnoteText"/>
        <w:spacing w:after="0" w:line="240" w:lineRule="auto"/>
        <w:rPr>
          <w:i/>
          <w:sz w:val="20"/>
          <w:szCs w:val="20"/>
          <w:lang w:val="lv-LV"/>
        </w:rPr>
      </w:pPr>
      <w:r w:rsidRPr="00712C05">
        <w:rPr>
          <w:rStyle w:val="FootnoteReference"/>
          <w:sz w:val="20"/>
          <w:szCs w:val="20"/>
        </w:rPr>
        <w:footnoteRef/>
      </w:r>
      <w:r w:rsidRPr="00712C05">
        <w:rPr>
          <w:sz w:val="20"/>
          <w:szCs w:val="20"/>
        </w:rPr>
        <w:t xml:space="preserve"> </w:t>
      </w:r>
      <w:r w:rsidRPr="00712C05">
        <w:rPr>
          <w:sz w:val="20"/>
          <w:szCs w:val="20"/>
        </w:rPr>
        <w:tab/>
      </w:r>
      <w:r w:rsidRPr="00D34A5A">
        <w:rPr>
          <w:sz w:val="20"/>
          <w:szCs w:val="20"/>
          <w:lang w:val="lv-LV"/>
        </w:rPr>
        <w:t>ES pamatnostādnes valsts atbalsta noteikumu piemērošanai attiecībā uz platjoslas tīklu ātru izvēršanu (OV C 25, 26.1.2013., 1. lpp.).</w:t>
      </w:r>
    </w:p>
  </w:footnote>
  <w:footnote w:id="3">
    <w:p w14:paraId="2BBA0891" w14:textId="3EDFCB8C" w:rsidR="00E261DC" w:rsidRPr="006D0771" w:rsidRDefault="00E261DC">
      <w:pPr>
        <w:pStyle w:val="FootnoteText"/>
        <w:rPr>
          <w:sz w:val="20"/>
          <w:szCs w:val="20"/>
          <w:lang w:val="lv-LV"/>
        </w:rPr>
      </w:pPr>
      <w:r w:rsidRPr="006D0771">
        <w:rPr>
          <w:rStyle w:val="FootnoteReference"/>
          <w:sz w:val="20"/>
          <w:szCs w:val="20"/>
        </w:rPr>
        <w:footnoteRef/>
      </w:r>
      <w:r w:rsidRPr="006D0771">
        <w:rPr>
          <w:sz w:val="20"/>
          <w:szCs w:val="20"/>
        </w:rPr>
        <w:t xml:space="preserve"> Skat. 2.9. </w:t>
      </w:r>
      <w:proofErr w:type="spellStart"/>
      <w:r w:rsidRPr="006D0771">
        <w:rPr>
          <w:sz w:val="20"/>
          <w:szCs w:val="20"/>
        </w:rPr>
        <w:t>punktu</w:t>
      </w:r>
      <w:proofErr w:type="spellEnd"/>
      <w:r w:rsidRPr="006D0771">
        <w:rPr>
          <w:sz w:val="20"/>
          <w:szCs w:val="20"/>
        </w:rPr>
        <w:t xml:space="preserve"> </w:t>
      </w:r>
      <w:r w:rsidR="006D0771" w:rsidRPr="006D0771">
        <w:rPr>
          <w:sz w:val="20"/>
          <w:szCs w:val="20"/>
        </w:rPr>
        <w:t xml:space="preserve">par </w:t>
      </w:r>
      <w:proofErr w:type="spellStart"/>
      <w:r w:rsidR="006D0771" w:rsidRPr="006D0771">
        <w:rPr>
          <w:sz w:val="20"/>
          <w:szCs w:val="20"/>
        </w:rPr>
        <w:t>tehnoloģiskās</w:t>
      </w:r>
      <w:proofErr w:type="spellEnd"/>
      <w:r w:rsidR="006D0771" w:rsidRPr="006D0771">
        <w:rPr>
          <w:sz w:val="20"/>
          <w:szCs w:val="20"/>
        </w:rPr>
        <w:t xml:space="preserve"> </w:t>
      </w:r>
      <w:proofErr w:type="spellStart"/>
      <w:r w:rsidR="006D0771" w:rsidRPr="006D0771">
        <w:rPr>
          <w:sz w:val="20"/>
          <w:szCs w:val="20"/>
        </w:rPr>
        <w:t>neitralitātes</w:t>
      </w:r>
      <w:proofErr w:type="spellEnd"/>
      <w:r w:rsidR="006D0771" w:rsidRPr="006D0771">
        <w:rPr>
          <w:sz w:val="20"/>
          <w:szCs w:val="20"/>
        </w:rPr>
        <w:t xml:space="preserve"> </w:t>
      </w:r>
      <w:proofErr w:type="spellStart"/>
      <w:r w:rsidR="006D0771" w:rsidRPr="006D0771">
        <w:rPr>
          <w:sz w:val="20"/>
          <w:szCs w:val="20"/>
        </w:rPr>
        <w:t>nodrošināšanu</w:t>
      </w:r>
      <w:proofErr w:type="spellEnd"/>
    </w:p>
  </w:footnote>
  <w:footnote w:id="4">
    <w:p w14:paraId="0336A56D" w14:textId="77777777" w:rsidR="00C40620" w:rsidRPr="00D34A5A" w:rsidRDefault="00C40620" w:rsidP="00D34A5A">
      <w:pPr>
        <w:pStyle w:val="FootnoteText"/>
        <w:spacing w:after="0" w:line="240" w:lineRule="auto"/>
        <w:rPr>
          <w:sz w:val="20"/>
          <w:szCs w:val="20"/>
          <w:lang w:val="lv-LV"/>
        </w:rPr>
      </w:pPr>
      <w:r w:rsidRPr="00D34A5A">
        <w:rPr>
          <w:rStyle w:val="FootnoteReference"/>
          <w:sz w:val="20"/>
          <w:szCs w:val="20"/>
          <w:lang w:val="lv-LV"/>
        </w:rPr>
        <w:footnoteRef/>
      </w:r>
      <w:r w:rsidRPr="00D34A5A">
        <w:rPr>
          <w:sz w:val="20"/>
          <w:szCs w:val="20"/>
          <w:lang w:val="lv-LV"/>
        </w:rPr>
        <w:tab/>
        <w:t>“Eiropa 2020 – Stratēģija gudrai, ilgtspējīgai un integrējošai izaugsmei”, COM(2010) 2020.</w:t>
      </w:r>
    </w:p>
  </w:footnote>
  <w:footnote w:id="5">
    <w:p w14:paraId="6274FE91" w14:textId="77777777" w:rsidR="00D34A5A" w:rsidRPr="00D34A5A" w:rsidRDefault="00D34A5A" w:rsidP="00D34A5A">
      <w:pPr>
        <w:pStyle w:val="FootnoteText"/>
        <w:spacing w:after="0"/>
        <w:jc w:val="both"/>
        <w:rPr>
          <w:sz w:val="20"/>
          <w:szCs w:val="20"/>
          <w:lang w:val="lv-LV"/>
        </w:rPr>
      </w:pPr>
      <w:r w:rsidRPr="00D34A5A">
        <w:rPr>
          <w:rStyle w:val="FootnoteReference"/>
          <w:sz w:val="20"/>
          <w:szCs w:val="20"/>
          <w:lang w:val="lv-LV"/>
        </w:rPr>
        <w:footnoteRef/>
      </w:r>
      <w:r w:rsidRPr="00D34A5A">
        <w:rPr>
          <w:sz w:val="20"/>
          <w:szCs w:val="20"/>
          <w:lang w:val="lv-LV"/>
        </w:rPr>
        <w:t xml:space="preserve"> Komisijas 2016. gada 14. septembra paziņojums Eiropas Parlamentam, Padomei, Eiropas Ekonomikas un sociālo lietu komitejai un Reģionu komitejai “Konkurētspējīga digitālā vienotā tirgus savienojamība. Virzība uz Eiropas Gigabitu sabiedrību” (COM(2016) 587 </w:t>
      </w:r>
      <w:proofErr w:type="spellStart"/>
      <w:r w:rsidRPr="00D34A5A">
        <w:rPr>
          <w:sz w:val="20"/>
          <w:szCs w:val="20"/>
          <w:lang w:val="lv-LV"/>
        </w:rPr>
        <w:t>final</w:t>
      </w:r>
      <w:proofErr w:type="spellEnd"/>
      <w:r w:rsidRPr="00D34A5A">
        <w:rPr>
          <w:sz w:val="20"/>
          <w:szCs w:val="20"/>
          <w:lang w:val="lv-LV"/>
        </w:rPr>
        <w:t>).</w:t>
      </w:r>
    </w:p>
  </w:footnote>
  <w:footnote w:id="6">
    <w:p w14:paraId="3D56F4D1" w14:textId="77777777" w:rsidR="00512CCB" w:rsidRPr="00512CCB" w:rsidRDefault="00512CCB" w:rsidP="00512CCB">
      <w:pPr>
        <w:pStyle w:val="FootnoteText"/>
        <w:rPr>
          <w:sz w:val="20"/>
          <w:szCs w:val="20"/>
          <w:lang w:val="lv-LV"/>
        </w:rPr>
      </w:pPr>
      <w:r w:rsidRPr="00512CCB">
        <w:rPr>
          <w:rStyle w:val="FootnoteReference"/>
          <w:sz w:val="20"/>
          <w:szCs w:val="20"/>
          <w:lang w:val="lv-LV"/>
        </w:rPr>
        <w:footnoteRef/>
      </w:r>
      <w:r w:rsidRPr="00512CCB">
        <w:rPr>
          <w:sz w:val="20"/>
          <w:szCs w:val="20"/>
          <w:lang w:val="lv-LV"/>
        </w:rPr>
        <w:t xml:space="preserve"> Komisijas 2020. gada 19. februāra paziņojums Eiropas Parlamentam, Padomei, Eiropas Ekonomikas un sociālo lietu komitejai un Reģionu komitejai “Eiropas digitālās nākotnes veidošana” (COM(2020) 67 </w:t>
      </w:r>
      <w:proofErr w:type="spellStart"/>
      <w:r w:rsidRPr="00512CCB">
        <w:rPr>
          <w:sz w:val="20"/>
          <w:szCs w:val="20"/>
          <w:lang w:val="lv-LV"/>
        </w:rPr>
        <w:t>final</w:t>
      </w:r>
      <w:proofErr w:type="spellEnd"/>
      <w:r w:rsidRPr="00512CCB">
        <w:rPr>
          <w:sz w:val="20"/>
          <w:szCs w:val="20"/>
          <w:lang w:val="lv-LV"/>
        </w:rPr>
        <w:t>).</w:t>
      </w:r>
    </w:p>
  </w:footnote>
  <w:footnote w:id="7">
    <w:p w14:paraId="4BFAD53C" w14:textId="77777777" w:rsidR="00512CCB" w:rsidRPr="00512CCB" w:rsidRDefault="00512CCB" w:rsidP="00512CCB">
      <w:pPr>
        <w:pStyle w:val="FootnoteText"/>
        <w:jc w:val="both"/>
        <w:rPr>
          <w:sz w:val="20"/>
          <w:szCs w:val="20"/>
          <w:lang w:val="lv-LV"/>
        </w:rPr>
      </w:pPr>
      <w:r w:rsidRPr="00512CCB">
        <w:rPr>
          <w:rStyle w:val="FootnoteReference"/>
          <w:sz w:val="20"/>
          <w:szCs w:val="20"/>
          <w:lang w:val="lv-LV"/>
        </w:rPr>
        <w:footnoteRef/>
      </w:r>
      <w:r w:rsidRPr="00512CCB">
        <w:rPr>
          <w:sz w:val="20"/>
          <w:szCs w:val="20"/>
          <w:lang w:val="lv-LV"/>
        </w:rPr>
        <w:t xml:space="preserve"> Komisijas 2021. gada 9. marta paziņojums Eiropas Parlamentam, Padomei, Eiropas Ekonomikas un sociālo lietu komitejai un Reģionu komitejai “Digitālais kompass līdz 2030. gadam – Eiropas ceļam digitālajā gadu desmitā” (COM(2021) 118 </w:t>
      </w:r>
      <w:proofErr w:type="spellStart"/>
      <w:r w:rsidRPr="00512CCB">
        <w:rPr>
          <w:sz w:val="20"/>
          <w:szCs w:val="20"/>
          <w:lang w:val="lv-LV"/>
        </w:rPr>
        <w:t>final</w:t>
      </w:r>
      <w:proofErr w:type="spellEnd"/>
      <w:r w:rsidRPr="00512CCB">
        <w:rPr>
          <w:sz w:val="20"/>
          <w:szCs w:val="20"/>
          <w:lang w:val="lv-LV"/>
        </w:rPr>
        <w:t>).</w:t>
      </w:r>
    </w:p>
  </w:footnote>
  <w:footnote w:id="8">
    <w:p w14:paraId="70D33A6E" w14:textId="77777777" w:rsidR="00512CCB" w:rsidRPr="00512CCB" w:rsidRDefault="00512CCB" w:rsidP="00512CCB">
      <w:pPr>
        <w:pStyle w:val="FootnoteText"/>
        <w:jc w:val="both"/>
        <w:rPr>
          <w:sz w:val="20"/>
          <w:szCs w:val="20"/>
          <w:lang w:val="lv-LV"/>
        </w:rPr>
      </w:pPr>
      <w:r w:rsidRPr="00512CCB">
        <w:rPr>
          <w:rStyle w:val="FootnoteReference"/>
          <w:sz w:val="20"/>
          <w:szCs w:val="20"/>
        </w:rPr>
        <w:footnoteRef/>
      </w:r>
      <w:r w:rsidRPr="00512CCB">
        <w:rPr>
          <w:sz w:val="20"/>
          <w:szCs w:val="20"/>
        </w:rPr>
        <w:t xml:space="preserve"> </w:t>
      </w:r>
      <w:proofErr w:type="spellStart"/>
      <w:r w:rsidRPr="00512CCB">
        <w:rPr>
          <w:sz w:val="20"/>
          <w:szCs w:val="20"/>
        </w:rPr>
        <w:t>Priekšlikums</w:t>
      </w:r>
      <w:proofErr w:type="spellEnd"/>
      <w:r w:rsidRPr="00512CCB">
        <w:rPr>
          <w:sz w:val="20"/>
          <w:szCs w:val="20"/>
        </w:rPr>
        <w:t xml:space="preserve">. </w:t>
      </w:r>
      <w:proofErr w:type="spellStart"/>
      <w:r w:rsidRPr="00512CCB">
        <w:rPr>
          <w:sz w:val="20"/>
          <w:szCs w:val="20"/>
        </w:rPr>
        <w:t>Eiropas</w:t>
      </w:r>
      <w:proofErr w:type="spellEnd"/>
      <w:r w:rsidRPr="00512CCB">
        <w:rPr>
          <w:sz w:val="20"/>
          <w:szCs w:val="20"/>
        </w:rPr>
        <w:t xml:space="preserve"> </w:t>
      </w:r>
      <w:proofErr w:type="spellStart"/>
      <w:r w:rsidRPr="00512CCB">
        <w:rPr>
          <w:sz w:val="20"/>
          <w:szCs w:val="20"/>
        </w:rPr>
        <w:t>Parlamenta</w:t>
      </w:r>
      <w:proofErr w:type="spellEnd"/>
      <w:r w:rsidRPr="00512CCB">
        <w:rPr>
          <w:sz w:val="20"/>
          <w:szCs w:val="20"/>
        </w:rPr>
        <w:t xml:space="preserve"> un </w:t>
      </w:r>
      <w:proofErr w:type="spellStart"/>
      <w:r w:rsidRPr="00512CCB">
        <w:rPr>
          <w:sz w:val="20"/>
          <w:szCs w:val="20"/>
        </w:rPr>
        <w:t>Padomes</w:t>
      </w:r>
      <w:proofErr w:type="spellEnd"/>
      <w:r w:rsidRPr="00512CCB">
        <w:rPr>
          <w:sz w:val="20"/>
          <w:szCs w:val="20"/>
        </w:rPr>
        <w:t xml:space="preserve"> </w:t>
      </w:r>
      <w:proofErr w:type="spellStart"/>
      <w:r w:rsidRPr="00512CCB">
        <w:rPr>
          <w:sz w:val="20"/>
          <w:szCs w:val="20"/>
        </w:rPr>
        <w:t>Lēmums</w:t>
      </w:r>
      <w:proofErr w:type="spellEnd"/>
      <w:r w:rsidRPr="00512CCB">
        <w:rPr>
          <w:sz w:val="20"/>
          <w:szCs w:val="20"/>
        </w:rPr>
        <w:t xml:space="preserve">, </w:t>
      </w:r>
      <w:proofErr w:type="spellStart"/>
      <w:r w:rsidRPr="00512CCB">
        <w:rPr>
          <w:sz w:val="20"/>
          <w:szCs w:val="20"/>
        </w:rPr>
        <w:t>ar</w:t>
      </w:r>
      <w:proofErr w:type="spellEnd"/>
      <w:r w:rsidRPr="00512CCB">
        <w:rPr>
          <w:sz w:val="20"/>
          <w:szCs w:val="20"/>
        </w:rPr>
        <w:t xml:space="preserve"> ko </w:t>
      </w:r>
      <w:proofErr w:type="spellStart"/>
      <w:r w:rsidRPr="00512CCB">
        <w:rPr>
          <w:sz w:val="20"/>
          <w:szCs w:val="20"/>
        </w:rPr>
        <w:t>izveido</w:t>
      </w:r>
      <w:proofErr w:type="spellEnd"/>
      <w:r w:rsidRPr="00512CCB">
        <w:rPr>
          <w:sz w:val="20"/>
          <w:szCs w:val="20"/>
        </w:rPr>
        <w:t xml:space="preserve"> </w:t>
      </w:r>
      <w:proofErr w:type="spellStart"/>
      <w:r w:rsidRPr="00512CCB">
        <w:rPr>
          <w:sz w:val="20"/>
          <w:szCs w:val="20"/>
        </w:rPr>
        <w:t>politikas</w:t>
      </w:r>
      <w:proofErr w:type="spellEnd"/>
      <w:r w:rsidRPr="00512CCB">
        <w:rPr>
          <w:sz w:val="20"/>
          <w:szCs w:val="20"/>
        </w:rPr>
        <w:t xml:space="preserve"> </w:t>
      </w:r>
      <w:proofErr w:type="spellStart"/>
      <w:r w:rsidRPr="00512CCB">
        <w:rPr>
          <w:sz w:val="20"/>
          <w:szCs w:val="20"/>
        </w:rPr>
        <w:t>programmu</w:t>
      </w:r>
      <w:proofErr w:type="spellEnd"/>
      <w:r w:rsidRPr="00512CCB">
        <w:rPr>
          <w:sz w:val="20"/>
          <w:szCs w:val="20"/>
        </w:rPr>
        <w:t xml:space="preserve"> “</w:t>
      </w:r>
      <w:proofErr w:type="spellStart"/>
      <w:r w:rsidRPr="00512CCB">
        <w:rPr>
          <w:sz w:val="20"/>
          <w:szCs w:val="20"/>
        </w:rPr>
        <w:t>Digitālās</w:t>
      </w:r>
      <w:proofErr w:type="spellEnd"/>
      <w:r w:rsidRPr="00512CCB">
        <w:rPr>
          <w:sz w:val="20"/>
          <w:szCs w:val="20"/>
        </w:rPr>
        <w:t xml:space="preserve"> </w:t>
      </w:r>
      <w:proofErr w:type="spellStart"/>
      <w:r w:rsidRPr="00512CCB">
        <w:rPr>
          <w:sz w:val="20"/>
          <w:szCs w:val="20"/>
        </w:rPr>
        <w:t>desmitgades</w:t>
      </w:r>
      <w:proofErr w:type="spellEnd"/>
      <w:r w:rsidRPr="00512CCB">
        <w:rPr>
          <w:sz w:val="20"/>
          <w:szCs w:val="20"/>
        </w:rPr>
        <w:t xml:space="preserve"> </w:t>
      </w:r>
      <w:proofErr w:type="spellStart"/>
      <w:r w:rsidRPr="00512CCB">
        <w:rPr>
          <w:sz w:val="20"/>
          <w:szCs w:val="20"/>
        </w:rPr>
        <w:t>ceļš</w:t>
      </w:r>
      <w:proofErr w:type="spellEnd"/>
      <w:r w:rsidRPr="00512CCB">
        <w:rPr>
          <w:sz w:val="20"/>
          <w:szCs w:val="20"/>
        </w:rPr>
        <w:t xml:space="preserve">” 2030. </w:t>
      </w:r>
      <w:proofErr w:type="spellStart"/>
      <w:r w:rsidRPr="00512CCB">
        <w:rPr>
          <w:sz w:val="20"/>
          <w:szCs w:val="20"/>
        </w:rPr>
        <w:t>gadam</w:t>
      </w:r>
      <w:proofErr w:type="spellEnd"/>
      <w:r w:rsidRPr="00512CCB">
        <w:rPr>
          <w:sz w:val="20"/>
          <w:szCs w:val="20"/>
        </w:rPr>
        <w:t xml:space="preserve"> (COM(2021) 574 final, 2021/0293 (COD)).</w:t>
      </w:r>
    </w:p>
  </w:footnote>
  <w:footnote w:id="9">
    <w:p w14:paraId="727593C8" w14:textId="77777777" w:rsidR="002D0E42" w:rsidRPr="00123A2A" w:rsidRDefault="002D0E42" w:rsidP="00D91312">
      <w:pPr>
        <w:pStyle w:val="NormalWeb"/>
        <w:spacing w:before="0" w:beforeAutospacing="0" w:after="0" w:afterAutospacing="0"/>
        <w:jc w:val="both"/>
        <w:textAlignment w:val="baseline"/>
        <w:rPr>
          <w:sz w:val="16"/>
          <w:szCs w:val="16"/>
        </w:rPr>
      </w:pPr>
      <w:r w:rsidRPr="00F13325">
        <w:rPr>
          <w:rStyle w:val="FootnoteReference"/>
          <w:sz w:val="20"/>
          <w:szCs w:val="20"/>
        </w:rPr>
        <w:footnoteRef/>
      </w:r>
      <w:r w:rsidRPr="00A04A8D">
        <w:rPr>
          <w:sz w:val="20"/>
          <w:szCs w:val="20"/>
        </w:rPr>
        <w:t xml:space="preserve"> </w:t>
      </w:r>
      <w:proofErr w:type="spellStart"/>
      <w:r w:rsidRPr="00A04A8D">
        <w:rPr>
          <w:color w:val="000000"/>
          <w:sz w:val="20"/>
          <w:szCs w:val="20"/>
        </w:rPr>
        <w:t>Eiropas</w:t>
      </w:r>
      <w:proofErr w:type="spellEnd"/>
      <w:r w:rsidRPr="00A04A8D">
        <w:rPr>
          <w:color w:val="000000"/>
          <w:sz w:val="20"/>
          <w:szCs w:val="20"/>
        </w:rPr>
        <w:t xml:space="preserve"> </w:t>
      </w:r>
      <w:proofErr w:type="spellStart"/>
      <w:r w:rsidRPr="00A04A8D">
        <w:rPr>
          <w:color w:val="000000"/>
          <w:sz w:val="20"/>
          <w:szCs w:val="20"/>
        </w:rPr>
        <w:t>Parlamenta</w:t>
      </w:r>
      <w:proofErr w:type="spellEnd"/>
      <w:r w:rsidRPr="00A04A8D">
        <w:rPr>
          <w:color w:val="000000"/>
          <w:sz w:val="20"/>
          <w:szCs w:val="20"/>
        </w:rPr>
        <w:t xml:space="preserve"> un </w:t>
      </w:r>
      <w:proofErr w:type="spellStart"/>
      <w:r w:rsidRPr="00A04A8D">
        <w:rPr>
          <w:color w:val="000000"/>
          <w:sz w:val="20"/>
          <w:szCs w:val="20"/>
        </w:rPr>
        <w:t>Padomes</w:t>
      </w:r>
      <w:proofErr w:type="spellEnd"/>
      <w:r>
        <w:rPr>
          <w:color w:val="000000"/>
          <w:sz w:val="20"/>
          <w:szCs w:val="20"/>
        </w:rPr>
        <w:t xml:space="preserve"> </w:t>
      </w:r>
      <w:r w:rsidRPr="00A04A8D">
        <w:rPr>
          <w:color w:val="000000"/>
          <w:sz w:val="20"/>
          <w:szCs w:val="20"/>
        </w:rPr>
        <w:t xml:space="preserve"> </w:t>
      </w:r>
      <w:r>
        <w:rPr>
          <w:color w:val="000000"/>
          <w:sz w:val="20"/>
          <w:szCs w:val="20"/>
        </w:rPr>
        <w:t>2021. </w:t>
      </w:r>
      <w:proofErr w:type="spellStart"/>
      <w:r>
        <w:rPr>
          <w:color w:val="000000"/>
          <w:sz w:val="20"/>
          <w:szCs w:val="20"/>
        </w:rPr>
        <w:t>gada</w:t>
      </w:r>
      <w:proofErr w:type="spellEnd"/>
      <w:r>
        <w:rPr>
          <w:color w:val="000000"/>
          <w:sz w:val="20"/>
          <w:szCs w:val="20"/>
        </w:rPr>
        <w:t xml:space="preserve"> 24. </w:t>
      </w:r>
      <w:proofErr w:type="spellStart"/>
      <w:r>
        <w:rPr>
          <w:color w:val="000000"/>
          <w:sz w:val="20"/>
          <w:szCs w:val="20"/>
        </w:rPr>
        <w:t>jūnija</w:t>
      </w:r>
      <w:proofErr w:type="spellEnd"/>
      <w:r w:rsidRPr="00A04A8D">
        <w:rPr>
          <w:color w:val="000000"/>
          <w:sz w:val="20"/>
          <w:szCs w:val="20"/>
        </w:rPr>
        <w:t xml:space="preserve"> </w:t>
      </w:r>
      <w:proofErr w:type="spellStart"/>
      <w:r w:rsidRPr="00A04A8D">
        <w:rPr>
          <w:color w:val="000000"/>
          <w:sz w:val="20"/>
          <w:szCs w:val="20"/>
        </w:rPr>
        <w:t>regula</w:t>
      </w:r>
      <w:proofErr w:type="spellEnd"/>
      <w:r w:rsidRPr="00A04A8D">
        <w:rPr>
          <w:color w:val="000000"/>
          <w:sz w:val="20"/>
          <w:szCs w:val="20"/>
        </w:rPr>
        <w:t xml:space="preserve"> (ES) Nr. 2021/1060 </w:t>
      </w:r>
      <w:proofErr w:type="spellStart"/>
      <w:r w:rsidRPr="00F13325">
        <w:rPr>
          <w:sz w:val="20"/>
          <w:szCs w:val="20"/>
        </w:rPr>
        <w:t>ar</w:t>
      </w:r>
      <w:proofErr w:type="spellEnd"/>
      <w:r w:rsidRPr="00F13325">
        <w:rPr>
          <w:sz w:val="20"/>
          <w:szCs w:val="20"/>
        </w:rPr>
        <w:t xml:space="preserve"> ko </w:t>
      </w:r>
      <w:proofErr w:type="spellStart"/>
      <w:r w:rsidRPr="00F13325">
        <w:rPr>
          <w:sz w:val="20"/>
          <w:szCs w:val="20"/>
        </w:rPr>
        <w:t>paredz</w:t>
      </w:r>
      <w:proofErr w:type="spellEnd"/>
      <w:r w:rsidRPr="00F13325">
        <w:rPr>
          <w:sz w:val="20"/>
          <w:szCs w:val="20"/>
        </w:rPr>
        <w:t xml:space="preserve"> </w:t>
      </w:r>
      <w:proofErr w:type="spellStart"/>
      <w:r w:rsidRPr="00F13325">
        <w:rPr>
          <w:sz w:val="20"/>
          <w:szCs w:val="20"/>
        </w:rPr>
        <w:t>kopīgus</w:t>
      </w:r>
      <w:proofErr w:type="spellEnd"/>
      <w:r w:rsidRPr="00F13325">
        <w:rPr>
          <w:sz w:val="20"/>
          <w:szCs w:val="20"/>
        </w:rPr>
        <w:t xml:space="preserve"> </w:t>
      </w:r>
      <w:proofErr w:type="spellStart"/>
      <w:r w:rsidRPr="00F13325">
        <w:rPr>
          <w:sz w:val="20"/>
          <w:szCs w:val="20"/>
        </w:rPr>
        <w:t>noteikumus</w:t>
      </w:r>
      <w:proofErr w:type="spellEnd"/>
      <w:r w:rsidRPr="00F13325">
        <w:rPr>
          <w:sz w:val="20"/>
          <w:szCs w:val="20"/>
        </w:rPr>
        <w:t xml:space="preserve"> par </w:t>
      </w:r>
      <w:proofErr w:type="spellStart"/>
      <w:r w:rsidRPr="00F13325">
        <w:rPr>
          <w:sz w:val="20"/>
          <w:szCs w:val="20"/>
        </w:rPr>
        <w:t>Eiropas</w:t>
      </w:r>
      <w:proofErr w:type="spellEnd"/>
      <w:r w:rsidRPr="00F13325">
        <w:rPr>
          <w:sz w:val="20"/>
          <w:szCs w:val="20"/>
        </w:rPr>
        <w:t xml:space="preserve"> </w:t>
      </w:r>
      <w:proofErr w:type="spellStart"/>
      <w:r w:rsidRPr="00F13325">
        <w:rPr>
          <w:sz w:val="20"/>
          <w:szCs w:val="20"/>
        </w:rPr>
        <w:t>Reģionālās</w:t>
      </w:r>
      <w:proofErr w:type="spellEnd"/>
      <w:r w:rsidRPr="00F13325">
        <w:rPr>
          <w:sz w:val="20"/>
          <w:szCs w:val="20"/>
        </w:rPr>
        <w:t xml:space="preserve"> </w:t>
      </w:r>
      <w:proofErr w:type="spellStart"/>
      <w:r w:rsidRPr="00F13325">
        <w:rPr>
          <w:sz w:val="20"/>
          <w:szCs w:val="20"/>
        </w:rPr>
        <w:t>attīstības</w:t>
      </w:r>
      <w:proofErr w:type="spellEnd"/>
      <w:r w:rsidRPr="00F13325">
        <w:rPr>
          <w:sz w:val="20"/>
          <w:szCs w:val="20"/>
        </w:rPr>
        <w:t xml:space="preserve"> fondu, </w:t>
      </w:r>
      <w:proofErr w:type="spellStart"/>
      <w:r w:rsidRPr="00F13325">
        <w:rPr>
          <w:sz w:val="20"/>
          <w:szCs w:val="20"/>
        </w:rPr>
        <w:t>Eiropas</w:t>
      </w:r>
      <w:proofErr w:type="spellEnd"/>
      <w:r w:rsidRPr="00F13325">
        <w:rPr>
          <w:sz w:val="20"/>
          <w:szCs w:val="20"/>
        </w:rPr>
        <w:t xml:space="preserve"> </w:t>
      </w:r>
      <w:proofErr w:type="spellStart"/>
      <w:r w:rsidRPr="00F13325">
        <w:rPr>
          <w:sz w:val="20"/>
          <w:szCs w:val="20"/>
        </w:rPr>
        <w:t>Sociālo</w:t>
      </w:r>
      <w:proofErr w:type="spellEnd"/>
      <w:r w:rsidRPr="00F13325">
        <w:rPr>
          <w:sz w:val="20"/>
          <w:szCs w:val="20"/>
        </w:rPr>
        <w:t xml:space="preserve"> fondu Plus, </w:t>
      </w:r>
      <w:proofErr w:type="spellStart"/>
      <w:r w:rsidRPr="00F13325">
        <w:rPr>
          <w:sz w:val="20"/>
          <w:szCs w:val="20"/>
        </w:rPr>
        <w:t>Kohēzijas</w:t>
      </w:r>
      <w:proofErr w:type="spellEnd"/>
      <w:r w:rsidRPr="00F13325">
        <w:rPr>
          <w:sz w:val="20"/>
          <w:szCs w:val="20"/>
        </w:rPr>
        <w:t xml:space="preserve"> fondu un </w:t>
      </w:r>
      <w:proofErr w:type="spellStart"/>
      <w:r w:rsidRPr="00F13325">
        <w:rPr>
          <w:sz w:val="20"/>
          <w:szCs w:val="20"/>
        </w:rPr>
        <w:t>Eiropas</w:t>
      </w:r>
      <w:proofErr w:type="spellEnd"/>
      <w:r w:rsidRPr="00F13325">
        <w:rPr>
          <w:sz w:val="20"/>
          <w:szCs w:val="20"/>
        </w:rPr>
        <w:t xml:space="preserve"> </w:t>
      </w:r>
      <w:proofErr w:type="spellStart"/>
      <w:r w:rsidRPr="00F13325">
        <w:rPr>
          <w:sz w:val="20"/>
          <w:szCs w:val="20"/>
        </w:rPr>
        <w:t>Jūrlietu</w:t>
      </w:r>
      <w:proofErr w:type="spellEnd"/>
      <w:r w:rsidRPr="00F13325">
        <w:rPr>
          <w:sz w:val="20"/>
          <w:szCs w:val="20"/>
        </w:rPr>
        <w:t xml:space="preserve"> un </w:t>
      </w:r>
      <w:proofErr w:type="spellStart"/>
      <w:r w:rsidRPr="00F13325">
        <w:rPr>
          <w:sz w:val="20"/>
          <w:szCs w:val="20"/>
        </w:rPr>
        <w:t>zivsaimniecības</w:t>
      </w:r>
      <w:proofErr w:type="spellEnd"/>
      <w:r w:rsidRPr="00F13325">
        <w:rPr>
          <w:sz w:val="20"/>
          <w:szCs w:val="20"/>
        </w:rPr>
        <w:t xml:space="preserve"> fondu un </w:t>
      </w:r>
      <w:proofErr w:type="spellStart"/>
      <w:r w:rsidRPr="00F13325">
        <w:rPr>
          <w:sz w:val="20"/>
          <w:szCs w:val="20"/>
        </w:rPr>
        <w:t>finanšu</w:t>
      </w:r>
      <w:proofErr w:type="spellEnd"/>
      <w:r w:rsidRPr="00F13325">
        <w:rPr>
          <w:sz w:val="20"/>
          <w:szCs w:val="20"/>
        </w:rPr>
        <w:t xml:space="preserve"> </w:t>
      </w:r>
      <w:proofErr w:type="spellStart"/>
      <w:r w:rsidRPr="00F13325">
        <w:rPr>
          <w:sz w:val="20"/>
          <w:szCs w:val="20"/>
        </w:rPr>
        <w:t>noteikumus</w:t>
      </w:r>
      <w:proofErr w:type="spellEnd"/>
      <w:r w:rsidRPr="00F13325">
        <w:rPr>
          <w:sz w:val="20"/>
          <w:szCs w:val="20"/>
        </w:rPr>
        <w:t xml:space="preserve"> </w:t>
      </w:r>
      <w:proofErr w:type="spellStart"/>
      <w:r w:rsidRPr="00F13325">
        <w:rPr>
          <w:sz w:val="20"/>
          <w:szCs w:val="20"/>
        </w:rPr>
        <w:t>attiecībā</w:t>
      </w:r>
      <w:proofErr w:type="spellEnd"/>
      <w:r w:rsidRPr="00F13325">
        <w:rPr>
          <w:sz w:val="20"/>
          <w:szCs w:val="20"/>
        </w:rPr>
        <w:t xml:space="preserve"> </w:t>
      </w:r>
      <w:proofErr w:type="spellStart"/>
      <w:r w:rsidRPr="00F13325">
        <w:rPr>
          <w:sz w:val="20"/>
          <w:szCs w:val="20"/>
        </w:rPr>
        <w:t>uz</w:t>
      </w:r>
      <w:proofErr w:type="spellEnd"/>
      <w:r w:rsidRPr="00F13325">
        <w:rPr>
          <w:sz w:val="20"/>
          <w:szCs w:val="20"/>
        </w:rPr>
        <w:t xml:space="preserve"> </w:t>
      </w:r>
      <w:proofErr w:type="spellStart"/>
      <w:r w:rsidRPr="00F13325">
        <w:rPr>
          <w:sz w:val="20"/>
          <w:szCs w:val="20"/>
        </w:rPr>
        <w:t>tiem</w:t>
      </w:r>
      <w:proofErr w:type="spellEnd"/>
      <w:r w:rsidRPr="00F13325">
        <w:rPr>
          <w:sz w:val="20"/>
          <w:szCs w:val="20"/>
        </w:rPr>
        <w:t xml:space="preserve"> un </w:t>
      </w:r>
      <w:proofErr w:type="spellStart"/>
      <w:r w:rsidRPr="00F13325">
        <w:rPr>
          <w:sz w:val="20"/>
          <w:szCs w:val="20"/>
        </w:rPr>
        <w:t>uz</w:t>
      </w:r>
      <w:proofErr w:type="spellEnd"/>
      <w:r w:rsidRPr="00F13325">
        <w:rPr>
          <w:sz w:val="20"/>
          <w:szCs w:val="20"/>
        </w:rPr>
        <w:t xml:space="preserve"> </w:t>
      </w:r>
      <w:proofErr w:type="spellStart"/>
      <w:r w:rsidRPr="00F13325">
        <w:rPr>
          <w:sz w:val="20"/>
          <w:szCs w:val="20"/>
        </w:rPr>
        <w:t>Patvēruma</w:t>
      </w:r>
      <w:proofErr w:type="spellEnd"/>
      <w:r w:rsidRPr="00F13325">
        <w:rPr>
          <w:sz w:val="20"/>
          <w:szCs w:val="20"/>
        </w:rPr>
        <w:t xml:space="preserve"> un </w:t>
      </w:r>
      <w:proofErr w:type="spellStart"/>
      <w:r w:rsidRPr="00F13325">
        <w:rPr>
          <w:sz w:val="20"/>
          <w:szCs w:val="20"/>
        </w:rPr>
        <w:t>migrācijas</w:t>
      </w:r>
      <w:proofErr w:type="spellEnd"/>
      <w:r w:rsidRPr="00F13325">
        <w:rPr>
          <w:sz w:val="20"/>
          <w:szCs w:val="20"/>
        </w:rPr>
        <w:t xml:space="preserve"> fondu, </w:t>
      </w:r>
      <w:proofErr w:type="spellStart"/>
      <w:r w:rsidRPr="00F13325">
        <w:rPr>
          <w:sz w:val="20"/>
          <w:szCs w:val="20"/>
        </w:rPr>
        <w:t>Iekšējās</w:t>
      </w:r>
      <w:proofErr w:type="spellEnd"/>
      <w:r w:rsidRPr="00F13325">
        <w:rPr>
          <w:sz w:val="20"/>
          <w:szCs w:val="20"/>
        </w:rPr>
        <w:t xml:space="preserve"> </w:t>
      </w:r>
      <w:proofErr w:type="spellStart"/>
      <w:r w:rsidRPr="00F13325">
        <w:rPr>
          <w:sz w:val="20"/>
          <w:szCs w:val="20"/>
        </w:rPr>
        <w:t>drošības</w:t>
      </w:r>
      <w:proofErr w:type="spellEnd"/>
      <w:r w:rsidRPr="00F13325">
        <w:rPr>
          <w:sz w:val="20"/>
          <w:szCs w:val="20"/>
        </w:rPr>
        <w:t xml:space="preserve"> fondu un </w:t>
      </w:r>
      <w:proofErr w:type="spellStart"/>
      <w:r w:rsidRPr="00F13325">
        <w:rPr>
          <w:sz w:val="20"/>
          <w:szCs w:val="20"/>
        </w:rPr>
        <w:t>Robežu</w:t>
      </w:r>
      <w:proofErr w:type="spellEnd"/>
      <w:r w:rsidRPr="00F13325">
        <w:rPr>
          <w:sz w:val="20"/>
          <w:szCs w:val="20"/>
        </w:rPr>
        <w:t xml:space="preserve"> </w:t>
      </w:r>
      <w:proofErr w:type="spellStart"/>
      <w:r w:rsidRPr="00F13325">
        <w:rPr>
          <w:sz w:val="20"/>
          <w:szCs w:val="20"/>
        </w:rPr>
        <w:t>pārvaldības</w:t>
      </w:r>
      <w:proofErr w:type="spellEnd"/>
      <w:r w:rsidRPr="00F13325">
        <w:rPr>
          <w:sz w:val="20"/>
          <w:szCs w:val="20"/>
        </w:rPr>
        <w:t xml:space="preserve"> un </w:t>
      </w:r>
      <w:proofErr w:type="spellStart"/>
      <w:r w:rsidRPr="00F13325">
        <w:rPr>
          <w:sz w:val="20"/>
          <w:szCs w:val="20"/>
        </w:rPr>
        <w:t>vīzu</w:t>
      </w:r>
      <w:proofErr w:type="spellEnd"/>
      <w:r w:rsidRPr="00F13325">
        <w:rPr>
          <w:sz w:val="20"/>
          <w:szCs w:val="20"/>
        </w:rPr>
        <w:t xml:space="preserve"> </w:t>
      </w:r>
      <w:proofErr w:type="spellStart"/>
      <w:r w:rsidRPr="00F13325">
        <w:rPr>
          <w:sz w:val="20"/>
          <w:szCs w:val="20"/>
        </w:rPr>
        <w:t>instrumentu</w:t>
      </w:r>
      <w:proofErr w:type="spellEnd"/>
      <w:r w:rsidRPr="00F13325">
        <w:rPr>
          <w:sz w:val="20"/>
          <w:szCs w:val="20"/>
        </w:rPr>
        <w:t xml:space="preserve"> </w:t>
      </w:r>
      <w:proofErr w:type="spellStart"/>
      <w:r w:rsidRPr="00F13325">
        <w:rPr>
          <w:sz w:val="20"/>
          <w:szCs w:val="20"/>
        </w:rPr>
        <w:t>priekšlikums</w:t>
      </w:r>
      <w:proofErr w:type="spellEnd"/>
      <w:r>
        <w:rPr>
          <w:sz w:val="20"/>
          <w:szCs w:val="20"/>
        </w:rPr>
        <w:t>.</w:t>
      </w:r>
    </w:p>
  </w:footnote>
  <w:footnote w:id="10">
    <w:p w14:paraId="0E17A7D5" w14:textId="13F0EF85" w:rsidR="006652D9" w:rsidRPr="006652D9" w:rsidRDefault="006652D9" w:rsidP="00995AE0">
      <w:pPr>
        <w:pStyle w:val="FootnoteText"/>
        <w:spacing w:after="0" w:line="240" w:lineRule="auto"/>
        <w:jc w:val="both"/>
        <w:rPr>
          <w:sz w:val="20"/>
          <w:szCs w:val="20"/>
          <w:lang w:val="lv-LV"/>
        </w:rPr>
      </w:pPr>
      <w:r w:rsidRPr="006652D9">
        <w:rPr>
          <w:rStyle w:val="FootnoteReference"/>
          <w:sz w:val="20"/>
          <w:szCs w:val="20"/>
        </w:rPr>
        <w:footnoteRef/>
      </w:r>
      <w:r w:rsidRPr="006652D9">
        <w:rPr>
          <w:sz w:val="20"/>
          <w:szCs w:val="20"/>
        </w:rPr>
        <w:t xml:space="preserve"> </w:t>
      </w:r>
      <w:proofErr w:type="spellStart"/>
      <w:r w:rsidRPr="006652D9">
        <w:rPr>
          <w:sz w:val="20"/>
          <w:szCs w:val="20"/>
        </w:rPr>
        <w:t>Saskaņā</w:t>
      </w:r>
      <w:proofErr w:type="spellEnd"/>
      <w:r w:rsidRPr="006652D9">
        <w:rPr>
          <w:sz w:val="20"/>
          <w:szCs w:val="20"/>
        </w:rPr>
        <w:t xml:space="preserve"> </w:t>
      </w:r>
      <w:proofErr w:type="spellStart"/>
      <w:r w:rsidRPr="006652D9">
        <w:rPr>
          <w:sz w:val="20"/>
          <w:szCs w:val="20"/>
        </w:rPr>
        <w:t>ar</w:t>
      </w:r>
      <w:proofErr w:type="spellEnd"/>
      <w:r w:rsidRPr="006652D9">
        <w:rPr>
          <w:sz w:val="20"/>
          <w:szCs w:val="20"/>
        </w:rPr>
        <w:t xml:space="preserve"> EK </w:t>
      </w:r>
      <w:proofErr w:type="spellStart"/>
      <w:r w:rsidRPr="006652D9">
        <w:rPr>
          <w:sz w:val="20"/>
          <w:szCs w:val="20"/>
        </w:rPr>
        <w:t>vadlīniju</w:t>
      </w:r>
      <w:proofErr w:type="spellEnd"/>
      <w:r w:rsidRPr="006652D9">
        <w:rPr>
          <w:sz w:val="20"/>
          <w:szCs w:val="20"/>
        </w:rPr>
        <w:t xml:space="preserve"> “</w:t>
      </w:r>
      <w:proofErr w:type="spellStart"/>
      <w:r w:rsidRPr="006652D9">
        <w:rPr>
          <w:sz w:val="20"/>
          <w:szCs w:val="20"/>
        </w:rPr>
        <w:t>Pamatnostādnes</w:t>
      </w:r>
      <w:proofErr w:type="spellEnd"/>
      <w:r w:rsidRPr="006652D9">
        <w:rPr>
          <w:sz w:val="20"/>
          <w:szCs w:val="20"/>
        </w:rPr>
        <w:t xml:space="preserve"> par </w:t>
      </w:r>
      <w:proofErr w:type="spellStart"/>
      <w:r w:rsidRPr="006652D9">
        <w:rPr>
          <w:sz w:val="20"/>
          <w:szCs w:val="20"/>
        </w:rPr>
        <w:t>valsts</w:t>
      </w:r>
      <w:proofErr w:type="spellEnd"/>
      <w:r w:rsidRPr="006652D9">
        <w:rPr>
          <w:sz w:val="20"/>
          <w:szCs w:val="20"/>
        </w:rPr>
        <w:t xml:space="preserve"> </w:t>
      </w:r>
      <w:proofErr w:type="spellStart"/>
      <w:r w:rsidRPr="006652D9">
        <w:rPr>
          <w:sz w:val="20"/>
          <w:szCs w:val="20"/>
        </w:rPr>
        <w:t>atbalstu</w:t>
      </w:r>
      <w:proofErr w:type="spellEnd"/>
      <w:r w:rsidRPr="006652D9">
        <w:rPr>
          <w:sz w:val="20"/>
          <w:szCs w:val="20"/>
        </w:rPr>
        <w:t xml:space="preserve"> </w:t>
      </w:r>
      <w:proofErr w:type="spellStart"/>
      <w:r w:rsidRPr="006652D9">
        <w:rPr>
          <w:sz w:val="20"/>
          <w:szCs w:val="20"/>
        </w:rPr>
        <w:t>platjoslas</w:t>
      </w:r>
      <w:proofErr w:type="spellEnd"/>
      <w:r w:rsidRPr="006652D9">
        <w:rPr>
          <w:sz w:val="20"/>
          <w:szCs w:val="20"/>
        </w:rPr>
        <w:t xml:space="preserve"> </w:t>
      </w:r>
      <w:proofErr w:type="spellStart"/>
      <w:r w:rsidRPr="006652D9">
        <w:rPr>
          <w:sz w:val="20"/>
          <w:szCs w:val="20"/>
        </w:rPr>
        <w:t>tīkliem</w:t>
      </w:r>
      <w:proofErr w:type="spellEnd"/>
      <w:r w:rsidRPr="006652D9">
        <w:rPr>
          <w:sz w:val="20"/>
          <w:szCs w:val="20"/>
        </w:rPr>
        <w:t xml:space="preserve">” </w:t>
      </w:r>
      <w:r w:rsidR="001C17BC">
        <w:rPr>
          <w:sz w:val="20"/>
          <w:szCs w:val="20"/>
        </w:rPr>
        <w:t>(</w:t>
      </w:r>
      <w:proofErr w:type="spellStart"/>
      <w:r w:rsidR="00611D45">
        <w:rPr>
          <w:sz w:val="20"/>
          <w:szCs w:val="20"/>
        </w:rPr>
        <w:t>p</w:t>
      </w:r>
      <w:r w:rsidR="001C17BC" w:rsidRPr="001C17BC">
        <w:rPr>
          <w:sz w:val="20"/>
          <w:szCs w:val="20"/>
        </w:rPr>
        <w:t>ieejamas</w:t>
      </w:r>
      <w:proofErr w:type="spellEnd"/>
      <w:r w:rsidR="001C17BC" w:rsidRPr="001C17BC">
        <w:rPr>
          <w:sz w:val="20"/>
          <w:szCs w:val="20"/>
        </w:rPr>
        <w:t xml:space="preserve"> </w:t>
      </w:r>
      <w:proofErr w:type="spellStart"/>
      <w:r w:rsidR="001C17BC" w:rsidRPr="001C17BC">
        <w:rPr>
          <w:sz w:val="20"/>
          <w:szCs w:val="20"/>
        </w:rPr>
        <w:t>šeit</w:t>
      </w:r>
      <w:proofErr w:type="spellEnd"/>
      <w:r w:rsidR="001C17BC" w:rsidRPr="001C17BC">
        <w:rPr>
          <w:sz w:val="20"/>
          <w:szCs w:val="20"/>
        </w:rPr>
        <w:t xml:space="preserve">: </w:t>
      </w:r>
      <w:hyperlink r:id="rId1" w:history="1">
        <w:r w:rsidR="001C17BC" w:rsidRPr="00496D78">
          <w:rPr>
            <w:rStyle w:val="Hyperlink"/>
            <w:sz w:val="20"/>
            <w:szCs w:val="20"/>
          </w:rPr>
          <w:t>https://ec.europa.eu/competition-policy/public-consultations/2021-broadband_en</w:t>
        </w:r>
      </w:hyperlink>
      <w:r w:rsidR="001C17BC">
        <w:rPr>
          <w:sz w:val="20"/>
          <w:szCs w:val="20"/>
        </w:rPr>
        <w:t xml:space="preserve">) </w:t>
      </w:r>
      <w:r w:rsidRPr="006652D9">
        <w:rPr>
          <w:sz w:val="20"/>
          <w:szCs w:val="20"/>
        </w:rPr>
        <w:t xml:space="preserve">19. </w:t>
      </w:r>
      <w:proofErr w:type="spellStart"/>
      <w:r w:rsidRPr="006652D9">
        <w:rPr>
          <w:sz w:val="20"/>
          <w:szCs w:val="20"/>
        </w:rPr>
        <w:t>punkta</w:t>
      </w:r>
      <w:proofErr w:type="spellEnd"/>
      <w:r w:rsidRPr="006652D9">
        <w:rPr>
          <w:sz w:val="20"/>
          <w:szCs w:val="20"/>
        </w:rPr>
        <w:t xml:space="preserve"> d) </w:t>
      </w:r>
      <w:proofErr w:type="spellStart"/>
      <w:r w:rsidRPr="006652D9">
        <w:rPr>
          <w:sz w:val="20"/>
          <w:szCs w:val="20"/>
        </w:rPr>
        <w:t>apakšpunktā</w:t>
      </w:r>
      <w:proofErr w:type="spellEnd"/>
      <w:r w:rsidRPr="006652D9">
        <w:rPr>
          <w:sz w:val="20"/>
          <w:szCs w:val="20"/>
        </w:rPr>
        <w:t xml:space="preserve"> </w:t>
      </w:r>
      <w:proofErr w:type="spellStart"/>
      <w:r w:rsidRPr="006652D9">
        <w:rPr>
          <w:sz w:val="20"/>
          <w:szCs w:val="20"/>
        </w:rPr>
        <w:t>minēto</w:t>
      </w:r>
      <w:proofErr w:type="spellEnd"/>
      <w:r w:rsidRPr="006652D9">
        <w:rPr>
          <w:sz w:val="20"/>
          <w:szCs w:val="20"/>
        </w:rPr>
        <w:t xml:space="preserve"> </w:t>
      </w:r>
      <w:proofErr w:type="spellStart"/>
      <w:r w:rsidRPr="006652D9">
        <w:rPr>
          <w:sz w:val="20"/>
          <w:szCs w:val="20"/>
        </w:rPr>
        <w:t>piekļuves</w:t>
      </w:r>
      <w:proofErr w:type="spellEnd"/>
      <w:r w:rsidRPr="006652D9">
        <w:rPr>
          <w:sz w:val="20"/>
          <w:szCs w:val="20"/>
        </w:rPr>
        <w:t xml:space="preserve"> </w:t>
      </w:r>
      <w:proofErr w:type="spellStart"/>
      <w:r w:rsidRPr="006652D9">
        <w:rPr>
          <w:sz w:val="20"/>
          <w:szCs w:val="20"/>
        </w:rPr>
        <w:t>tīkla</w:t>
      </w:r>
      <w:proofErr w:type="spellEnd"/>
      <w:r w:rsidRPr="006652D9">
        <w:rPr>
          <w:sz w:val="20"/>
          <w:szCs w:val="20"/>
        </w:rPr>
        <w:t xml:space="preserve"> </w:t>
      </w:r>
      <w:proofErr w:type="spellStart"/>
      <w:r w:rsidRPr="006652D9">
        <w:rPr>
          <w:sz w:val="20"/>
          <w:szCs w:val="20"/>
        </w:rPr>
        <w:t>definīciju</w:t>
      </w:r>
      <w:proofErr w:type="spellEnd"/>
      <w:r w:rsidRPr="006652D9">
        <w:rPr>
          <w:sz w:val="20"/>
          <w:szCs w:val="20"/>
        </w:rPr>
        <w:t xml:space="preserve">. </w:t>
      </w:r>
    </w:p>
  </w:footnote>
  <w:footnote w:id="11">
    <w:p w14:paraId="27FCFDCD" w14:textId="5A2A69CE" w:rsidR="00510C3B" w:rsidRPr="00510C3B" w:rsidRDefault="00510C3B" w:rsidP="00995AE0">
      <w:pPr>
        <w:pStyle w:val="FootnoteText"/>
        <w:spacing w:after="0" w:line="240" w:lineRule="auto"/>
        <w:jc w:val="both"/>
        <w:rPr>
          <w:lang w:val="lv-LV"/>
        </w:rPr>
      </w:pPr>
      <w:r>
        <w:rPr>
          <w:rStyle w:val="FootnoteReference"/>
        </w:rPr>
        <w:footnoteRef/>
      </w:r>
      <w:r>
        <w:t xml:space="preserve"> </w:t>
      </w:r>
      <w:r w:rsidRPr="00F6308B">
        <w:rPr>
          <w:rFonts w:eastAsia="Times New Roman"/>
          <w:noProof/>
          <w:sz w:val="20"/>
          <w:szCs w:val="20"/>
          <w:lang w:val="en-US" w:eastAsia="lv-LV"/>
        </w:rPr>
        <w:t xml:space="preserve">Saskaņā ar EK vadlīniju “Pamatnostādnes par valsts atbalstu platjoslas tīkliem” (pieejamas šeit: </w:t>
      </w:r>
      <w:hyperlink r:id="rId2" w:history="1">
        <w:r w:rsidRPr="00496D78">
          <w:rPr>
            <w:rStyle w:val="Hyperlink"/>
            <w:rFonts w:eastAsia="Times New Roman"/>
            <w:noProof/>
            <w:sz w:val="20"/>
            <w:szCs w:val="20"/>
            <w:lang w:val="en-US" w:eastAsia="lv-LV"/>
          </w:rPr>
          <w:t>https://ec.europa.eu/competition-policy/public-consultations/2021-broadband_en</w:t>
        </w:r>
      </w:hyperlink>
      <w:r w:rsidRPr="00F6308B">
        <w:rPr>
          <w:rFonts w:eastAsia="Times New Roman"/>
          <w:noProof/>
          <w:sz w:val="20"/>
          <w:szCs w:val="20"/>
          <w:lang w:val="en-US" w:eastAsia="lv-LV"/>
        </w:rPr>
        <w:t>)</w:t>
      </w:r>
      <w:r>
        <w:rPr>
          <w:rFonts w:eastAsia="Times New Roman"/>
          <w:noProof/>
          <w:sz w:val="20"/>
          <w:szCs w:val="20"/>
          <w:lang w:val="en-US" w:eastAsia="lv-LV"/>
        </w:rPr>
        <w:t xml:space="preserve"> </w:t>
      </w:r>
      <w:r w:rsidRPr="00F6308B">
        <w:rPr>
          <w:rFonts w:eastAsia="Times New Roman"/>
          <w:noProof/>
          <w:sz w:val="20"/>
          <w:szCs w:val="20"/>
          <w:lang w:val="en-US" w:eastAsia="lv-LV"/>
        </w:rPr>
        <w:t xml:space="preserve">19. punkta </w:t>
      </w:r>
      <w:r>
        <w:rPr>
          <w:rFonts w:eastAsia="Times New Roman"/>
          <w:noProof/>
          <w:sz w:val="20"/>
          <w:szCs w:val="20"/>
          <w:lang w:val="en-US" w:eastAsia="lv-LV"/>
        </w:rPr>
        <w:t>g</w:t>
      </w:r>
      <w:r w:rsidRPr="00F6308B">
        <w:rPr>
          <w:rFonts w:eastAsia="Times New Roman"/>
          <w:noProof/>
          <w:sz w:val="20"/>
          <w:szCs w:val="20"/>
          <w:lang w:val="en-US" w:eastAsia="lv-LV"/>
        </w:rPr>
        <w:t xml:space="preserve">) apakšpunktā minēto </w:t>
      </w:r>
      <w:r>
        <w:rPr>
          <w:rFonts w:eastAsia="Times New Roman"/>
          <w:noProof/>
          <w:sz w:val="20"/>
          <w:szCs w:val="20"/>
          <w:lang w:val="en-US" w:eastAsia="lv-LV"/>
        </w:rPr>
        <w:t>aktīvā</w:t>
      </w:r>
      <w:r w:rsidRPr="00F6308B">
        <w:rPr>
          <w:rFonts w:eastAsia="Times New Roman"/>
          <w:noProof/>
          <w:sz w:val="20"/>
          <w:szCs w:val="20"/>
          <w:lang w:val="en-US" w:eastAsia="lv-LV"/>
        </w:rPr>
        <w:t xml:space="preserve"> tīkla definīciju.</w:t>
      </w:r>
    </w:p>
  </w:footnote>
  <w:footnote w:id="12">
    <w:p w14:paraId="3012F378" w14:textId="77777777" w:rsidR="00C40620" w:rsidRPr="00C96D5B" w:rsidRDefault="00C40620" w:rsidP="00995AE0">
      <w:pPr>
        <w:pStyle w:val="FootnoteText"/>
        <w:tabs>
          <w:tab w:val="left" w:pos="284"/>
        </w:tabs>
        <w:spacing w:after="0" w:line="240" w:lineRule="auto"/>
        <w:jc w:val="both"/>
        <w:rPr>
          <w:sz w:val="20"/>
          <w:szCs w:val="20"/>
        </w:rPr>
      </w:pPr>
      <w:r w:rsidRPr="00C96D5B">
        <w:rPr>
          <w:rStyle w:val="FootnoteReference"/>
          <w:sz w:val="20"/>
          <w:szCs w:val="20"/>
        </w:rPr>
        <w:footnoteRef/>
      </w:r>
      <w:r w:rsidRPr="00C96D5B">
        <w:rPr>
          <w:sz w:val="20"/>
          <w:szCs w:val="20"/>
        </w:rPr>
        <w:t xml:space="preserve"> </w:t>
      </w:r>
      <w:r w:rsidRPr="00C96D5B">
        <w:rPr>
          <w:sz w:val="20"/>
          <w:szCs w:val="20"/>
        </w:rPr>
        <w:tab/>
      </w:r>
      <w:proofErr w:type="spellStart"/>
      <w:r w:rsidRPr="00C96D5B">
        <w:rPr>
          <w:sz w:val="20"/>
          <w:szCs w:val="20"/>
        </w:rPr>
        <w:t>Sīkāku</w:t>
      </w:r>
      <w:proofErr w:type="spellEnd"/>
      <w:r w:rsidRPr="00C96D5B">
        <w:rPr>
          <w:sz w:val="20"/>
          <w:szCs w:val="20"/>
        </w:rPr>
        <w:t xml:space="preserve"> </w:t>
      </w:r>
      <w:proofErr w:type="spellStart"/>
      <w:r w:rsidRPr="00C96D5B">
        <w:rPr>
          <w:sz w:val="20"/>
          <w:szCs w:val="20"/>
        </w:rPr>
        <w:t>informāciju</w:t>
      </w:r>
      <w:proofErr w:type="spellEnd"/>
      <w:r w:rsidRPr="00C96D5B">
        <w:rPr>
          <w:sz w:val="20"/>
          <w:szCs w:val="20"/>
        </w:rPr>
        <w:t xml:space="preserve"> </w:t>
      </w:r>
      <w:proofErr w:type="spellStart"/>
      <w:r w:rsidRPr="00C96D5B">
        <w:rPr>
          <w:sz w:val="20"/>
          <w:szCs w:val="20"/>
        </w:rPr>
        <w:t>skatīt</w:t>
      </w:r>
      <w:proofErr w:type="spellEnd"/>
      <w:r w:rsidRPr="00C96D5B">
        <w:rPr>
          <w:sz w:val="20"/>
          <w:szCs w:val="20"/>
        </w:rPr>
        <w:t xml:space="preserve"> </w:t>
      </w:r>
      <w:proofErr w:type="spellStart"/>
      <w:r w:rsidRPr="00C96D5B">
        <w:rPr>
          <w:sz w:val="20"/>
          <w:szCs w:val="20"/>
        </w:rPr>
        <w:t>Pamatnostādņu</w:t>
      </w:r>
      <w:proofErr w:type="spellEnd"/>
      <w:r w:rsidRPr="00C96D5B">
        <w:rPr>
          <w:sz w:val="20"/>
          <w:szCs w:val="20"/>
        </w:rPr>
        <w:t xml:space="preserve"> par </w:t>
      </w:r>
      <w:proofErr w:type="spellStart"/>
      <w:r w:rsidRPr="00C96D5B">
        <w:rPr>
          <w:sz w:val="20"/>
          <w:szCs w:val="20"/>
        </w:rPr>
        <w:t>platjoslas</w:t>
      </w:r>
      <w:proofErr w:type="spellEnd"/>
      <w:r w:rsidRPr="00C96D5B">
        <w:rPr>
          <w:sz w:val="20"/>
          <w:szCs w:val="20"/>
        </w:rPr>
        <w:t xml:space="preserve"> </w:t>
      </w:r>
      <w:proofErr w:type="spellStart"/>
      <w:r w:rsidRPr="00C96D5B">
        <w:rPr>
          <w:sz w:val="20"/>
          <w:szCs w:val="20"/>
        </w:rPr>
        <w:t>tīkliem</w:t>
      </w:r>
      <w:proofErr w:type="spellEnd"/>
      <w:r w:rsidRPr="00C96D5B">
        <w:rPr>
          <w:sz w:val="20"/>
          <w:szCs w:val="20"/>
        </w:rPr>
        <w:t xml:space="preserve"> 56. </w:t>
      </w:r>
      <w:proofErr w:type="spellStart"/>
      <w:r w:rsidRPr="00C96D5B">
        <w:rPr>
          <w:sz w:val="20"/>
          <w:szCs w:val="20"/>
        </w:rPr>
        <w:t>līdz</w:t>
      </w:r>
      <w:proofErr w:type="spellEnd"/>
      <w:r w:rsidRPr="00C96D5B">
        <w:rPr>
          <w:sz w:val="20"/>
          <w:szCs w:val="20"/>
        </w:rPr>
        <w:t xml:space="preserve"> 60. </w:t>
      </w:r>
      <w:proofErr w:type="spellStart"/>
      <w:r w:rsidRPr="00C96D5B">
        <w:rPr>
          <w:sz w:val="20"/>
          <w:szCs w:val="20"/>
        </w:rPr>
        <w:t>punktā</w:t>
      </w:r>
      <w:proofErr w:type="spellEnd"/>
      <w:r w:rsidRPr="00C96D5B">
        <w:rPr>
          <w:sz w:val="20"/>
          <w:szCs w:val="20"/>
        </w:rPr>
        <w:t>.</w:t>
      </w:r>
    </w:p>
  </w:footnote>
  <w:footnote w:id="13">
    <w:p w14:paraId="62130547" w14:textId="77777777" w:rsidR="00C40620" w:rsidRPr="00EB4086" w:rsidRDefault="00C40620" w:rsidP="00995AE0">
      <w:pPr>
        <w:pStyle w:val="FootnoteText"/>
        <w:tabs>
          <w:tab w:val="left" w:pos="284"/>
        </w:tabs>
        <w:spacing w:after="0" w:line="240" w:lineRule="auto"/>
        <w:jc w:val="both"/>
      </w:pPr>
      <w:r w:rsidRPr="00C96D5B">
        <w:rPr>
          <w:rStyle w:val="FootnoteReference"/>
          <w:sz w:val="20"/>
          <w:szCs w:val="20"/>
        </w:rPr>
        <w:footnoteRef/>
      </w:r>
      <w:r w:rsidRPr="00C96D5B">
        <w:rPr>
          <w:sz w:val="20"/>
          <w:szCs w:val="20"/>
        </w:rPr>
        <w:t xml:space="preserve"> </w:t>
      </w:r>
      <w:r w:rsidRPr="00C96D5B">
        <w:rPr>
          <w:sz w:val="20"/>
          <w:szCs w:val="20"/>
        </w:rPr>
        <w:tab/>
      </w:r>
      <w:proofErr w:type="spellStart"/>
      <w:r w:rsidRPr="00C96D5B">
        <w:rPr>
          <w:sz w:val="20"/>
          <w:szCs w:val="20"/>
        </w:rPr>
        <w:t>Sīkāku</w:t>
      </w:r>
      <w:proofErr w:type="spellEnd"/>
      <w:r w:rsidRPr="00C96D5B">
        <w:rPr>
          <w:sz w:val="20"/>
          <w:szCs w:val="20"/>
        </w:rPr>
        <w:t xml:space="preserve"> </w:t>
      </w:r>
      <w:proofErr w:type="spellStart"/>
      <w:r w:rsidRPr="00C96D5B">
        <w:rPr>
          <w:sz w:val="20"/>
          <w:szCs w:val="20"/>
        </w:rPr>
        <w:t>informāciju</w:t>
      </w:r>
      <w:proofErr w:type="spellEnd"/>
      <w:r w:rsidRPr="00C96D5B">
        <w:rPr>
          <w:sz w:val="20"/>
          <w:szCs w:val="20"/>
        </w:rPr>
        <w:t xml:space="preserve"> </w:t>
      </w:r>
      <w:proofErr w:type="spellStart"/>
      <w:r w:rsidRPr="00C96D5B">
        <w:rPr>
          <w:sz w:val="20"/>
          <w:szCs w:val="20"/>
        </w:rPr>
        <w:t>skatīt</w:t>
      </w:r>
      <w:proofErr w:type="spellEnd"/>
      <w:r w:rsidRPr="00C96D5B">
        <w:rPr>
          <w:sz w:val="20"/>
          <w:szCs w:val="20"/>
        </w:rPr>
        <w:t xml:space="preserve"> </w:t>
      </w:r>
      <w:proofErr w:type="spellStart"/>
      <w:r w:rsidRPr="00C96D5B">
        <w:rPr>
          <w:sz w:val="20"/>
          <w:szCs w:val="20"/>
        </w:rPr>
        <w:t>Pamatnostādņu</w:t>
      </w:r>
      <w:proofErr w:type="spellEnd"/>
      <w:r w:rsidRPr="00C96D5B">
        <w:rPr>
          <w:sz w:val="20"/>
          <w:szCs w:val="20"/>
        </w:rPr>
        <w:t xml:space="preserve"> par </w:t>
      </w:r>
      <w:proofErr w:type="spellStart"/>
      <w:r w:rsidRPr="00C96D5B">
        <w:rPr>
          <w:sz w:val="20"/>
          <w:szCs w:val="20"/>
        </w:rPr>
        <w:t>platjoslas</w:t>
      </w:r>
      <w:proofErr w:type="spellEnd"/>
      <w:r w:rsidRPr="00C96D5B">
        <w:rPr>
          <w:sz w:val="20"/>
          <w:szCs w:val="20"/>
        </w:rPr>
        <w:t xml:space="preserve"> </w:t>
      </w:r>
      <w:proofErr w:type="spellStart"/>
      <w:r w:rsidRPr="00C96D5B">
        <w:rPr>
          <w:sz w:val="20"/>
          <w:szCs w:val="20"/>
        </w:rPr>
        <w:t>tīkliem</w:t>
      </w:r>
      <w:proofErr w:type="spellEnd"/>
      <w:r w:rsidRPr="00C96D5B">
        <w:rPr>
          <w:sz w:val="20"/>
          <w:szCs w:val="20"/>
        </w:rPr>
        <w:t xml:space="preserve"> 82. </w:t>
      </w:r>
      <w:proofErr w:type="spellStart"/>
      <w:r w:rsidRPr="00C96D5B">
        <w:rPr>
          <w:sz w:val="20"/>
          <w:szCs w:val="20"/>
        </w:rPr>
        <w:t>līdz</w:t>
      </w:r>
      <w:proofErr w:type="spellEnd"/>
      <w:r w:rsidRPr="00C96D5B">
        <w:rPr>
          <w:sz w:val="20"/>
          <w:szCs w:val="20"/>
        </w:rPr>
        <w:t xml:space="preserve"> 85. </w:t>
      </w:r>
      <w:proofErr w:type="spellStart"/>
      <w:r w:rsidRPr="00C96D5B">
        <w:rPr>
          <w:sz w:val="20"/>
          <w:szCs w:val="20"/>
        </w:rPr>
        <w:t>punktā</w:t>
      </w:r>
      <w:proofErr w:type="spellEnd"/>
      <w:r w:rsidRPr="00C96D5B">
        <w:rPr>
          <w:sz w:val="20"/>
          <w:szCs w:val="20"/>
        </w:rPr>
        <w:t>.</w:t>
      </w:r>
    </w:p>
  </w:footnote>
  <w:footnote w:id="14">
    <w:p w14:paraId="5F9C4FD4" w14:textId="1F0C2A09" w:rsidR="00466DF2" w:rsidRPr="00466DF2" w:rsidRDefault="00466DF2" w:rsidP="00995AE0">
      <w:pPr>
        <w:pStyle w:val="FootnoteText"/>
        <w:spacing w:after="0" w:line="240" w:lineRule="auto"/>
        <w:jc w:val="both"/>
        <w:rPr>
          <w:sz w:val="20"/>
          <w:szCs w:val="20"/>
          <w:lang w:val="lv-LV"/>
        </w:rPr>
      </w:pPr>
      <w:r>
        <w:rPr>
          <w:rStyle w:val="FootnoteReference"/>
        </w:rPr>
        <w:footnoteRef/>
      </w:r>
      <w:r>
        <w:t xml:space="preserve"> </w:t>
      </w:r>
      <w:r w:rsidRPr="00B72AC9">
        <w:rPr>
          <w:sz w:val="20"/>
          <w:szCs w:val="20"/>
        </w:rPr>
        <w:t xml:space="preserve">Satiksmes </w:t>
      </w:r>
      <w:proofErr w:type="spellStart"/>
      <w:r w:rsidRPr="00B72AC9">
        <w:rPr>
          <w:sz w:val="20"/>
          <w:szCs w:val="20"/>
        </w:rPr>
        <w:t>ministrijas</w:t>
      </w:r>
      <w:proofErr w:type="spellEnd"/>
      <w:r w:rsidRPr="00B72AC9">
        <w:rPr>
          <w:sz w:val="20"/>
          <w:szCs w:val="20"/>
        </w:rPr>
        <w:t xml:space="preserve"> </w:t>
      </w:r>
      <w:proofErr w:type="spellStart"/>
      <w:r w:rsidRPr="00B72AC9">
        <w:rPr>
          <w:sz w:val="20"/>
          <w:szCs w:val="20"/>
        </w:rPr>
        <w:t>pasūtītais</w:t>
      </w:r>
      <w:proofErr w:type="spellEnd"/>
      <w:r w:rsidRPr="00B72AC9">
        <w:rPr>
          <w:sz w:val="20"/>
          <w:szCs w:val="20"/>
        </w:rPr>
        <w:t xml:space="preserve"> </w:t>
      </w:r>
      <w:proofErr w:type="spellStart"/>
      <w:r w:rsidRPr="00B72AC9">
        <w:rPr>
          <w:sz w:val="20"/>
          <w:szCs w:val="20"/>
        </w:rPr>
        <w:t>pētījums</w:t>
      </w:r>
      <w:proofErr w:type="spellEnd"/>
      <w:r w:rsidRPr="00B72AC9">
        <w:rPr>
          <w:sz w:val="20"/>
          <w:szCs w:val="20"/>
        </w:rPr>
        <w:t xml:space="preserve"> “</w:t>
      </w:r>
      <w:proofErr w:type="spellStart"/>
      <w:r w:rsidRPr="00B72AC9">
        <w:rPr>
          <w:sz w:val="20"/>
          <w:szCs w:val="20"/>
        </w:rPr>
        <w:t>Pētījums</w:t>
      </w:r>
      <w:proofErr w:type="spellEnd"/>
      <w:r w:rsidRPr="00B72AC9">
        <w:rPr>
          <w:sz w:val="20"/>
          <w:szCs w:val="20"/>
        </w:rPr>
        <w:t xml:space="preserve"> </w:t>
      </w:r>
      <w:proofErr w:type="spellStart"/>
      <w:r w:rsidRPr="00B72AC9">
        <w:rPr>
          <w:sz w:val="20"/>
          <w:szCs w:val="20"/>
        </w:rPr>
        <w:t>Eiropas</w:t>
      </w:r>
      <w:proofErr w:type="spellEnd"/>
      <w:r w:rsidRPr="00B72AC9">
        <w:rPr>
          <w:sz w:val="20"/>
          <w:szCs w:val="20"/>
        </w:rPr>
        <w:t xml:space="preserve"> </w:t>
      </w:r>
      <w:proofErr w:type="spellStart"/>
      <w:r w:rsidRPr="00B72AC9">
        <w:rPr>
          <w:sz w:val="20"/>
          <w:szCs w:val="20"/>
        </w:rPr>
        <w:t>Savienības</w:t>
      </w:r>
      <w:proofErr w:type="spellEnd"/>
      <w:r w:rsidRPr="00B72AC9">
        <w:rPr>
          <w:sz w:val="20"/>
          <w:szCs w:val="20"/>
        </w:rPr>
        <w:t xml:space="preserve"> fondu 2021. -2027. </w:t>
      </w:r>
      <w:proofErr w:type="spellStart"/>
      <w:r w:rsidRPr="00B72AC9">
        <w:rPr>
          <w:sz w:val="20"/>
          <w:szCs w:val="20"/>
        </w:rPr>
        <w:t>gada</w:t>
      </w:r>
      <w:proofErr w:type="spellEnd"/>
      <w:r w:rsidRPr="00B72AC9">
        <w:rPr>
          <w:sz w:val="20"/>
          <w:szCs w:val="20"/>
        </w:rPr>
        <w:t xml:space="preserve"> </w:t>
      </w:r>
      <w:proofErr w:type="spellStart"/>
      <w:r w:rsidRPr="00B72AC9">
        <w:rPr>
          <w:sz w:val="20"/>
          <w:szCs w:val="20"/>
        </w:rPr>
        <w:t>plānošanas</w:t>
      </w:r>
      <w:proofErr w:type="spellEnd"/>
      <w:r w:rsidRPr="00B72AC9">
        <w:rPr>
          <w:sz w:val="20"/>
          <w:szCs w:val="20"/>
        </w:rPr>
        <w:t xml:space="preserve"> </w:t>
      </w:r>
      <w:proofErr w:type="spellStart"/>
      <w:r w:rsidRPr="00B72AC9">
        <w:rPr>
          <w:sz w:val="20"/>
          <w:szCs w:val="20"/>
        </w:rPr>
        <w:t>perioda</w:t>
      </w:r>
      <w:proofErr w:type="spellEnd"/>
      <w:r w:rsidRPr="00B72AC9">
        <w:rPr>
          <w:sz w:val="20"/>
          <w:szCs w:val="20"/>
        </w:rPr>
        <w:t xml:space="preserve"> </w:t>
      </w:r>
      <w:proofErr w:type="spellStart"/>
      <w:r w:rsidRPr="00B72AC9">
        <w:rPr>
          <w:sz w:val="20"/>
          <w:szCs w:val="20"/>
        </w:rPr>
        <w:t>ieguldījumu</w:t>
      </w:r>
      <w:proofErr w:type="spellEnd"/>
      <w:r w:rsidRPr="00B72AC9">
        <w:rPr>
          <w:sz w:val="20"/>
          <w:szCs w:val="20"/>
        </w:rPr>
        <w:t xml:space="preserve"> </w:t>
      </w:r>
      <w:proofErr w:type="spellStart"/>
      <w:r w:rsidRPr="00B72AC9">
        <w:rPr>
          <w:sz w:val="20"/>
          <w:szCs w:val="20"/>
        </w:rPr>
        <w:t>priekšnosacījumu</w:t>
      </w:r>
      <w:proofErr w:type="spellEnd"/>
      <w:r w:rsidRPr="00B72AC9">
        <w:rPr>
          <w:sz w:val="20"/>
          <w:szCs w:val="20"/>
        </w:rPr>
        <w:t xml:space="preserve"> </w:t>
      </w:r>
      <w:proofErr w:type="spellStart"/>
      <w:r w:rsidRPr="00B72AC9">
        <w:rPr>
          <w:sz w:val="20"/>
          <w:szCs w:val="20"/>
        </w:rPr>
        <w:t>izpildei</w:t>
      </w:r>
      <w:proofErr w:type="spellEnd"/>
      <w:r w:rsidRPr="00B72AC9">
        <w:rPr>
          <w:sz w:val="20"/>
          <w:szCs w:val="20"/>
        </w:rPr>
        <w:t xml:space="preserve">”. </w:t>
      </w:r>
      <w:proofErr w:type="spellStart"/>
      <w:r w:rsidRPr="00B72AC9">
        <w:rPr>
          <w:sz w:val="20"/>
          <w:szCs w:val="20"/>
        </w:rPr>
        <w:t>Pētījuma</w:t>
      </w:r>
      <w:proofErr w:type="spellEnd"/>
      <w:r w:rsidRPr="00B72AC9">
        <w:rPr>
          <w:sz w:val="20"/>
          <w:szCs w:val="20"/>
        </w:rPr>
        <w:t xml:space="preserve"> </w:t>
      </w:r>
      <w:proofErr w:type="spellStart"/>
      <w:r w:rsidRPr="00B72AC9">
        <w:rPr>
          <w:sz w:val="20"/>
          <w:szCs w:val="20"/>
        </w:rPr>
        <w:t>mērķis</w:t>
      </w:r>
      <w:proofErr w:type="spellEnd"/>
      <w:r w:rsidRPr="00B72AC9">
        <w:rPr>
          <w:sz w:val="20"/>
          <w:szCs w:val="20"/>
        </w:rPr>
        <w:t xml:space="preserve"> - </w:t>
      </w:r>
      <w:proofErr w:type="spellStart"/>
      <w:r w:rsidRPr="00B72AC9">
        <w:rPr>
          <w:sz w:val="20"/>
          <w:szCs w:val="20"/>
        </w:rPr>
        <w:t>izpētīt</w:t>
      </w:r>
      <w:proofErr w:type="spellEnd"/>
      <w:r w:rsidRPr="00B72AC9">
        <w:rPr>
          <w:sz w:val="20"/>
          <w:szCs w:val="20"/>
        </w:rPr>
        <w:t xml:space="preserve"> </w:t>
      </w:r>
      <w:proofErr w:type="spellStart"/>
      <w:r w:rsidRPr="00B72AC9">
        <w:rPr>
          <w:sz w:val="20"/>
          <w:szCs w:val="20"/>
        </w:rPr>
        <w:t>elektronisko</w:t>
      </w:r>
      <w:proofErr w:type="spellEnd"/>
      <w:r w:rsidRPr="00B72AC9">
        <w:rPr>
          <w:sz w:val="20"/>
          <w:szCs w:val="20"/>
        </w:rPr>
        <w:t xml:space="preserve"> </w:t>
      </w:r>
      <w:proofErr w:type="spellStart"/>
      <w:r w:rsidRPr="00B72AC9">
        <w:rPr>
          <w:sz w:val="20"/>
          <w:szCs w:val="20"/>
        </w:rPr>
        <w:t>sakaru</w:t>
      </w:r>
      <w:proofErr w:type="spellEnd"/>
      <w:r w:rsidRPr="00B72AC9">
        <w:rPr>
          <w:sz w:val="20"/>
          <w:szCs w:val="20"/>
        </w:rPr>
        <w:t xml:space="preserve"> </w:t>
      </w:r>
      <w:proofErr w:type="spellStart"/>
      <w:r w:rsidRPr="00B72AC9">
        <w:rPr>
          <w:sz w:val="20"/>
          <w:szCs w:val="20"/>
        </w:rPr>
        <w:t>tīklu</w:t>
      </w:r>
      <w:proofErr w:type="spellEnd"/>
      <w:r w:rsidRPr="00B72AC9">
        <w:rPr>
          <w:sz w:val="20"/>
          <w:szCs w:val="20"/>
        </w:rPr>
        <w:t xml:space="preserve"> </w:t>
      </w:r>
      <w:proofErr w:type="spellStart"/>
      <w:r w:rsidRPr="00B72AC9">
        <w:rPr>
          <w:sz w:val="20"/>
          <w:szCs w:val="20"/>
        </w:rPr>
        <w:t>infrastruktūras</w:t>
      </w:r>
      <w:proofErr w:type="spellEnd"/>
      <w:r w:rsidRPr="00B72AC9">
        <w:rPr>
          <w:sz w:val="20"/>
          <w:szCs w:val="20"/>
        </w:rPr>
        <w:t xml:space="preserve"> un </w:t>
      </w:r>
      <w:proofErr w:type="spellStart"/>
      <w:r w:rsidRPr="00B72AC9">
        <w:rPr>
          <w:sz w:val="20"/>
          <w:szCs w:val="20"/>
        </w:rPr>
        <w:t>elektronisko</w:t>
      </w:r>
      <w:proofErr w:type="spellEnd"/>
      <w:r w:rsidRPr="00B72AC9">
        <w:rPr>
          <w:sz w:val="20"/>
          <w:szCs w:val="20"/>
        </w:rPr>
        <w:t xml:space="preserve"> </w:t>
      </w:r>
      <w:proofErr w:type="spellStart"/>
      <w:r w:rsidRPr="00B72AC9">
        <w:rPr>
          <w:sz w:val="20"/>
          <w:szCs w:val="20"/>
        </w:rPr>
        <w:t>sakaru</w:t>
      </w:r>
      <w:proofErr w:type="spellEnd"/>
      <w:r w:rsidRPr="00B72AC9">
        <w:rPr>
          <w:sz w:val="20"/>
          <w:szCs w:val="20"/>
        </w:rPr>
        <w:t xml:space="preserve"> </w:t>
      </w:r>
      <w:proofErr w:type="spellStart"/>
      <w:r w:rsidRPr="00B72AC9">
        <w:rPr>
          <w:sz w:val="20"/>
          <w:szCs w:val="20"/>
        </w:rPr>
        <w:t>pakalpojumu</w:t>
      </w:r>
      <w:proofErr w:type="spellEnd"/>
      <w:r w:rsidRPr="00B72AC9">
        <w:rPr>
          <w:sz w:val="20"/>
          <w:szCs w:val="20"/>
        </w:rPr>
        <w:t xml:space="preserve"> </w:t>
      </w:r>
      <w:proofErr w:type="spellStart"/>
      <w:r w:rsidRPr="00B72AC9">
        <w:rPr>
          <w:sz w:val="20"/>
          <w:szCs w:val="20"/>
        </w:rPr>
        <w:t>kvalitātes</w:t>
      </w:r>
      <w:proofErr w:type="spellEnd"/>
      <w:r w:rsidRPr="00B72AC9">
        <w:rPr>
          <w:sz w:val="20"/>
          <w:szCs w:val="20"/>
        </w:rPr>
        <w:t xml:space="preserve"> </w:t>
      </w:r>
      <w:proofErr w:type="spellStart"/>
      <w:r w:rsidRPr="00B72AC9">
        <w:rPr>
          <w:sz w:val="20"/>
          <w:szCs w:val="20"/>
        </w:rPr>
        <w:t>atbilstību</w:t>
      </w:r>
      <w:proofErr w:type="spellEnd"/>
      <w:r w:rsidRPr="00B72AC9">
        <w:rPr>
          <w:sz w:val="20"/>
          <w:szCs w:val="20"/>
        </w:rPr>
        <w:t xml:space="preserve"> </w:t>
      </w:r>
      <w:proofErr w:type="spellStart"/>
      <w:r w:rsidRPr="00B72AC9">
        <w:rPr>
          <w:sz w:val="20"/>
          <w:szCs w:val="20"/>
        </w:rPr>
        <w:t>Savienojamības</w:t>
      </w:r>
      <w:proofErr w:type="spellEnd"/>
      <w:r w:rsidRPr="00B72AC9">
        <w:rPr>
          <w:sz w:val="20"/>
          <w:szCs w:val="20"/>
        </w:rPr>
        <w:t xml:space="preserve"> </w:t>
      </w:r>
      <w:proofErr w:type="spellStart"/>
      <w:r w:rsidRPr="00B72AC9">
        <w:rPr>
          <w:sz w:val="20"/>
          <w:szCs w:val="20"/>
        </w:rPr>
        <w:t>paziņojuma</w:t>
      </w:r>
      <w:proofErr w:type="spellEnd"/>
      <w:r w:rsidRPr="00B72AC9">
        <w:rPr>
          <w:sz w:val="20"/>
          <w:szCs w:val="20"/>
        </w:rPr>
        <w:t xml:space="preserve"> </w:t>
      </w:r>
      <w:proofErr w:type="spellStart"/>
      <w:r w:rsidRPr="00B72AC9">
        <w:rPr>
          <w:sz w:val="20"/>
          <w:szCs w:val="20"/>
        </w:rPr>
        <w:t>mērķiem</w:t>
      </w:r>
      <w:proofErr w:type="spellEnd"/>
      <w:r w:rsidRPr="00B72AC9">
        <w:rPr>
          <w:sz w:val="20"/>
          <w:szCs w:val="20"/>
        </w:rPr>
        <w:t xml:space="preserve">, </w:t>
      </w:r>
      <w:proofErr w:type="spellStart"/>
      <w:r w:rsidRPr="00B72AC9">
        <w:rPr>
          <w:sz w:val="20"/>
          <w:szCs w:val="20"/>
        </w:rPr>
        <w:t>sagatavojot</w:t>
      </w:r>
      <w:proofErr w:type="spellEnd"/>
      <w:r w:rsidRPr="00B72AC9">
        <w:rPr>
          <w:sz w:val="20"/>
          <w:szCs w:val="20"/>
        </w:rPr>
        <w:t xml:space="preserve"> </w:t>
      </w:r>
      <w:proofErr w:type="spellStart"/>
      <w:r w:rsidRPr="00B72AC9">
        <w:rPr>
          <w:sz w:val="20"/>
          <w:szCs w:val="20"/>
        </w:rPr>
        <w:t>esošās</w:t>
      </w:r>
      <w:proofErr w:type="spellEnd"/>
      <w:r w:rsidRPr="00B72AC9">
        <w:rPr>
          <w:sz w:val="20"/>
          <w:szCs w:val="20"/>
        </w:rPr>
        <w:t xml:space="preserve"> un </w:t>
      </w:r>
      <w:proofErr w:type="spellStart"/>
      <w:r w:rsidRPr="00B72AC9">
        <w:rPr>
          <w:sz w:val="20"/>
          <w:szCs w:val="20"/>
        </w:rPr>
        <w:t>plānotās</w:t>
      </w:r>
      <w:proofErr w:type="spellEnd"/>
      <w:r w:rsidRPr="00B72AC9">
        <w:rPr>
          <w:sz w:val="20"/>
          <w:szCs w:val="20"/>
        </w:rPr>
        <w:t xml:space="preserve"> </w:t>
      </w:r>
      <w:proofErr w:type="spellStart"/>
      <w:r w:rsidRPr="00B72AC9">
        <w:rPr>
          <w:sz w:val="20"/>
          <w:szCs w:val="20"/>
        </w:rPr>
        <w:t>platjoslas</w:t>
      </w:r>
      <w:proofErr w:type="spellEnd"/>
      <w:r w:rsidRPr="00B72AC9">
        <w:rPr>
          <w:sz w:val="20"/>
          <w:szCs w:val="20"/>
        </w:rPr>
        <w:t xml:space="preserve"> </w:t>
      </w:r>
      <w:proofErr w:type="spellStart"/>
      <w:r w:rsidRPr="00B72AC9">
        <w:rPr>
          <w:sz w:val="20"/>
          <w:szCs w:val="20"/>
        </w:rPr>
        <w:t>piekļuves</w:t>
      </w:r>
      <w:proofErr w:type="spellEnd"/>
      <w:r w:rsidRPr="00B72AC9">
        <w:rPr>
          <w:sz w:val="20"/>
          <w:szCs w:val="20"/>
        </w:rPr>
        <w:t xml:space="preserve"> </w:t>
      </w:r>
      <w:proofErr w:type="spellStart"/>
      <w:r w:rsidRPr="00B72AC9">
        <w:rPr>
          <w:sz w:val="20"/>
          <w:szCs w:val="20"/>
        </w:rPr>
        <w:t>pakalpojumu</w:t>
      </w:r>
      <w:proofErr w:type="spellEnd"/>
      <w:r w:rsidRPr="00B72AC9">
        <w:rPr>
          <w:sz w:val="20"/>
          <w:szCs w:val="20"/>
        </w:rPr>
        <w:t xml:space="preserve"> </w:t>
      </w:r>
      <w:proofErr w:type="spellStart"/>
      <w:r w:rsidRPr="00B72AC9">
        <w:rPr>
          <w:sz w:val="20"/>
          <w:szCs w:val="20"/>
        </w:rPr>
        <w:t>pieejamības</w:t>
      </w:r>
      <w:proofErr w:type="spellEnd"/>
      <w:r w:rsidRPr="00B72AC9">
        <w:rPr>
          <w:sz w:val="20"/>
          <w:szCs w:val="20"/>
        </w:rPr>
        <w:t xml:space="preserve"> un </w:t>
      </w:r>
      <w:proofErr w:type="spellStart"/>
      <w:r w:rsidRPr="00B72AC9">
        <w:rPr>
          <w:sz w:val="20"/>
          <w:szCs w:val="20"/>
        </w:rPr>
        <w:t>infrastruktūras</w:t>
      </w:r>
      <w:proofErr w:type="spellEnd"/>
      <w:r w:rsidRPr="00B72AC9">
        <w:rPr>
          <w:sz w:val="20"/>
          <w:szCs w:val="20"/>
        </w:rPr>
        <w:t xml:space="preserve"> </w:t>
      </w:r>
      <w:proofErr w:type="spellStart"/>
      <w:r w:rsidRPr="00B72AC9">
        <w:rPr>
          <w:sz w:val="20"/>
          <w:szCs w:val="20"/>
        </w:rPr>
        <w:t>kartējumu</w:t>
      </w:r>
      <w:proofErr w:type="spellEnd"/>
      <w:r w:rsidRPr="00B72AC9">
        <w:rPr>
          <w:sz w:val="20"/>
          <w:szCs w:val="20"/>
        </w:rPr>
        <w:t xml:space="preserve"> un, </w:t>
      </w:r>
      <w:proofErr w:type="spellStart"/>
      <w:r w:rsidRPr="00B72AC9">
        <w:rPr>
          <w:sz w:val="20"/>
          <w:szCs w:val="20"/>
        </w:rPr>
        <w:t>veicot</w:t>
      </w:r>
      <w:proofErr w:type="spellEnd"/>
      <w:r w:rsidRPr="00B72AC9">
        <w:rPr>
          <w:sz w:val="20"/>
          <w:szCs w:val="20"/>
        </w:rPr>
        <w:t xml:space="preserve"> </w:t>
      </w:r>
      <w:proofErr w:type="spellStart"/>
      <w:r w:rsidRPr="00B72AC9">
        <w:rPr>
          <w:sz w:val="20"/>
          <w:szCs w:val="20"/>
        </w:rPr>
        <w:t>analīzi</w:t>
      </w:r>
      <w:proofErr w:type="spellEnd"/>
      <w:r w:rsidRPr="00B72AC9">
        <w:rPr>
          <w:sz w:val="20"/>
          <w:szCs w:val="20"/>
        </w:rPr>
        <w:t xml:space="preserve"> par </w:t>
      </w:r>
      <w:proofErr w:type="spellStart"/>
      <w:r w:rsidRPr="00B72AC9">
        <w:rPr>
          <w:sz w:val="20"/>
          <w:szCs w:val="20"/>
        </w:rPr>
        <w:t>piemērotāko</w:t>
      </w:r>
      <w:proofErr w:type="spellEnd"/>
      <w:r w:rsidRPr="00B72AC9">
        <w:rPr>
          <w:sz w:val="20"/>
          <w:szCs w:val="20"/>
        </w:rPr>
        <w:t xml:space="preserve"> </w:t>
      </w:r>
      <w:proofErr w:type="spellStart"/>
      <w:r w:rsidRPr="00B72AC9">
        <w:rPr>
          <w:sz w:val="20"/>
          <w:szCs w:val="20"/>
        </w:rPr>
        <w:t>intervences</w:t>
      </w:r>
      <w:proofErr w:type="spellEnd"/>
      <w:r w:rsidRPr="00B72AC9">
        <w:rPr>
          <w:sz w:val="20"/>
          <w:szCs w:val="20"/>
        </w:rPr>
        <w:t xml:space="preserve"> </w:t>
      </w:r>
      <w:proofErr w:type="spellStart"/>
      <w:r w:rsidRPr="00B72AC9">
        <w:rPr>
          <w:sz w:val="20"/>
          <w:szCs w:val="20"/>
        </w:rPr>
        <w:t>modeli</w:t>
      </w:r>
      <w:proofErr w:type="spellEnd"/>
      <w:r w:rsidRPr="00B72AC9">
        <w:rPr>
          <w:sz w:val="20"/>
          <w:szCs w:val="20"/>
        </w:rPr>
        <w:t xml:space="preserve">, </w:t>
      </w:r>
      <w:proofErr w:type="spellStart"/>
      <w:r w:rsidRPr="00B72AC9">
        <w:rPr>
          <w:sz w:val="20"/>
          <w:szCs w:val="20"/>
        </w:rPr>
        <w:t>izstrādāt</w:t>
      </w:r>
      <w:proofErr w:type="spellEnd"/>
      <w:r w:rsidRPr="00B72AC9">
        <w:rPr>
          <w:sz w:val="20"/>
          <w:szCs w:val="20"/>
        </w:rPr>
        <w:t xml:space="preserve"> </w:t>
      </w:r>
      <w:proofErr w:type="spellStart"/>
      <w:r w:rsidRPr="00B72AC9">
        <w:rPr>
          <w:sz w:val="20"/>
          <w:szCs w:val="20"/>
        </w:rPr>
        <w:t>datos</w:t>
      </w:r>
      <w:proofErr w:type="spellEnd"/>
      <w:r w:rsidRPr="00B72AC9">
        <w:rPr>
          <w:sz w:val="20"/>
          <w:szCs w:val="20"/>
        </w:rPr>
        <w:t xml:space="preserve"> </w:t>
      </w:r>
      <w:proofErr w:type="spellStart"/>
      <w:r w:rsidRPr="00B72AC9">
        <w:rPr>
          <w:sz w:val="20"/>
          <w:szCs w:val="20"/>
        </w:rPr>
        <w:t>balstītu</w:t>
      </w:r>
      <w:proofErr w:type="spellEnd"/>
      <w:r w:rsidRPr="00B72AC9">
        <w:rPr>
          <w:sz w:val="20"/>
          <w:szCs w:val="20"/>
        </w:rPr>
        <w:t xml:space="preserve"> </w:t>
      </w:r>
      <w:proofErr w:type="spellStart"/>
      <w:r w:rsidRPr="00B72AC9">
        <w:rPr>
          <w:sz w:val="20"/>
          <w:szCs w:val="20"/>
        </w:rPr>
        <w:t>pamatojumu</w:t>
      </w:r>
      <w:proofErr w:type="spellEnd"/>
      <w:r w:rsidRPr="00B72AC9">
        <w:rPr>
          <w:sz w:val="20"/>
          <w:szCs w:val="20"/>
        </w:rPr>
        <w:t xml:space="preserve"> </w:t>
      </w:r>
      <w:proofErr w:type="spellStart"/>
      <w:r w:rsidRPr="00B72AC9">
        <w:rPr>
          <w:sz w:val="20"/>
          <w:szCs w:val="20"/>
        </w:rPr>
        <w:t>platjoslas</w:t>
      </w:r>
      <w:proofErr w:type="spellEnd"/>
      <w:r w:rsidRPr="00B72AC9">
        <w:rPr>
          <w:sz w:val="20"/>
          <w:szCs w:val="20"/>
        </w:rPr>
        <w:t xml:space="preserve"> </w:t>
      </w:r>
      <w:proofErr w:type="spellStart"/>
      <w:r w:rsidRPr="00B72AC9">
        <w:rPr>
          <w:sz w:val="20"/>
          <w:szCs w:val="20"/>
        </w:rPr>
        <w:t>valsts</w:t>
      </w:r>
      <w:proofErr w:type="spellEnd"/>
      <w:r w:rsidRPr="00B72AC9">
        <w:rPr>
          <w:sz w:val="20"/>
          <w:szCs w:val="20"/>
        </w:rPr>
        <w:t xml:space="preserve"> </w:t>
      </w:r>
      <w:proofErr w:type="spellStart"/>
      <w:r w:rsidRPr="00B72AC9">
        <w:rPr>
          <w:sz w:val="20"/>
          <w:szCs w:val="20"/>
        </w:rPr>
        <w:t>atbalsta</w:t>
      </w:r>
      <w:proofErr w:type="spellEnd"/>
      <w:r w:rsidRPr="00B72AC9">
        <w:rPr>
          <w:sz w:val="20"/>
          <w:szCs w:val="20"/>
        </w:rPr>
        <w:t xml:space="preserve"> </w:t>
      </w:r>
      <w:proofErr w:type="spellStart"/>
      <w:r w:rsidRPr="00B72AC9">
        <w:rPr>
          <w:sz w:val="20"/>
          <w:szCs w:val="20"/>
        </w:rPr>
        <w:t>politikas</w:t>
      </w:r>
      <w:proofErr w:type="spellEnd"/>
      <w:r w:rsidRPr="00B72AC9">
        <w:rPr>
          <w:sz w:val="20"/>
          <w:szCs w:val="20"/>
        </w:rPr>
        <w:t xml:space="preserve"> </w:t>
      </w:r>
      <w:proofErr w:type="spellStart"/>
      <w:r w:rsidRPr="00B72AC9">
        <w:rPr>
          <w:sz w:val="20"/>
          <w:szCs w:val="20"/>
        </w:rPr>
        <w:t>plānošanai</w:t>
      </w:r>
      <w:proofErr w:type="spellEnd"/>
      <w:r w:rsidRPr="00B72AC9">
        <w:rPr>
          <w:sz w:val="20"/>
          <w:szCs w:val="20"/>
        </w:rPr>
        <w:t xml:space="preserve">. </w:t>
      </w:r>
      <w:proofErr w:type="spellStart"/>
      <w:r w:rsidRPr="00B72AC9">
        <w:rPr>
          <w:sz w:val="20"/>
          <w:szCs w:val="20"/>
        </w:rPr>
        <w:t>Pieejams</w:t>
      </w:r>
      <w:proofErr w:type="spellEnd"/>
      <w:r w:rsidRPr="00B72AC9">
        <w:rPr>
          <w:sz w:val="20"/>
          <w:szCs w:val="20"/>
        </w:rPr>
        <w:t xml:space="preserve"> </w:t>
      </w:r>
      <w:proofErr w:type="spellStart"/>
      <w:r w:rsidRPr="00B72AC9">
        <w:rPr>
          <w:sz w:val="20"/>
          <w:szCs w:val="20"/>
        </w:rPr>
        <w:t>šeit</w:t>
      </w:r>
      <w:proofErr w:type="spellEnd"/>
      <w:r w:rsidRPr="00B72AC9">
        <w:rPr>
          <w:sz w:val="20"/>
          <w:szCs w:val="20"/>
        </w:rPr>
        <w:t xml:space="preserve">: </w:t>
      </w:r>
      <w:hyperlink r:id="rId3" w:tgtFrame="_blank" w:history="1">
        <w:r w:rsidRPr="00B72AC9">
          <w:rPr>
            <w:rStyle w:val="Hyperlink"/>
            <w:sz w:val="20"/>
            <w:szCs w:val="20"/>
          </w:rPr>
          <w:t>https://www.sam.gov.lv/lv/petijumi</w:t>
        </w:r>
      </w:hyperlink>
      <w:r w:rsidRPr="00B72AC9">
        <w:rPr>
          <w:sz w:val="20"/>
          <w:szCs w:val="20"/>
        </w:rPr>
        <w:t>.</w:t>
      </w:r>
    </w:p>
  </w:footnote>
  <w:footnote w:id="15">
    <w:p w14:paraId="0EBE67F6" w14:textId="77777777" w:rsidR="00C40620" w:rsidRPr="0071101F" w:rsidRDefault="00C40620" w:rsidP="00C40620">
      <w:pPr>
        <w:pStyle w:val="FootnoteText"/>
      </w:pPr>
      <w:r w:rsidRPr="00EB4086">
        <w:rPr>
          <w:rStyle w:val="FootnoteReference"/>
        </w:rPr>
        <w:footnoteRef/>
      </w:r>
      <w:r w:rsidRPr="00EB4086">
        <w:t xml:space="preserve"> </w:t>
      </w:r>
      <w:r w:rsidRPr="00EB4086">
        <w:tab/>
      </w:r>
      <w:proofErr w:type="spellStart"/>
      <w:r w:rsidRPr="00EB4086">
        <w:t>Skatīt</w:t>
      </w:r>
      <w:proofErr w:type="spellEnd"/>
      <w:r w:rsidRPr="00EB4086">
        <w:t xml:space="preserve">, </w:t>
      </w:r>
      <w:proofErr w:type="spellStart"/>
      <w:r w:rsidRPr="00EB4086">
        <w:t>piemēram</w:t>
      </w:r>
      <w:proofErr w:type="spellEnd"/>
      <w:r w:rsidRPr="00EB4086">
        <w:t xml:space="preserve">, </w:t>
      </w:r>
      <w:proofErr w:type="spellStart"/>
      <w:r w:rsidRPr="00EB4086">
        <w:t>Komisijas</w:t>
      </w:r>
      <w:proofErr w:type="spellEnd"/>
      <w:r w:rsidRPr="00EB4086">
        <w:t xml:space="preserve"> </w:t>
      </w:r>
      <w:proofErr w:type="spellStart"/>
      <w:r w:rsidRPr="00EB4086">
        <w:t>dokumentu</w:t>
      </w:r>
      <w:proofErr w:type="spellEnd"/>
      <w:r w:rsidRPr="00EB4086">
        <w:t xml:space="preserve"> </w:t>
      </w:r>
      <w:r w:rsidRPr="00EB4086">
        <w:rPr>
          <w:i/>
        </w:rPr>
        <w:t>Guide to high speed broadband investment</w:t>
      </w:r>
      <w:r w:rsidRPr="00EB4086">
        <w:rPr>
          <w:i/>
        </w:rPr>
        <w:tab/>
      </w:r>
      <w:r w:rsidRPr="00EB4086">
        <w:rPr>
          <w:i/>
        </w:rPr>
        <w:br/>
      </w:r>
      <w:r w:rsidRPr="0071101F">
        <w:rPr>
          <w:spacing w:val="-2"/>
        </w:rPr>
        <w:t>(</w:t>
      </w:r>
      <w:hyperlink r:id="rId4">
        <w:r w:rsidRPr="0071101F">
          <w:rPr>
            <w:rStyle w:val="Hyperlink"/>
            <w:spacing w:val="-2"/>
          </w:rPr>
          <w:t>http://ec.europa.eu/regional_policy/sources/docgener/presenta/broadband2011/broadband2011_en.pdf</w:t>
        </w:r>
      </w:hyperlink>
      <w:r w:rsidRPr="0071101F">
        <w:rPr>
          <w:spacing w:val="-2"/>
        </w:rPr>
        <w:t>).</w:t>
      </w:r>
    </w:p>
  </w:footnote>
  <w:footnote w:id="16">
    <w:p w14:paraId="6AD76DA6" w14:textId="77777777" w:rsidR="001C4D47" w:rsidRDefault="001C4D47" w:rsidP="001C4D47">
      <w:pPr>
        <w:pStyle w:val="FootnoteText"/>
      </w:pPr>
      <w:r>
        <w:rPr>
          <w:rStyle w:val="FootnoteReference"/>
        </w:rPr>
        <w:footnoteRef/>
      </w:r>
      <w:r>
        <w:t xml:space="preserve"> </w:t>
      </w:r>
      <w:proofErr w:type="spellStart"/>
      <w:r>
        <w:rPr>
          <w:sz w:val="20"/>
          <w:szCs w:val="20"/>
        </w:rPr>
        <w:t>Zemāk</w:t>
      </w:r>
      <w:proofErr w:type="spellEnd"/>
      <w:r>
        <w:rPr>
          <w:sz w:val="20"/>
          <w:szCs w:val="20"/>
        </w:rPr>
        <w:t xml:space="preserve"> </w:t>
      </w:r>
      <w:proofErr w:type="spellStart"/>
      <w:r>
        <w:rPr>
          <w:sz w:val="20"/>
          <w:szCs w:val="20"/>
        </w:rPr>
        <w:t>minēto</w:t>
      </w:r>
      <w:proofErr w:type="spellEnd"/>
      <w:r>
        <w:rPr>
          <w:sz w:val="20"/>
          <w:szCs w:val="20"/>
        </w:rPr>
        <w:t xml:space="preserve"> </w:t>
      </w:r>
      <w:proofErr w:type="spellStart"/>
      <w:r>
        <w:rPr>
          <w:sz w:val="20"/>
          <w:szCs w:val="20"/>
        </w:rPr>
        <w:t>secinājumu</w:t>
      </w:r>
      <w:proofErr w:type="spellEnd"/>
      <w:r>
        <w:rPr>
          <w:sz w:val="20"/>
          <w:szCs w:val="20"/>
        </w:rPr>
        <w:t xml:space="preserve"> </w:t>
      </w:r>
      <w:proofErr w:type="spellStart"/>
      <w:r>
        <w:rPr>
          <w:sz w:val="20"/>
          <w:szCs w:val="20"/>
        </w:rPr>
        <w:t>aprēķinu</w:t>
      </w:r>
      <w:proofErr w:type="spellEnd"/>
      <w:r>
        <w:rPr>
          <w:sz w:val="20"/>
          <w:szCs w:val="20"/>
        </w:rPr>
        <w:t xml:space="preserve"> </w:t>
      </w:r>
      <w:proofErr w:type="spellStart"/>
      <w:r>
        <w:rPr>
          <w:sz w:val="20"/>
          <w:szCs w:val="20"/>
        </w:rPr>
        <w:t>metodoloģija</w:t>
      </w:r>
      <w:proofErr w:type="spellEnd"/>
      <w:r>
        <w:rPr>
          <w:sz w:val="20"/>
          <w:szCs w:val="20"/>
        </w:rPr>
        <w:t xml:space="preserve">, </w:t>
      </w:r>
      <w:proofErr w:type="spellStart"/>
      <w:r>
        <w:rPr>
          <w:sz w:val="20"/>
          <w:szCs w:val="20"/>
        </w:rPr>
        <w:t>pieņēmumi</w:t>
      </w:r>
      <w:proofErr w:type="spellEnd"/>
      <w:r>
        <w:rPr>
          <w:sz w:val="20"/>
          <w:szCs w:val="20"/>
        </w:rPr>
        <w:t xml:space="preserve"> un </w:t>
      </w:r>
      <w:proofErr w:type="spellStart"/>
      <w:r>
        <w:rPr>
          <w:sz w:val="20"/>
          <w:szCs w:val="20"/>
        </w:rPr>
        <w:t>ierobežojumi</w:t>
      </w:r>
      <w:proofErr w:type="spellEnd"/>
      <w:r>
        <w:rPr>
          <w:sz w:val="20"/>
          <w:szCs w:val="20"/>
        </w:rPr>
        <w:t xml:space="preserve"> </w:t>
      </w:r>
      <w:proofErr w:type="spellStart"/>
      <w:r>
        <w:rPr>
          <w:sz w:val="20"/>
          <w:szCs w:val="20"/>
        </w:rPr>
        <w:t>pieejami</w:t>
      </w:r>
      <w:proofErr w:type="spellEnd"/>
      <w:r>
        <w:rPr>
          <w:sz w:val="20"/>
          <w:szCs w:val="20"/>
        </w:rPr>
        <w:t xml:space="preserve"> </w:t>
      </w:r>
      <w:proofErr w:type="spellStart"/>
      <w:r>
        <w:rPr>
          <w:sz w:val="20"/>
          <w:szCs w:val="20"/>
        </w:rPr>
        <w:t>pētījumā</w:t>
      </w:r>
      <w:proofErr w:type="spellEnd"/>
      <w:r>
        <w:rPr>
          <w:sz w:val="20"/>
          <w:szCs w:val="20"/>
        </w:rPr>
        <w:t xml:space="preserve"> Nr.2, </w:t>
      </w:r>
      <w:proofErr w:type="spellStart"/>
      <w:r>
        <w:rPr>
          <w:sz w:val="20"/>
          <w:szCs w:val="20"/>
        </w:rPr>
        <w:t>pieejams</w:t>
      </w:r>
      <w:proofErr w:type="spellEnd"/>
      <w:r>
        <w:rPr>
          <w:sz w:val="20"/>
          <w:szCs w:val="20"/>
        </w:rPr>
        <w:t xml:space="preserve"> </w:t>
      </w:r>
      <w:proofErr w:type="spellStart"/>
      <w:r>
        <w:rPr>
          <w:sz w:val="20"/>
          <w:szCs w:val="20"/>
        </w:rPr>
        <w:t>šeit</w:t>
      </w:r>
      <w:proofErr w:type="spellEnd"/>
      <w:r>
        <w:rPr>
          <w:sz w:val="20"/>
          <w:szCs w:val="20"/>
        </w:rPr>
        <w:t xml:space="preserve">: </w:t>
      </w:r>
      <w:hyperlink r:id="rId5" w:tgtFrame="_blank" w:history="1">
        <w:r w:rsidRPr="00D501F7">
          <w:rPr>
            <w:rStyle w:val="Hyperlink"/>
            <w:sz w:val="20"/>
            <w:szCs w:val="20"/>
          </w:rPr>
          <w:t>https://www.sam.gov.lv/lv/petijumi</w:t>
        </w:r>
      </w:hyperlink>
      <w:r>
        <w:rPr>
          <w:rStyle w:val="Hyperlink"/>
          <w:sz w:val="20"/>
          <w:szCs w:val="20"/>
        </w:rPr>
        <w:t xml:space="preserve"> </w:t>
      </w:r>
    </w:p>
  </w:footnote>
  <w:footnote w:id="17">
    <w:p w14:paraId="65965DDB" w14:textId="77777777" w:rsidR="001C4D47" w:rsidRPr="00C061ED" w:rsidRDefault="001C4D47" w:rsidP="001C4D47">
      <w:pPr>
        <w:pStyle w:val="FootnoteText"/>
        <w:rPr>
          <w:sz w:val="20"/>
          <w:szCs w:val="20"/>
        </w:rPr>
      </w:pPr>
      <w:r w:rsidRPr="00C061ED">
        <w:rPr>
          <w:rStyle w:val="FootnoteReference"/>
          <w:sz w:val="20"/>
          <w:szCs w:val="20"/>
        </w:rPr>
        <w:footnoteRef/>
      </w:r>
      <w:r w:rsidRPr="00C061ED">
        <w:rPr>
          <w:sz w:val="20"/>
          <w:szCs w:val="20"/>
        </w:rPr>
        <w:t xml:space="preserve"> </w:t>
      </w:r>
      <w:proofErr w:type="spellStart"/>
      <w:r w:rsidRPr="00C061ED">
        <w:rPr>
          <w:sz w:val="20"/>
          <w:szCs w:val="20"/>
        </w:rPr>
        <w:t>Vairāk</w:t>
      </w:r>
      <w:proofErr w:type="spellEnd"/>
      <w:r w:rsidRPr="00C061ED">
        <w:rPr>
          <w:sz w:val="20"/>
          <w:szCs w:val="20"/>
        </w:rPr>
        <w:t xml:space="preserve"> </w:t>
      </w:r>
      <w:proofErr w:type="spellStart"/>
      <w:r w:rsidRPr="00C061ED">
        <w:rPr>
          <w:sz w:val="20"/>
          <w:szCs w:val="20"/>
        </w:rPr>
        <w:t>informācijas</w:t>
      </w:r>
      <w:proofErr w:type="spellEnd"/>
      <w:r w:rsidRPr="00C061ED">
        <w:rPr>
          <w:sz w:val="20"/>
          <w:szCs w:val="20"/>
        </w:rPr>
        <w:t xml:space="preserve"> </w:t>
      </w:r>
      <w:proofErr w:type="spellStart"/>
      <w:r w:rsidRPr="00C061ED">
        <w:rPr>
          <w:sz w:val="20"/>
          <w:szCs w:val="20"/>
        </w:rPr>
        <w:t>šeit</w:t>
      </w:r>
      <w:proofErr w:type="spellEnd"/>
      <w:r w:rsidRPr="00C061ED">
        <w:rPr>
          <w:sz w:val="20"/>
          <w:szCs w:val="20"/>
        </w:rPr>
        <w:t xml:space="preserve">: </w:t>
      </w:r>
      <w:hyperlink r:id="rId6" w:history="1">
        <w:r w:rsidRPr="00A06CB6">
          <w:rPr>
            <w:rStyle w:val="Hyperlink"/>
            <w:sz w:val="20"/>
            <w:szCs w:val="20"/>
          </w:rPr>
          <w:t>https://www.sprk.gov.lv/sites/default/files/editor/ESPD/Faili/Parskati/KVALITATESPARSKATS2019.pdf</w:t>
        </w:r>
      </w:hyperlink>
      <w:r>
        <w:rPr>
          <w:sz w:val="20"/>
          <w:szCs w:val="20"/>
        </w:rPr>
        <w:t xml:space="preserve"> </w:t>
      </w:r>
      <w:r w:rsidRPr="00C061ED">
        <w:rPr>
          <w:sz w:val="20"/>
          <w:szCs w:val="20"/>
        </w:rPr>
        <w:t xml:space="preserve"> </w:t>
      </w:r>
    </w:p>
  </w:footnote>
  <w:footnote w:id="18">
    <w:p w14:paraId="50F209AD" w14:textId="77777777" w:rsidR="00C40620" w:rsidRPr="004E1B98" w:rsidRDefault="00C40620" w:rsidP="004E1B98">
      <w:pPr>
        <w:pStyle w:val="FootnoteText"/>
        <w:tabs>
          <w:tab w:val="left" w:pos="284"/>
        </w:tabs>
        <w:spacing w:after="0" w:line="240" w:lineRule="auto"/>
        <w:jc w:val="both"/>
        <w:rPr>
          <w:sz w:val="20"/>
          <w:szCs w:val="20"/>
        </w:rPr>
      </w:pPr>
      <w:r w:rsidRPr="004E1B98">
        <w:rPr>
          <w:rStyle w:val="FootnoteReference"/>
          <w:sz w:val="20"/>
          <w:szCs w:val="20"/>
        </w:rPr>
        <w:footnoteRef/>
      </w:r>
      <w:r w:rsidRPr="004E1B98">
        <w:rPr>
          <w:sz w:val="20"/>
          <w:szCs w:val="20"/>
        </w:rPr>
        <w:t xml:space="preserve"> </w:t>
      </w:r>
      <w:r w:rsidRPr="004E1B98">
        <w:rPr>
          <w:sz w:val="20"/>
          <w:szCs w:val="20"/>
        </w:rPr>
        <w:tab/>
      </w:r>
      <w:proofErr w:type="spellStart"/>
      <w:r w:rsidRPr="004E1B98">
        <w:rPr>
          <w:sz w:val="20"/>
          <w:szCs w:val="20"/>
        </w:rPr>
        <w:t>Eiropas</w:t>
      </w:r>
      <w:proofErr w:type="spellEnd"/>
      <w:r w:rsidRPr="004E1B98">
        <w:rPr>
          <w:sz w:val="20"/>
          <w:szCs w:val="20"/>
        </w:rPr>
        <w:t xml:space="preserve"> </w:t>
      </w:r>
      <w:proofErr w:type="spellStart"/>
      <w:r w:rsidRPr="004E1B98">
        <w:rPr>
          <w:sz w:val="20"/>
          <w:szCs w:val="20"/>
        </w:rPr>
        <w:t>Parlamenta</w:t>
      </w:r>
      <w:proofErr w:type="spellEnd"/>
      <w:r w:rsidRPr="004E1B98">
        <w:rPr>
          <w:sz w:val="20"/>
          <w:szCs w:val="20"/>
        </w:rPr>
        <w:t xml:space="preserve"> un </w:t>
      </w:r>
      <w:proofErr w:type="spellStart"/>
      <w:r w:rsidRPr="004E1B98">
        <w:rPr>
          <w:sz w:val="20"/>
          <w:szCs w:val="20"/>
        </w:rPr>
        <w:t>Padomes</w:t>
      </w:r>
      <w:proofErr w:type="spellEnd"/>
      <w:r w:rsidRPr="004E1B98">
        <w:rPr>
          <w:sz w:val="20"/>
          <w:szCs w:val="20"/>
        </w:rPr>
        <w:t xml:space="preserve"> 2014. </w:t>
      </w:r>
      <w:proofErr w:type="spellStart"/>
      <w:r w:rsidRPr="004E1B98">
        <w:rPr>
          <w:sz w:val="20"/>
          <w:szCs w:val="20"/>
        </w:rPr>
        <w:t>gada</w:t>
      </w:r>
      <w:proofErr w:type="spellEnd"/>
      <w:r w:rsidRPr="004E1B98">
        <w:rPr>
          <w:sz w:val="20"/>
          <w:szCs w:val="20"/>
        </w:rPr>
        <w:t xml:space="preserve"> 26. </w:t>
      </w:r>
      <w:proofErr w:type="spellStart"/>
      <w:r w:rsidRPr="004E1B98">
        <w:rPr>
          <w:sz w:val="20"/>
          <w:szCs w:val="20"/>
        </w:rPr>
        <w:t>februāra</w:t>
      </w:r>
      <w:proofErr w:type="spellEnd"/>
      <w:r w:rsidRPr="004E1B98">
        <w:rPr>
          <w:sz w:val="20"/>
          <w:szCs w:val="20"/>
        </w:rPr>
        <w:t xml:space="preserve"> </w:t>
      </w:r>
      <w:proofErr w:type="spellStart"/>
      <w:r w:rsidRPr="004E1B98">
        <w:rPr>
          <w:sz w:val="20"/>
          <w:szCs w:val="20"/>
        </w:rPr>
        <w:t>Direktīva</w:t>
      </w:r>
      <w:proofErr w:type="spellEnd"/>
      <w:r w:rsidRPr="004E1B98">
        <w:rPr>
          <w:sz w:val="20"/>
          <w:szCs w:val="20"/>
        </w:rPr>
        <w:t xml:space="preserve"> 2014/23/ES par </w:t>
      </w:r>
      <w:proofErr w:type="spellStart"/>
      <w:r w:rsidRPr="004E1B98">
        <w:rPr>
          <w:sz w:val="20"/>
          <w:szCs w:val="20"/>
        </w:rPr>
        <w:t>koncesijas</w:t>
      </w:r>
      <w:proofErr w:type="spellEnd"/>
      <w:r w:rsidRPr="004E1B98">
        <w:rPr>
          <w:sz w:val="20"/>
          <w:szCs w:val="20"/>
        </w:rPr>
        <w:t xml:space="preserve"> </w:t>
      </w:r>
      <w:proofErr w:type="spellStart"/>
      <w:r w:rsidRPr="004E1B98">
        <w:rPr>
          <w:sz w:val="20"/>
          <w:szCs w:val="20"/>
        </w:rPr>
        <w:t>līgumu</w:t>
      </w:r>
      <w:proofErr w:type="spellEnd"/>
      <w:r w:rsidRPr="004E1B98">
        <w:rPr>
          <w:sz w:val="20"/>
          <w:szCs w:val="20"/>
        </w:rPr>
        <w:t xml:space="preserve"> </w:t>
      </w:r>
      <w:proofErr w:type="spellStart"/>
      <w:r w:rsidRPr="004E1B98">
        <w:rPr>
          <w:sz w:val="20"/>
          <w:szCs w:val="20"/>
        </w:rPr>
        <w:t>slēgšanas</w:t>
      </w:r>
      <w:proofErr w:type="spellEnd"/>
      <w:r w:rsidRPr="004E1B98">
        <w:rPr>
          <w:sz w:val="20"/>
          <w:szCs w:val="20"/>
        </w:rPr>
        <w:t xml:space="preserve"> </w:t>
      </w:r>
      <w:proofErr w:type="spellStart"/>
      <w:r w:rsidRPr="004E1B98">
        <w:rPr>
          <w:sz w:val="20"/>
          <w:szCs w:val="20"/>
        </w:rPr>
        <w:t>tiesību</w:t>
      </w:r>
      <w:proofErr w:type="spellEnd"/>
      <w:r w:rsidRPr="004E1B98">
        <w:rPr>
          <w:sz w:val="20"/>
          <w:szCs w:val="20"/>
        </w:rPr>
        <w:t xml:space="preserve"> </w:t>
      </w:r>
      <w:proofErr w:type="spellStart"/>
      <w:r w:rsidRPr="004E1B98">
        <w:rPr>
          <w:sz w:val="20"/>
          <w:szCs w:val="20"/>
        </w:rPr>
        <w:t>piešķiršanu</w:t>
      </w:r>
      <w:proofErr w:type="spellEnd"/>
      <w:r w:rsidRPr="004E1B98">
        <w:rPr>
          <w:sz w:val="20"/>
          <w:szCs w:val="20"/>
        </w:rPr>
        <w:t xml:space="preserve"> (OV L 94, 28.3.2014., 1. </w:t>
      </w:r>
      <w:proofErr w:type="spellStart"/>
      <w:r w:rsidRPr="004E1B98">
        <w:rPr>
          <w:sz w:val="20"/>
          <w:szCs w:val="20"/>
        </w:rPr>
        <w:t>lpp</w:t>
      </w:r>
      <w:proofErr w:type="spellEnd"/>
      <w:r w:rsidRPr="004E1B98">
        <w:rPr>
          <w:sz w:val="20"/>
          <w:szCs w:val="20"/>
        </w:rPr>
        <w:t xml:space="preserve">.), </w:t>
      </w:r>
      <w:proofErr w:type="spellStart"/>
      <w:r w:rsidRPr="004E1B98">
        <w:rPr>
          <w:sz w:val="20"/>
          <w:szCs w:val="20"/>
        </w:rPr>
        <w:t>Eiropas</w:t>
      </w:r>
      <w:proofErr w:type="spellEnd"/>
      <w:r w:rsidRPr="004E1B98">
        <w:rPr>
          <w:sz w:val="20"/>
          <w:szCs w:val="20"/>
        </w:rPr>
        <w:t xml:space="preserve"> </w:t>
      </w:r>
      <w:proofErr w:type="spellStart"/>
      <w:r w:rsidRPr="004E1B98">
        <w:rPr>
          <w:sz w:val="20"/>
          <w:szCs w:val="20"/>
        </w:rPr>
        <w:t>Parlamenta</w:t>
      </w:r>
      <w:proofErr w:type="spellEnd"/>
      <w:r w:rsidRPr="004E1B98">
        <w:rPr>
          <w:sz w:val="20"/>
          <w:szCs w:val="20"/>
        </w:rPr>
        <w:t xml:space="preserve"> un </w:t>
      </w:r>
      <w:proofErr w:type="spellStart"/>
      <w:r w:rsidRPr="004E1B98">
        <w:rPr>
          <w:sz w:val="20"/>
          <w:szCs w:val="20"/>
        </w:rPr>
        <w:t>Padomes</w:t>
      </w:r>
      <w:proofErr w:type="spellEnd"/>
      <w:r w:rsidRPr="004E1B98">
        <w:rPr>
          <w:sz w:val="20"/>
          <w:szCs w:val="20"/>
        </w:rPr>
        <w:t xml:space="preserve"> </w:t>
      </w:r>
      <w:r w:rsidRPr="004E1B98">
        <w:rPr>
          <w:spacing w:val="-4"/>
          <w:sz w:val="20"/>
          <w:szCs w:val="20"/>
        </w:rPr>
        <w:t>2014. </w:t>
      </w:r>
      <w:proofErr w:type="spellStart"/>
      <w:r w:rsidRPr="004E1B98">
        <w:rPr>
          <w:spacing w:val="-4"/>
          <w:sz w:val="20"/>
          <w:szCs w:val="20"/>
        </w:rPr>
        <w:t>gada</w:t>
      </w:r>
      <w:proofErr w:type="spellEnd"/>
      <w:r w:rsidRPr="004E1B98">
        <w:rPr>
          <w:spacing w:val="-4"/>
          <w:sz w:val="20"/>
          <w:szCs w:val="20"/>
        </w:rPr>
        <w:t> 26. </w:t>
      </w:r>
      <w:proofErr w:type="spellStart"/>
      <w:r w:rsidRPr="004E1B98">
        <w:rPr>
          <w:spacing w:val="-4"/>
          <w:sz w:val="20"/>
          <w:szCs w:val="20"/>
        </w:rPr>
        <w:t>februāra</w:t>
      </w:r>
      <w:proofErr w:type="spellEnd"/>
      <w:r w:rsidRPr="004E1B98">
        <w:rPr>
          <w:spacing w:val="-4"/>
          <w:sz w:val="20"/>
          <w:szCs w:val="20"/>
        </w:rPr>
        <w:t xml:space="preserve"> </w:t>
      </w:r>
      <w:proofErr w:type="spellStart"/>
      <w:r w:rsidRPr="004E1B98">
        <w:rPr>
          <w:spacing w:val="-4"/>
          <w:sz w:val="20"/>
          <w:szCs w:val="20"/>
        </w:rPr>
        <w:t>Direktīva</w:t>
      </w:r>
      <w:proofErr w:type="spellEnd"/>
      <w:r w:rsidRPr="004E1B98">
        <w:rPr>
          <w:spacing w:val="-4"/>
          <w:sz w:val="20"/>
          <w:szCs w:val="20"/>
        </w:rPr>
        <w:t xml:space="preserve"> 2014/24/ES par </w:t>
      </w:r>
      <w:proofErr w:type="spellStart"/>
      <w:r w:rsidRPr="004E1B98">
        <w:rPr>
          <w:spacing w:val="-4"/>
          <w:sz w:val="20"/>
          <w:szCs w:val="20"/>
        </w:rPr>
        <w:t>publisko</w:t>
      </w:r>
      <w:proofErr w:type="spellEnd"/>
      <w:r w:rsidRPr="004E1B98">
        <w:rPr>
          <w:spacing w:val="-4"/>
          <w:sz w:val="20"/>
          <w:szCs w:val="20"/>
        </w:rPr>
        <w:t xml:space="preserve"> </w:t>
      </w:r>
      <w:proofErr w:type="spellStart"/>
      <w:r w:rsidRPr="004E1B98">
        <w:rPr>
          <w:spacing w:val="-4"/>
          <w:sz w:val="20"/>
          <w:szCs w:val="20"/>
        </w:rPr>
        <w:t>iepirkumu</w:t>
      </w:r>
      <w:proofErr w:type="spellEnd"/>
      <w:r w:rsidRPr="004E1B98">
        <w:rPr>
          <w:spacing w:val="-4"/>
          <w:sz w:val="20"/>
          <w:szCs w:val="20"/>
        </w:rPr>
        <w:t xml:space="preserve"> un </w:t>
      </w:r>
      <w:proofErr w:type="spellStart"/>
      <w:r w:rsidRPr="004E1B98">
        <w:rPr>
          <w:spacing w:val="-4"/>
          <w:sz w:val="20"/>
          <w:szCs w:val="20"/>
        </w:rPr>
        <w:t>ar</w:t>
      </w:r>
      <w:proofErr w:type="spellEnd"/>
      <w:r w:rsidRPr="004E1B98">
        <w:rPr>
          <w:spacing w:val="-4"/>
          <w:sz w:val="20"/>
          <w:szCs w:val="20"/>
        </w:rPr>
        <w:t xml:space="preserve"> ko </w:t>
      </w:r>
      <w:proofErr w:type="spellStart"/>
      <w:r w:rsidRPr="004E1B98">
        <w:rPr>
          <w:spacing w:val="-4"/>
          <w:sz w:val="20"/>
          <w:szCs w:val="20"/>
        </w:rPr>
        <w:t>atceļ</w:t>
      </w:r>
      <w:proofErr w:type="spellEnd"/>
      <w:r w:rsidRPr="004E1B98">
        <w:rPr>
          <w:spacing w:val="-4"/>
          <w:sz w:val="20"/>
          <w:szCs w:val="20"/>
        </w:rPr>
        <w:t xml:space="preserve"> </w:t>
      </w:r>
      <w:proofErr w:type="spellStart"/>
      <w:r w:rsidRPr="004E1B98">
        <w:rPr>
          <w:spacing w:val="-4"/>
          <w:sz w:val="20"/>
          <w:szCs w:val="20"/>
        </w:rPr>
        <w:t>Direktīvu</w:t>
      </w:r>
      <w:proofErr w:type="spellEnd"/>
      <w:r w:rsidRPr="004E1B98">
        <w:rPr>
          <w:spacing w:val="-4"/>
          <w:sz w:val="20"/>
          <w:szCs w:val="20"/>
        </w:rPr>
        <w:t xml:space="preserve"> 2004/18/EK</w:t>
      </w:r>
      <w:r w:rsidRPr="004E1B98">
        <w:rPr>
          <w:sz w:val="20"/>
          <w:szCs w:val="20"/>
        </w:rPr>
        <w:t xml:space="preserve"> (OV L 94, 28.3.2014., 65. </w:t>
      </w:r>
      <w:proofErr w:type="spellStart"/>
      <w:r w:rsidRPr="004E1B98">
        <w:rPr>
          <w:sz w:val="20"/>
          <w:szCs w:val="20"/>
        </w:rPr>
        <w:t>lpp</w:t>
      </w:r>
      <w:proofErr w:type="spellEnd"/>
      <w:r w:rsidRPr="004E1B98">
        <w:rPr>
          <w:sz w:val="20"/>
          <w:szCs w:val="20"/>
        </w:rPr>
        <w:t xml:space="preserve">.) un </w:t>
      </w:r>
      <w:proofErr w:type="spellStart"/>
      <w:r w:rsidRPr="004E1B98">
        <w:rPr>
          <w:sz w:val="20"/>
          <w:szCs w:val="20"/>
        </w:rPr>
        <w:t>Eiropas</w:t>
      </w:r>
      <w:proofErr w:type="spellEnd"/>
      <w:r w:rsidRPr="004E1B98">
        <w:rPr>
          <w:sz w:val="20"/>
          <w:szCs w:val="20"/>
        </w:rPr>
        <w:t xml:space="preserve"> </w:t>
      </w:r>
      <w:proofErr w:type="spellStart"/>
      <w:r w:rsidRPr="004E1B98">
        <w:rPr>
          <w:sz w:val="20"/>
          <w:szCs w:val="20"/>
        </w:rPr>
        <w:t>Parlamenta</w:t>
      </w:r>
      <w:proofErr w:type="spellEnd"/>
      <w:r w:rsidRPr="004E1B98">
        <w:rPr>
          <w:sz w:val="20"/>
          <w:szCs w:val="20"/>
        </w:rPr>
        <w:t xml:space="preserve"> un </w:t>
      </w:r>
      <w:proofErr w:type="spellStart"/>
      <w:r w:rsidRPr="004E1B98">
        <w:rPr>
          <w:sz w:val="20"/>
          <w:szCs w:val="20"/>
        </w:rPr>
        <w:t>Padomes</w:t>
      </w:r>
      <w:proofErr w:type="spellEnd"/>
      <w:r w:rsidRPr="004E1B98">
        <w:rPr>
          <w:sz w:val="20"/>
          <w:szCs w:val="20"/>
        </w:rPr>
        <w:t xml:space="preserve"> 2014. </w:t>
      </w:r>
      <w:proofErr w:type="spellStart"/>
      <w:r w:rsidRPr="004E1B98">
        <w:rPr>
          <w:sz w:val="20"/>
          <w:szCs w:val="20"/>
        </w:rPr>
        <w:t>gada</w:t>
      </w:r>
      <w:proofErr w:type="spellEnd"/>
      <w:r w:rsidRPr="004E1B98">
        <w:rPr>
          <w:sz w:val="20"/>
          <w:szCs w:val="20"/>
        </w:rPr>
        <w:t xml:space="preserve"> 26. </w:t>
      </w:r>
      <w:proofErr w:type="spellStart"/>
      <w:r w:rsidRPr="004E1B98">
        <w:rPr>
          <w:sz w:val="20"/>
          <w:szCs w:val="20"/>
        </w:rPr>
        <w:t>februāra</w:t>
      </w:r>
      <w:proofErr w:type="spellEnd"/>
      <w:r w:rsidRPr="004E1B98">
        <w:rPr>
          <w:sz w:val="20"/>
          <w:szCs w:val="20"/>
        </w:rPr>
        <w:t xml:space="preserve"> </w:t>
      </w:r>
      <w:proofErr w:type="spellStart"/>
      <w:r w:rsidRPr="004E1B98">
        <w:rPr>
          <w:spacing w:val="-4"/>
          <w:sz w:val="20"/>
          <w:szCs w:val="20"/>
        </w:rPr>
        <w:t>Direktīva</w:t>
      </w:r>
      <w:proofErr w:type="spellEnd"/>
      <w:r w:rsidRPr="004E1B98">
        <w:rPr>
          <w:spacing w:val="-4"/>
          <w:sz w:val="20"/>
          <w:szCs w:val="20"/>
        </w:rPr>
        <w:t xml:space="preserve"> 2014/25/ES par </w:t>
      </w:r>
      <w:proofErr w:type="spellStart"/>
      <w:r w:rsidRPr="004E1B98">
        <w:rPr>
          <w:spacing w:val="-4"/>
          <w:sz w:val="20"/>
          <w:szCs w:val="20"/>
        </w:rPr>
        <w:t>iepirkumu</w:t>
      </w:r>
      <w:proofErr w:type="spellEnd"/>
      <w:r w:rsidRPr="004E1B98">
        <w:rPr>
          <w:spacing w:val="-4"/>
          <w:sz w:val="20"/>
          <w:szCs w:val="20"/>
        </w:rPr>
        <w:t xml:space="preserve">, ko </w:t>
      </w:r>
      <w:proofErr w:type="spellStart"/>
      <w:r w:rsidRPr="004E1B98">
        <w:rPr>
          <w:spacing w:val="-4"/>
          <w:sz w:val="20"/>
          <w:szCs w:val="20"/>
        </w:rPr>
        <w:t>īsteno</w:t>
      </w:r>
      <w:proofErr w:type="spellEnd"/>
      <w:r w:rsidRPr="004E1B98">
        <w:rPr>
          <w:spacing w:val="-4"/>
          <w:sz w:val="20"/>
          <w:szCs w:val="20"/>
        </w:rPr>
        <w:t xml:space="preserve"> </w:t>
      </w:r>
      <w:proofErr w:type="spellStart"/>
      <w:r w:rsidRPr="004E1B98">
        <w:rPr>
          <w:spacing w:val="-4"/>
          <w:sz w:val="20"/>
          <w:szCs w:val="20"/>
        </w:rPr>
        <w:t>subjekti</w:t>
      </w:r>
      <w:proofErr w:type="spellEnd"/>
      <w:r w:rsidRPr="004E1B98">
        <w:rPr>
          <w:spacing w:val="-4"/>
          <w:sz w:val="20"/>
          <w:szCs w:val="20"/>
        </w:rPr>
        <w:t xml:space="preserve">, </w:t>
      </w:r>
      <w:proofErr w:type="spellStart"/>
      <w:r w:rsidRPr="004E1B98">
        <w:rPr>
          <w:spacing w:val="-4"/>
          <w:sz w:val="20"/>
          <w:szCs w:val="20"/>
        </w:rPr>
        <w:t>kuri</w:t>
      </w:r>
      <w:proofErr w:type="spellEnd"/>
      <w:r w:rsidRPr="004E1B98">
        <w:rPr>
          <w:spacing w:val="-4"/>
          <w:sz w:val="20"/>
          <w:szCs w:val="20"/>
        </w:rPr>
        <w:t xml:space="preserve"> </w:t>
      </w:r>
      <w:proofErr w:type="spellStart"/>
      <w:r w:rsidRPr="004E1B98">
        <w:rPr>
          <w:spacing w:val="-4"/>
          <w:sz w:val="20"/>
          <w:szCs w:val="20"/>
        </w:rPr>
        <w:t>darbojas</w:t>
      </w:r>
      <w:proofErr w:type="spellEnd"/>
      <w:r w:rsidRPr="004E1B98">
        <w:rPr>
          <w:spacing w:val="-4"/>
          <w:sz w:val="20"/>
          <w:szCs w:val="20"/>
        </w:rPr>
        <w:t xml:space="preserve"> </w:t>
      </w:r>
      <w:proofErr w:type="spellStart"/>
      <w:r w:rsidRPr="004E1B98">
        <w:rPr>
          <w:spacing w:val="-4"/>
          <w:sz w:val="20"/>
          <w:szCs w:val="20"/>
        </w:rPr>
        <w:t>ūdensapgādes</w:t>
      </w:r>
      <w:proofErr w:type="spellEnd"/>
      <w:r w:rsidRPr="004E1B98">
        <w:rPr>
          <w:spacing w:val="-4"/>
          <w:sz w:val="20"/>
          <w:szCs w:val="20"/>
        </w:rPr>
        <w:t xml:space="preserve">, </w:t>
      </w:r>
      <w:proofErr w:type="spellStart"/>
      <w:r w:rsidRPr="004E1B98">
        <w:rPr>
          <w:spacing w:val="-4"/>
          <w:sz w:val="20"/>
          <w:szCs w:val="20"/>
        </w:rPr>
        <w:t>enerģētikas</w:t>
      </w:r>
      <w:proofErr w:type="spellEnd"/>
      <w:r w:rsidRPr="004E1B98">
        <w:rPr>
          <w:spacing w:val="-4"/>
          <w:sz w:val="20"/>
          <w:szCs w:val="20"/>
        </w:rPr>
        <w:t xml:space="preserve">, </w:t>
      </w:r>
      <w:proofErr w:type="spellStart"/>
      <w:r w:rsidRPr="004E1B98">
        <w:rPr>
          <w:spacing w:val="-4"/>
          <w:sz w:val="20"/>
          <w:szCs w:val="20"/>
        </w:rPr>
        <w:t>transporta</w:t>
      </w:r>
      <w:proofErr w:type="spellEnd"/>
      <w:r w:rsidRPr="004E1B98">
        <w:rPr>
          <w:sz w:val="20"/>
          <w:szCs w:val="20"/>
        </w:rPr>
        <w:t xml:space="preserve"> un pasta </w:t>
      </w:r>
      <w:proofErr w:type="spellStart"/>
      <w:r w:rsidRPr="004E1B98">
        <w:rPr>
          <w:sz w:val="20"/>
          <w:szCs w:val="20"/>
        </w:rPr>
        <w:t>pakalpojumu</w:t>
      </w:r>
      <w:proofErr w:type="spellEnd"/>
      <w:r w:rsidRPr="004E1B98">
        <w:rPr>
          <w:sz w:val="20"/>
          <w:szCs w:val="20"/>
        </w:rPr>
        <w:t xml:space="preserve"> </w:t>
      </w:r>
      <w:proofErr w:type="spellStart"/>
      <w:r w:rsidRPr="004E1B98">
        <w:rPr>
          <w:sz w:val="20"/>
          <w:szCs w:val="20"/>
        </w:rPr>
        <w:t>nozarēs</w:t>
      </w:r>
      <w:proofErr w:type="spellEnd"/>
      <w:r w:rsidRPr="004E1B98">
        <w:rPr>
          <w:sz w:val="20"/>
          <w:szCs w:val="20"/>
        </w:rPr>
        <w:t xml:space="preserve">, un </w:t>
      </w:r>
      <w:proofErr w:type="spellStart"/>
      <w:r w:rsidRPr="004E1B98">
        <w:rPr>
          <w:sz w:val="20"/>
          <w:szCs w:val="20"/>
        </w:rPr>
        <w:t>ar</w:t>
      </w:r>
      <w:proofErr w:type="spellEnd"/>
      <w:r w:rsidRPr="004E1B98">
        <w:rPr>
          <w:sz w:val="20"/>
          <w:szCs w:val="20"/>
        </w:rPr>
        <w:t xml:space="preserve"> ko </w:t>
      </w:r>
      <w:proofErr w:type="spellStart"/>
      <w:r w:rsidRPr="004E1B98">
        <w:rPr>
          <w:sz w:val="20"/>
          <w:szCs w:val="20"/>
        </w:rPr>
        <w:t>atceļ</w:t>
      </w:r>
      <w:proofErr w:type="spellEnd"/>
      <w:r w:rsidRPr="004E1B98">
        <w:rPr>
          <w:sz w:val="20"/>
          <w:szCs w:val="20"/>
        </w:rPr>
        <w:t xml:space="preserve"> </w:t>
      </w:r>
      <w:proofErr w:type="spellStart"/>
      <w:r w:rsidRPr="004E1B98">
        <w:rPr>
          <w:sz w:val="20"/>
          <w:szCs w:val="20"/>
        </w:rPr>
        <w:t>Direktīvu</w:t>
      </w:r>
      <w:proofErr w:type="spellEnd"/>
      <w:r w:rsidRPr="004E1B98">
        <w:rPr>
          <w:sz w:val="20"/>
          <w:szCs w:val="20"/>
        </w:rPr>
        <w:t xml:space="preserve"> 2004/17/EK (OV L 94, 28.3.2014., 243. </w:t>
      </w:r>
      <w:proofErr w:type="spellStart"/>
      <w:r w:rsidRPr="004E1B98">
        <w:rPr>
          <w:sz w:val="20"/>
          <w:szCs w:val="20"/>
        </w:rPr>
        <w:t>lpp</w:t>
      </w:r>
      <w:proofErr w:type="spellEnd"/>
      <w:r w:rsidRPr="004E1B98">
        <w:rPr>
          <w:sz w:val="20"/>
          <w:szCs w:val="20"/>
        </w:rPr>
        <w:t>.).</w:t>
      </w:r>
    </w:p>
  </w:footnote>
  <w:footnote w:id="19">
    <w:p w14:paraId="185211A9" w14:textId="4F0C17D0" w:rsidR="00275EA7" w:rsidRPr="00275EA7" w:rsidRDefault="00275EA7" w:rsidP="00275EA7">
      <w:pPr>
        <w:pStyle w:val="FootnoteText"/>
        <w:jc w:val="both"/>
        <w:rPr>
          <w:lang w:val="lv-LV"/>
        </w:rPr>
      </w:pPr>
      <w:r>
        <w:rPr>
          <w:rStyle w:val="FootnoteReference"/>
        </w:rPr>
        <w:footnoteRef/>
      </w:r>
      <w:r>
        <w:t xml:space="preserve"> </w:t>
      </w:r>
      <w:proofErr w:type="spellStart"/>
      <w:r w:rsidR="007A2640">
        <w:t>Līdzīga</w:t>
      </w:r>
      <w:proofErr w:type="spellEnd"/>
      <w:r w:rsidR="007A2640">
        <w:t xml:space="preserve"> </w:t>
      </w:r>
      <w:proofErr w:type="spellStart"/>
      <w:r w:rsidR="007A2640">
        <w:t>komiteja</w:t>
      </w:r>
      <w:proofErr w:type="spellEnd"/>
      <w:r w:rsidR="007A2640">
        <w:t xml:space="preserve">, </w:t>
      </w:r>
      <w:proofErr w:type="spellStart"/>
      <w:r w:rsidR="007A2640">
        <w:t>k</w:t>
      </w:r>
      <w:r w:rsidR="004D549A">
        <w:t>ā</w:t>
      </w:r>
      <w:proofErr w:type="spellEnd"/>
      <w:r w:rsidR="004D549A">
        <w:t xml:space="preserve"> </w:t>
      </w:r>
      <w:r w:rsidRPr="00275EA7">
        <w:t xml:space="preserve">Satiksmes </w:t>
      </w:r>
      <w:proofErr w:type="spellStart"/>
      <w:r w:rsidRPr="00275EA7">
        <w:t>ministrijas</w:t>
      </w:r>
      <w:proofErr w:type="spellEnd"/>
      <w:r w:rsidRPr="00275EA7">
        <w:t xml:space="preserve"> </w:t>
      </w:r>
      <w:proofErr w:type="spellStart"/>
      <w:r w:rsidRPr="00275EA7">
        <w:t>Optiskā</w:t>
      </w:r>
      <w:proofErr w:type="spellEnd"/>
      <w:r w:rsidRPr="00275EA7">
        <w:t xml:space="preserve"> </w:t>
      </w:r>
      <w:proofErr w:type="spellStart"/>
      <w:r w:rsidRPr="00275EA7">
        <w:t>tīkla</w:t>
      </w:r>
      <w:proofErr w:type="spellEnd"/>
      <w:r w:rsidRPr="00275EA7">
        <w:t xml:space="preserve"> </w:t>
      </w:r>
      <w:proofErr w:type="spellStart"/>
      <w:r w:rsidRPr="00275EA7">
        <w:t>uzraudzības</w:t>
      </w:r>
      <w:proofErr w:type="spellEnd"/>
      <w:r w:rsidRPr="00275EA7">
        <w:t xml:space="preserve"> </w:t>
      </w:r>
      <w:proofErr w:type="spellStart"/>
      <w:r w:rsidRPr="00275EA7">
        <w:t>komiteja</w:t>
      </w:r>
      <w:proofErr w:type="spellEnd"/>
      <w:r w:rsidR="004D549A">
        <w:t>, kas</w:t>
      </w:r>
      <w:r>
        <w:t xml:space="preserve"> </w:t>
      </w:r>
      <w:proofErr w:type="spellStart"/>
      <w:r>
        <w:t>š</w:t>
      </w:r>
      <w:r w:rsidRPr="00275EA7">
        <w:t>obrīd</w:t>
      </w:r>
      <w:proofErr w:type="spellEnd"/>
      <w:r w:rsidRPr="00275EA7">
        <w:t xml:space="preserve"> </w:t>
      </w:r>
      <w:proofErr w:type="spellStart"/>
      <w:r w:rsidRPr="00275EA7">
        <w:t>uzrauga</w:t>
      </w:r>
      <w:proofErr w:type="spellEnd"/>
      <w:r w:rsidRPr="00275EA7">
        <w:t xml:space="preserve"> </w:t>
      </w:r>
      <w:proofErr w:type="spellStart"/>
      <w:r w:rsidRPr="00275EA7">
        <w:t>valsts</w:t>
      </w:r>
      <w:proofErr w:type="spellEnd"/>
      <w:r w:rsidRPr="00275EA7">
        <w:t xml:space="preserve"> </w:t>
      </w:r>
      <w:proofErr w:type="spellStart"/>
      <w:r w:rsidRPr="00275EA7">
        <w:t>atbalstu</w:t>
      </w:r>
      <w:proofErr w:type="spellEnd"/>
      <w:r w:rsidRPr="00275EA7">
        <w:t xml:space="preserve"> Nr.SA.33324 (2011/N) “</w:t>
      </w:r>
      <w:proofErr w:type="spellStart"/>
      <w:r w:rsidRPr="00275EA7">
        <w:t>Latvija</w:t>
      </w:r>
      <w:proofErr w:type="spellEnd"/>
      <w:r w:rsidRPr="00275EA7">
        <w:t xml:space="preserve"> </w:t>
      </w:r>
      <w:proofErr w:type="spellStart"/>
      <w:r w:rsidRPr="00275EA7">
        <w:t>Nākamās</w:t>
      </w:r>
      <w:proofErr w:type="spellEnd"/>
      <w:r w:rsidRPr="00275EA7">
        <w:t xml:space="preserve"> </w:t>
      </w:r>
      <w:proofErr w:type="spellStart"/>
      <w:r w:rsidRPr="00275EA7">
        <w:t>paaudzes</w:t>
      </w:r>
      <w:proofErr w:type="spellEnd"/>
      <w:r w:rsidRPr="00275EA7">
        <w:t xml:space="preserve"> </w:t>
      </w:r>
      <w:proofErr w:type="spellStart"/>
      <w:r w:rsidRPr="00275EA7">
        <w:t>tīkli</w:t>
      </w:r>
      <w:proofErr w:type="spellEnd"/>
      <w:r w:rsidRPr="00275EA7">
        <w:t xml:space="preserve"> </w:t>
      </w:r>
      <w:proofErr w:type="spellStart"/>
      <w:r w:rsidRPr="00275EA7">
        <w:t>lauku</w:t>
      </w:r>
      <w:proofErr w:type="spellEnd"/>
      <w:r w:rsidRPr="00275EA7">
        <w:t xml:space="preserve"> </w:t>
      </w:r>
      <w:proofErr w:type="spellStart"/>
      <w:r w:rsidRPr="00275EA7">
        <w:t>teritorijās</w:t>
      </w:r>
      <w:proofErr w:type="spellEnd"/>
      <w:r w:rsidRPr="00275EA7">
        <w:t>”</w:t>
      </w:r>
      <w:r>
        <w:t>.</w:t>
      </w:r>
    </w:p>
  </w:footnote>
  <w:footnote w:id="20">
    <w:p w14:paraId="2FDC0A46" w14:textId="77777777" w:rsidR="008F7B13" w:rsidRPr="008F7B13" w:rsidRDefault="008F7B13">
      <w:pPr>
        <w:pStyle w:val="FootnoteText"/>
        <w:rPr>
          <w:lang w:val="lv-LV"/>
        </w:rPr>
      </w:pPr>
      <w:r>
        <w:rPr>
          <w:rStyle w:val="FootnoteReference"/>
        </w:rPr>
        <w:footnoteRef/>
      </w:r>
      <w:r>
        <w:t xml:space="preserve"> </w:t>
      </w:r>
      <w:proofErr w:type="spellStart"/>
      <w:r>
        <w:t>Komisijas</w:t>
      </w:r>
      <w:proofErr w:type="spellEnd"/>
      <w:r>
        <w:t xml:space="preserve"> </w:t>
      </w:r>
      <w:proofErr w:type="spellStart"/>
      <w:r>
        <w:t>pamatnostādnes</w:t>
      </w:r>
      <w:proofErr w:type="spellEnd"/>
      <w:r>
        <w:t xml:space="preserve"> </w:t>
      </w:r>
      <w:proofErr w:type="spellStart"/>
      <w:r>
        <w:t>valsts</w:t>
      </w:r>
      <w:proofErr w:type="spellEnd"/>
      <w:r>
        <w:t xml:space="preserve"> </w:t>
      </w:r>
      <w:proofErr w:type="spellStart"/>
      <w:r>
        <w:t>atbalsta</w:t>
      </w:r>
      <w:proofErr w:type="spellEnd"/>
      <w:r>
        <w:t xml:space="preserve"> </w:t>
      </w:r>
      <w:proofErr w:type="spellStart"/>
      <w:r>
        <w:t>noteikumu</w:t>
      </w:r>
      <w:proofErr w:type="spellEnd"/>
      <w:r>
        <w:t xml:space="preserve"> </w:t>
      </w:r>
      <w:proofErr w:type="spellStart"/>
      <w:r>
        <w:t>piemērošanai</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platjoslas</w:t>
      </w:r>
      <w:proofErr w:type="spellEnd"/>
      <w:r>
        <w:t xml:space="preserve"> </w:t>
      </w:r>
      <w:proofErr w:type="spellStart"/>
      <w:r>
        <w:t>tīklu</w:t>
      </w:r>
      <w:proofErr w:type="spellEnd"/>
      <w:r>
        <w:t xml:space="preserve"> </w:t>
      </w:r>
      <w:proofErr w:type="spellStart"/>
      <w:r>
        <w:t>ātru</w:t>
      </w:r>
      <w:proofErr w:type="spellEnd"/>
      <w:r>
        <w:t xml:space="preserve"> </w:t>
      </w:r>
      <w:proofErr w:type="spellStart"/>
      <w:r>
        <w:t>izvēršanu</w:t>
      </w:r>
      <w:proofErr w:type="spellEnd"/>
      <w:r>
        <w:t xml:space="preserve">, OV C 235, 30.9.2009., 7. </w:t>
      </w:r>
      <w:proofErr w:type="spellStart"/>
      <w:r>
        <w:t>lpp</w:t>
      </w:r>
      <w:proofErr w:type="spellEnd"/>
      <w:r>
        <w:t>.</w:t>
      </w:r>
    </w:p>
  </w:footnote>
  <w:footnote w:id="21">
    <w:p w14:paraId="53B5C956" w14:textId="77777777" w:rsidR="006B351C" w:rsidRPr="00285716" w:rsidRDefault="006B351C" w:rsidP="006B351C">
      <w:pPr>
        <w:pStyle w:val="FootnoteText"/>
        <w:rPr>
          <w:lang w:val="lv-LV"/>
        </w:rPr>
      </w:pPr>
      <w:r>
        <w:rPr>
          <w:rStyle w:val="FootnoteReference"/>
        </w:rPr>
        <w:footnoteRef/>
      </w:r>
      <w:r w:rsidRPr="00162F2A">
        <w:rPr>
          <w:lang w:val="lv-LV"/>
        </w:rPr>
        <w:t>https://www.sprk.gov.lv/sites/default/files/editor/ESPD/Faili/Parskati/KVALITATESPARSKATS2019.pdf</w:t>
      </w:r>
      <w:r w:rsidRPr="00285716">
        <w:rPr>
          <w:lang w:val="lv-LV"/>
        </w:rPr>
        <w:t xml:space="preserve"> </w:t>
      </w:r>
    </w:p>
  </w:footnote>
  <w:footnote w:id="22">
    <w:p w14:paraId="2782EEC8" w14:textId="77777777" w:rsidR="00C40620" w:rsidRPr="00EB4086" w:rsidRDefault="00C40620" w:rsidP="00C40620">
      <w:pPr>
        <w:pStyle w:val="FootnoteText"/>
      </w:pPr>
      <w:r w:rsidRPr="00EB4086">
        <w:rPr>
          <w:rStyle w:val="FootnoteReference"/>
        </w:rPr>
        <w:footnoteRef/>
      </w:r>
      <w:r w:rsidRPr="00EB4086">
        <w:t xml:space="preserve"> </w:t>
      </w:r>
      <w:r w:rsidRPr="00EB4086">
        <w:tab/>
      </w:r>
      <w:proofErr w:type="spellStart"/>
      <w:r w:rsidRPr="00EB4086">
        <w:t>Piemēram</w:t>
      </w:r>
      <w:proofErr w:type="spellEnd"/>
      <w:r w:rsidRPr="00EB4086">
        <w:t xml:space="preserve">, </w:t>
      </w:r>
      <w:proofErr w:type="spellStart"/>
      <w:r w:rsidRPr="00EB4086">
        <w:t>izvēlētais</w:t>
      </w:r>
      <w:proofErr w:type="spellEnd"/>
      <w:r w:rsidRPr="00EB4086">
        <w:t xml:space="preserve"> </w:t>
      </w:r>
      <w:proofErr w:type="spellStart"/>
      <w:r w:rsidRPr="00EB4086">
        <w:t>ieguldījumu</w:t>
      </w:r>
      <w:proofErr w:type="spellEnd"/>
      <w:r w:rsidRPr="00EB4086">
        <w:t xml:space="preserve"> un </w:t>
      </w:r>
      <w:proofErr w:type="spellStart"/>
      <w:r w:rsidRPr="00EB4086">
        <w:t>uzņēmējdarbības</w:t>
      </w:r>
      <w:proofErr w:type="spellEnd"/>
      <w:r w:rsidRPr="00EB4086">
        <w:t xml:space="preserve"> </w:t>
      </w:r>
      <w:proofErr w:type="spellStart"/>
      <w:r w:rsidRPr="00EB4086">
        <w:t>modelis</w:t>
      </w:r>
      <w:proofErr w:type="spellEnd"/>
      <w:r w:rsidRPr="00EB4086">
        <w:t xml:space="preserve">, </w:t>
      </w:r>
      <w:proofErr w:type="spellStart"/>
      <w:r w:rsidRPr="00EB4086">
        <w:t>ģeogrāfiskās</w:t>
      </w:r>
      <w:proofErr w:type="spellEnd"/>
      <w:r w:rsidRPr="00EB4086">
        <w:t xml:space="preserve"> </w:t>
      </w:r>
      <w:proofErr w:type="spellStart"/>
      <w:r w:rsidRPr="00EB4086">
        <w:t>iejaukšanās</w:t>
      </w:r>
      <w:proofErr w:type="spellEnd"/>
      <w:r w:rsidRPr="00EB4086">
        <w:t xml:space="preserve"> </w:t>
      </w:r>
      <w:proofErr w:type="spellStart"/>
      <w:r w:rsidRPr="00EB4086">
        <w:t>teritoriju</w:t>
      </w:r>
      <w:proofErr w:type="spellEnd"/>
      <w:r w:rsidRPr="00EB4086">
        <w:t xml:space="preserve"> </w:t>
      </w:r>
      <w:proofErr w:type="spellStart"/>
      <w:r w:rsidRPr="00EB4086">
        <w:t>lielums</w:t>
      </w:r>
      <w:proofErr w:type="spellEnd"/>
      <w:r w:rsidRPr="00EB4086">
        <w:t xml:space="preserve"> un </w:t>
      </w:r>
      <w:proofErr w:type="spellStart"/>
      <w:r w:rsidRPr="00EB4086">
        <w:t>iezīmes</w:t>
      </w:r>
      <w:proofErr w:type="spellEnd"/>
      <w:r w:rsidRPr="00EB4086">
        <w:t xml:space="preserve"> </w:t>
      </w:r>
      <w:proofErr w:type="spellStart"/>
      <w:r w:rsidRPr="00EB4086">
        <w:t>vai</w:t>
      </w:r>
      <w:proofErr w:type="spellEnd"/>
      <w:r w:rsidRPr="00EB4086">
        <w:t xml:space="preserve"> </w:t>
      </w:r>
      <w:proofErr w:type="spellStart"/>
      <w:r w:rsidRPr="00EB4086">
        <w:t>projekta</w:t>
      </w:r>
      <w:proofErr w:type="spellEnd"/>
      <w:r w:rsidRPr="00EB4086">
        <w:t xml:space="preserve"> </w:t>
      </w:r>
      <w:proofErr w:type="spellStart"/>
      <w:r w:rsidRPr="00EB4086">
        <w:t>izmaksu</w:t>
      </w:r>
      <w:proofErr w:type="spellEnd"/>
      <w:r w:rsidRPr="00EB4086">
        <w:t xml:space="preserve"> </w:t>
      </w:r>
      <w:proofErr w:type="spellStart"/>
      <w:r w:rsidRPr="00EB4086">
        <w:t>kontroles</w:t>
      </w:r>
      <w:proofErr w:type="spellEnd"/>
      <w:r w:rsidRPr="00EB4086">
        <w:t xml:space="preserve"> </w:t>
      </w:r>
      <w:proofErr w:type="spellStart"/>
      <w:r w:rsidRPr="00EB4086">
        <w:t>pasākumi</w:t>
      </w:r>
      <w:proofErr w:type="spellEnd"/>
      <w:r w:rsidRPr="00EB4086">
        <w:t>.</w:t>
      </w:r>
    </w:p>
  </w:footnote>
  <w:footnote w:id="23">
    <w:p w14:paraId="650F2FD8" w14:textId="77777777" w:rsidR="00C40620" w:rsidRPr="00EB4086" w:rsidRDefault="00C40620" w:rsidP="00D16C14">
      <w:pPr>
        <w:pStyle w:val="FootnoteText"/>
        <w:tabs>
          <w:tab w:val="left" w:pos="284"/>
        </w:tabs>
      </w:pPr>
      <w:r w:rsidRPr="00EB4086">
        <w:rPr>
          <w:rStyle w:val="FootnoteReference"/>
        </w:rPr>
        <w:footnoteRef/>
      </w:r>
      <w:r w:rsidRPr="00EB4086">
        <w:t xml:space="preserve"> </w:t>
      </w:r>
      <w:r w:rsidRPr="00EB4086">
        <w:tab/>
      </w:r>
      <w:proofErr w:type="spellStart"/>
      <w:r w:rsidRPr="00EB4086">
        <w:t>Saraksts</w:t>
      </w:r>
      <w:proofErr w:type="spellEnd"/>
      <w:r w:rsidRPr="00EB4086">
        <w:t xml:space="preserve"> </w:t>
      </w:r>
      <w:proofErr w:type="spellStart"/>
      <w:r w:rsidRPr="00EB4086">
        <w:t>ar</w:t>
      </w:r>
      <w:proofErr w:type="spellEnd"/>
      <w:r w:rsidRPr="00EB4086">
        <w:t xml:space="preserve"> </w:t>
      </w:r>
      <w:proofErr w:type="spellStart"/>
      <w:r w:rsidRPr="00EB4086">
        <w:t>Komisijas</w:t>
      </w:r>
      <w:proofErr w:type="spellEnd"/>
      <w:r w:rsidRPr="00EB4086">
        <w:t xml:space="preserve"> </w:t>
      </w:r>
      <w:proofErr w:type="spellStart"/>
      <w:r w:rsidRPr="00EB4086">
        <w:t>lēmumiem</w:t>
      </w:r>
      <w:proofErr w:type="spellEnd"/>
      <w:r w:rsidRPr="00EB4086">
        <w:t xml:space="preserve"> par </w:t>
      </w:r>
      <w:proofErr w:type="spellStart"/>
      <w:r w:rsidRPr="00EB4086">
        <w:t>valsts</w:t>
      </w:r>
      <w:proofErr w:type="spellEnd"/>
      <w:r w:rsidRPr="00EB4086">
        <w:t xml:space="preserve"> </w:t>
      </w:r>
      <w:proofErr w:type="spellStart"/>
      <w:r w:rsidRPr="00EB4086">
        <w:t>atbalstu</w:t>
      </w:r>
      <w:proofErr w:type="spellEnd"/>
      <w:r w:rsidRPr="00EB4086">
        <w:t xml:space="preserve"> </w:t>
      </w:r>
      <w:proofErr w:type="spellStart"/>
      <w:r w:rsidRPr="00EB4086">
        <w:t>platjoslas</w:t>
      </w:r>
      <w:proofErr w:type="spellEnd"/>
      <w:r w:rsidRPr="00EB4086">
        <w:t xml:space="preserve"> </w:t>
      </w:r>
      <w:proofErr w:type="spellStart"/>
      <w:r w:rsidRPr="00EB4086">
        <w:t>tīklu</w:t>
      </w:r>
      <w:proofErr w:type="spellEnd"/>
      <w:r w:rsidRPr="00EB4086">
        <w:t xml:space="preserve"> </w:t>
      </w:r>
      <w:proofErr w:type="spellStart"/>
      <w:r w:rsidRPr="00EB4086">
        <w:t>jomā</w:t>
      </w:r>
      <w:proofErr w:type="spellEnd"/>
      <w:r w:rsidRPr="00EB4086">
        <w:t xml:space="preserve"> </w:t>
      </w:r>
      <w:proofErr w:type="spellStart"/>
      <w:r w:rsidRPr="00EB4086">
        <w:t>ir</w:t>
      </w:r>
      <w:proofErr w:type="spellEnd"/>
      <w:r w:rsidRPr="00EB4086">
        <w:t xml:space="preserve"> </w:t>
      </w:r>
      <w:proofErr w:type="spellStart"/>
      <w:r w:rsidRPr="00EB4086">
        <w:t>pieejams</w:t>
      </w:r>
      <w:proofErr w:type="spellEnd"/>
      <w:r w:rsidRPr="00EB4086">
        <w:t xml:space="preserve"> </w:t>
      </w:r>
      <w:proofErr w:type="spellStart"/>
      <w:r w:rsidRPr="00EB4086">
        <w:t>Konkurences</w:t>
      </w:r>
      <w:proofErr w:type="spellEnd"/>
      <w:r w:rsidRPr="00EB4086">
        <w:t xml:space="preserve"> ĢD </w:t>
      </w:r>
      <w:proofErr w:type="spellStart"/>
      <w:r w:rsidRPr="00EB4086">
        <w:t>tīmekļa</w:t>
      </w:r>
      <w:proofErr w:type="spellEnd"/>
      <w:r w:rsidRPr="00EB4086">
        <w:t xml:space="preserve"> </w:t>
      </w:r>
      <w:proofErr w:type="spellStart"/>
      <w:r w:rsidRPr="00EB4086">
        <w:t>vietnē</w:t>
      </w:r>
      <w:proofErr w:type="spellEnd"/>
      <w:r w:rsidRPr="00EB4086">
        <w:t xml:space="preserve">: </w:t>
      </w:r>
      <w:hyperlink r:id="rId7">
        <w:r w:rsidRPr="00EB4086">
          <w:rPr>
            <w:rStyle w:val="Hyperlink"/>
          </w:rPr>
          <w:t>http://ec.europa.eu/competition/sectors/telecommunications/broadband_decisions.pdf</w:t>
        </w:r>
      </w:hyperlink>
      <w:r w:rsidRPr="00EB40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0DA6"/>
    <w:multiLevelType w:val="multilevel"/>
    <w:tmpl w:val="52B66650"/>
    <w:lvl w:ilvl="0">
      <w:start w:val="1"/>
      <w:numFmt w:val="decimal"/>
      <w:lvlText w:val="%1."/>
      <w:lvlJc w:val="left"/>
      <w:pPr>
        <w:ind w:left="360" w:hanging="360"/>
      </w:pPr>
      <w:rPr>
        <w:rFonts w:hint="default"/>
      </w:rPr>
    </w:lvl>
    <w:lvl w:ilvl="1">
      <w:start w:val="1"/>
      <w:numFmt w:val="decimal"/>
      <w:lvlText w:val="3.%2."/>
      <w:lvlJc w:val="left"/>
      <w:pPr>
        <w:ind w:left="858"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C2442E"/>
    <w:multiLevelType w:val="hybridMultilevel"/>
    <w:tmpl w:val="CC6AA554"/>
    <w:lvl w:ilvl="0" w:tplc="6A58108A">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5213FA5"/>
    <w:multiLevelType w:val="hybridMultilevel"/>
    <w:tmpl w:val="B3FEC22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D89558A"/>
    <w:multiLevelType w:val="multilevel"/>
    <w:tmpl w:val="9540371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b/>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EE62509"/>
    <w:multiLevelType w:val="hybridMultilevel"/>
    <w:tmpl w:val="F0F6D1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5A4C06"/>
    <w:multiLevelType w:val="hybridMultilevel"/>
    <w:tmpl w:val="976CB010"/>
    <w:lvl w:ilvl="0" w:tplc="C972D5A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264B5253"/>
    <w:multiLevelType w:val="hybridMultilevel"/>
    <w:tmpl w:val="9BE413DC"/>
    <w:lvl w:ilvl="0" w:tplc="68EEFF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689085A"/>
    <w:multiLevelType w:val="hybridMultilevel"/>
    <w:tmpl w:val="F2E629D4"/>
    <w:lvl w:ilvl="0" w:tplc="768EB2B2">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89401CB"/>
    <w:multiLevelType w:val="hybridMultilevel"/>
    <w:tmpl w:val="0B8EB0D4"/>
    <w:lvl w:ilvl="0" w:tplc="04260011">
      <w:start w:val="1"/>
      <w:numFmt w:val="decimal"/>
      <w:lvlText w:val="%1)"/>
      <w:lvlJc w:val="left"/>
      <w:pPr>
        <w:ind w:left="1344" w:hanging="360"/>
      </w:pPr>
    </w:lvl>
    <w:lvl w:ilvl="1" w:tplc="04260019">
      <w:start w:val="1"/>
      <w:numFmt w:val="lowerLetter"/>
      <w:lvlText w:val="%2."/>
      <w:lvlJc w:val="left"/>
      <w:pPr>
        <w:ind w:left="2064" w:hanging="360"/>
      </w:pPr>
    </w:lvl>
    <w:lvl w:ilvl="2" w:tplc="0426001B" w:tentative="1">
      <w:start w:val="1"/>
      <w:numFmt w:val="lowerRoman"/>
      <w:lvlText w:val="%3."/>
      <w:lvlJc w:val="right"/>
      <w:pPr>
        <w:ind w:left="2784" w:hanging="180"/>
      </w:pPr>
    </w:lvl>
    <w:lvl w:ilvl="3" w:tplc="0426000F" w:tentative="1">
      <w:start w:val="1"/>
      <w:numFmt w:val="decimal"/>
      <w:lvlText w:val="%4."/>
      <w:lvlJc w:val="left"/>
      <w:pPr>
        <w:ind w:left="3504" w:hanging="360"/>
      </w:pPr>
    </w:lvl>
    <w:lvl w:ilvl="4" w:tplc="04260019" w:tentative="1">
      <w:start w:val="1"/>
      <w:numFmt w:val="lowerLetter"/>
      <w:lvlText w:val="%5."/>
      <w:lvlJc w:val="left"/>
      <w:pPr>
        <w:ind w:left="4224" w:hanging="360"/>
      </w:pPr>
    </w:lvl>
    <w:lvl w:ilvl="5" w:tplc="0426001B" w:tentative="1">
      <w:start w:val="1"/>
      <w:numFmt w:val="lowerRoman"/>
      <w:lvlText w:val="%6."/>
      <w:lvlJc w:val="right"/>
      <w:pPr>
        <w:ind w:left="4944" w:hanging="180"/>
      </w:pPr>
    </w:lvl>
    <w:lvl w:ilvl="6" w:tplc="0426000F" w:tentative="1">
      <w:start w:val="1"/>
      <w:numFmt w:val="decimal"/>
      <w:lvlText w:val="%7."/>
      <w:lvlJc w:val="left"/>
      <w:pPr>
        <w:ind w:left="5664" w:hanging="360"/>
      </w:pPr>
    </w:lvl>
    <w:lvl w:ilvl="7" w:tplc="04260019" w:tentative="1">
      <w:start w:val="1"/>
      <w:numFmt w:val="lowerLetter"/>
      <w:lvlText w:val="%8."/>
      <w:lvlJc w:val="left"/>
      <w:pPr>
        <w:ind w:left="6384" w:hanging="360"/>
      </w:pPr>
    </w:lvl>
    <w:lvl w:ilvl="8" w:tplc="0426001B" w:tentative="1">
      <w:start w:val="1"/>
      <w:numFmt w:val="lowerRoman"/>
      <w:lvlText w:val="%9."/>
      <w:lvlJc w:val="right"/>
      <w:pPr>
        <w:ind w:left="7104" w:hanging="180"/>
      </w:pPr>
    </w:lvl>
  </w:abstractNum>
  <w:abstractNum w:abstractNumId="9" w15:restartNumberingAfterBreak="0">
    <w:nsid w:val="2C3E7055"/>
    <w:multiLevelType w:val="hybridMultilevel"/>
    <w:tmpl w:val="62167148"/>
    <w:lvl w:ilvl="0" w:tplc="0EE6D66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38D327C9"/>
    <w:multiLevelType w:val="hybridMultilevel"/>
    <w:tmpl w:val="FC0AA29E"/>
    <w:lvl w:ilvl="0" w:tplc="5644C2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CF46C4"/>
    <w:multiLevelType w:val="multilevel"/>
    <w:tmpl w:val="5F6E82D4"/>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1200"/>
        </w:tabs>
        <w:ind w:left="1200" w:hanging="720"/>
      </w:pPr>
      <w:rPr>
        <w:rFonts w:cs="Times New Roman" w:hint="default"/>
        <w:b/>
      </w:rPr>
    </w:lvl>
    <w:lvl w:ilvl="2">
      <w:start w:val="1"/>
      <w:numFmt w:val="none"/>
      <w:lvlText w:val="2.1.1."/>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7C357A9"/>
    <w:multiLevelType w:val="hybridMultilevel"/>
    <w:tmpl w:val="B41C1F4E"/>
    <w:lvl w:ilvl="0" w:tplc="E666659E">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530A61E4"/>
    <w:multiLevelType w:val="multilevel"/>
    <w:tmpl w:val="5F6E82D4"/>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1200"/>
        </w:tabs>
        <w:ind w:left="1200" w:hanging="720"/>
      </w:pPr>
      <w:rPr>
        <w:rFonts w:cs="Times New Roman" w:hint="default"/>
        <w:b/>
      </w:rPr>
    </w:lvl>
    <w:lvl w:ilvl="2">
      <w:start w:val="1"/>
      <w:numFmt w:val="none"/>
      <w:lvlText w:val="2.1.1."/>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642B0906"/>
    <w:multiLevelType w:val="hybridMultilevel"/>
    <w:tmpl w:val="A1C466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572E1E"/>
    <w:multiLevelType w:val="hybridMultilevel"/>
    <w:tmpl w:val="1E5615A2"/>
    <w:lvl w:ilvl="0" w:tplc="8392017A">
      <w:start w:val="1"/>
      <w:numFmt w:val="decimal"/>
      <w:lvlText w:val="%1)"/>
      <w:lvlJc w:val="left"/>
      <w:pPr>
        <w:ind w:left="1789" w:hanging="360"/>
      </w:pPr>
      <w:rPr>
        <w:rFonts w:hint="default"/>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num w:numId="1" w16cid:durableId="1655597370">
    <w:abstractNumId w:val="3"/>
  </w:num>
  <w:num w:numId="2" w16cid:durableId="470443518">
    <w:abstractNumId w:val="0"/>
  </w:num>
  <w:num w:numId="3" w16cid:durableId="1965306960">
    <w:abstractNumId w:val="11"/>
  </w:num>
  <w:num w:numId="4" w16cid:durableId="1132283240">
    <w:abstractNumId w:val="1"/>
  </w:num>
  <w:num w:numId="5" w16cid:durableId="1157454134">
    <w:abstractNumId w:val="6"/>
  </w:num>
  <w:num w:numId="6" w16cid:durableId="1455831013">
    <w:abstractNumId w:val="12"/>
  </w:num>
  <w:num w:numId="7" w16cid:durableId="579023626">
    <w:abstractNumId w:val="15"/>
  </w:num>
  <w:num w:numId="8" w16cid:durableId="1855344596">
    <w:abstractNumId w:val="5"/>
  </w:num>
  <w:num w:numId="9" w16cid:durableId="731199625">
    <w:abstractNumId w:val="4"/>
  </w:num>
  <w:num w:numId="10" w16cid:durableId="1798643643">
    <w:abstractNumId w:val="10"/>
  </w:num>
  <w:num w:numId="11" w16cid:durableId="621419100">
    <w:abstractNumId w:val="14"/>
  </w:num>
  <w:num w:numId="12" w16cid:durableId="1972787429">
    <w:abstractNumId w:val="2"/>
  </w:num>
  <w:num w:numId="13" w16cid:durableId="1921912141">
    <w:abstractNumId w:val="7"/>
  </w:num>
  <w:num w:numId="14" w16cid:durableId="1847941593">
    <w:abstractNumId w:val="8"/>
  </w:num>
  <w:num w:numId="15" w16cid:durableId="577909584">
    <w:abstractNumId w:val="9"/>
  </w:num>
  <w:num w:numId="16" w16cid:durableId="8674520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C40620"/>
    <w:rsid w:val="00001706"/>
    <w:rsid w:val="000025B6"/>
    <w:rsid w:val="00004B74"/>
    <w:rsid w:val="00012D16"/>
    <w:rsid w:val="00013B9B"/>
    <w:rsid w:val="0001431A"/>
    <w:rsid w:val="0001573F"/>
    <w:rsid w:val="00016C3F"/>
    <w:rsid w:val="0002671A"/>
    <w:rsid w:val="00026A57"/>
    <w:rsid w:val="00032FBA"/>
    <w:rsid w:val="000426C0"/>
    <w:rsid w:val="000426E8"/>
    <w:rsid w:val="0004507E"/>
    <w:rsid w:val="00047607"/>
    <w:rsid w:val="000553FD"/>
    <w:rsid w:val="00057411"/>
    <w:rsid w:val="000623C6"/>
    <w:rsid w:val="000717A8"/>
    <w:rsid w:val="000733AE"/>
    <w:rsid w:val="000810A3"/>
    <w:rsid w:val="0008212F"/>
    <w:rsid w:val="00082595"/>
    <w:rsid w:val="000829F4"/>
    <w:rsid w:val="00087BD3"/>
    <w:rsid w:val="000921C1"/>
    <w:rsid w:val="00096FB5"/>
    <w:rsid w:val="000A385C"/>
    <w:rsid w:val="000A6272"/>
    <w:rsid w:val="000B0BE0"/>
    <w:rsid w:val="000B2DF7"/>
    <w:rsid w:val="000B3DBE"/>
    <w:rsid w:val="000B72E9"/>
    <w:rsid w:val="000B7860"/>
    <w:rsid w:val="000C34C1"/>
    <w:rsid w:val="000C68A2"/>
    <w:rsid w:val="000C6EC3"/>
    <w:rsid w:val="000D06B6"/>
    <w:rsid w:val="000E1586"/>
    <w:rsid w:val="000E431E"/>
    <w:rsid w:val="000E503C"/>
    <w:rsid w:val="000F1729"/>
    <w:rsid w:val="000F2E7E"/>
    <w:rsid w:val="000F4781"/>
    <w:rsid w:val="0011443A"/>
    <w:rsid w:val="00116C1B"/>
    <w:rsid w:val="00120E77"/>
    <w:rsid w:val="00130172"/>
    <w:rsid w:val="00130837"/>
    <w:rsid w:val="00131111"/>
    <w:rsid w:val="00140C15"/>
    <w:rsid w:val="00141EC7"/>
    <w:rsid w:val="00142D08"/>
    <w:rsid w:val="001452D9"/>
    <w:rsid w:val="00165985"/>
    <w:rsid w:val="001702C5"/>
    <w:rsid w:val="00177EDB"/>
    <w:rsid w:val="00192875"/>
    <w:rsid w:val="001939AD"/>
    <w:rsid w:val="00194185"/>
    <w:rsid w:val="00195FE6"/>
    <w:rsid w:val="001A117F"/>
    <w:rsid w:val="001A2B3C"/>
    <w:rsid w:val="001A6795"/>
    <w:rsid w:val="001A6EA9"/>
    <w:rsid w:val="001A7C87"/>
    <w:rsid w:val="001B061F"/>
    <w:rsid w:val="001B4611"/>
    <w:rsid w:val="001C17BC"/>
    <w:rsid w:val="001C4D47"/>
    <w:rsid w:val="001D0E7F"/>
    <w:rsid w:val="001D3776"/>
    <w:rsid w:val="001D504A"/>
    <w:rsid w:val="001D6390"/>
    <w:rsid w:val="001D675B"/>
    <w:rsid w:val="001D6E6F"/>
    <w:rsid w:val="001E1EEE"/>
    <w:rsid w:val="001E343E"/>
    <w:rsid w:val="001E56A7"/>
    <w:rsid w:val="001E71C7"/>
    <w:rsid w:val="001F036E"/>
    <w:rsid w:val="001F2622"/>
    <w:rsid w:val="001F511F"/>
    <w:rsid w:val="001F5C6B"/>
    <w:rsid w:val="001F5D21"/>
    <w:rsid w:val="00202FE5"/>
    <w:rsid w:val="00204650"/>
    <w:rsid w:val="00206FC2"/>
    <w:rsid w:val="00211934"/>
    <w:rsid w:val="00212432"/>
    <w:rsid w:val="00216049"/>
    <w:rsid w:val="002160AD"/>
    <w:rsid w:val="002167F3"/>
    <w:rsid w:val="002218B1"/>
    <w:rsid w:val="00223915"/>
    <w:rsid w:val="00223C19"/>
    <w:rsid w:val="002251F8"/>
    <w:rsid w:val="00232DAF"/>
    <w:rsid w:val="00234F58"/>
    <w:rsid w:val="0024433B"/>
    <w:rsid w:val="002451B3"/>
    <w:rsid w:val="002502CD"/>
    <w:rsid w:val="00251FA2"/>
    <w:rsid w:val="00252931"/>
    <w:rsid w:val="002548E4"/>
    <w:rsid w:val="00254AB5"/>
    <w:rsid w:val="00255260"/>
    <w:rsid w:val="00260184"/>
    <w:rsid w:val="00266B90"/>
    <w:rsid w:val="002703C9"/>
    <w:rsid w:val="00275EA7"/>
    <w:rsid w:val="0027721D"/>
    <w:rsid w:val="002774BC"/>
    <w:rsid w:val="00277E8F"/>
    <w:rsid w:val="0028324B"/>
    <w:rsid w:val="00295497"/>
    <w:rsid w:val="002A205A"/>
    <w:rsid w:val="002A5539"/>
    <w:rsid w:val="002A5555"/>
    <w:rsid w:val="002A63CF"/>
    <w:rsid w:val="002A66E5"/>
    <w:rsid w:val="002C13D1"/>
    <w:rsid w:val="002C7F1F"/>
    <w:rsid w:val="002D0335"/>
    <w:rsid w:val="002D0E42"/>
    <w:rsid w:val="002D3EDC"/>
    <w:rsid w:val="002D5574"/>
    <w:rsid w:val="002D7459"/>
    <w:rsid w:val="002E5D27"/>
    <w:rsid w:val="002F54BE"/>
    <w:rsid w:val="002F76D5"/>
    <w:rsid w:val="00303DDC"/>
    <w:rsid w:val="00305595"/>
    <w:rsid w:val="003060E9"/>
    <w:rsid w:val="00314FCD"/>
    <w:rsid w:val="003369C6"/>
    <w:rsid w:val="003413C6"/>
    <w:rsid w:val="00342144"/>
    <w:rsid w:val="003424B1"/>
    <w:rsid w:val="00346709"/>
    <w:rsid w:val="0035082F"/>
    <w:rsid w:val="0036132E"/>
    <w:rsid w:val="00370929"/>
    <w:rsid w:val="00372BAD"/>
    <w:rsid w:val="003731A9"/>
    <w:rsid w:val="00374A97"/>
    <w:rsid w:val="0037757D"/>
    <w:rsid w:val="00377B6F"/>
    <w:rsid w:val="0038221A"/>
    <w:rsid w:val="00386912"/>
    <w:rsid w:val="00390814"/>
    <w:rsid w:val="003956EC"/>
    <w:rsid w:val="003A6D17"/>
    <w:rsid w:val="003B0243"/>
    <w:rsid w:val="003B03C8"/>
    <w:rsid w:val="003B55E3"/>
    <w:rsid w:val="003C3DFA"/>
    <w:rsid w:val="003C55AA"/>
    <w:rsid w:val="003C56A0"/>
    <w:rsid w:val="003D0C9E"/>
    <w:rsid w:val="003D35D2"/>
    <w:rsid w:val="003D7073"/>
    <w:rsid w:val="003D7156"/>
    <w:rsid w:val="003E1368"/>
    <w:rsid w:val="003E3B2D"/>
    <w:rsid w:val="003E4C73"/>
    <w:rsid w:val="003F7985"/>
    <w:rsid w:val="00402BD6"/>
    <w:rsid w:val="004244D2"/>
    <w:rsid w:val="00432EF5"/>
    <w:rsid w:val="00433737"/>
    <w:rsid w:val="004356A6"/>
    <w:rsid w:val="00435EDD"/>
    <w:rsid w:val="00441E06"/>
    <w:rsid w:val="00442B96"/>
    <w:rsid w:val="00443D23"/>
    <w:rsid w:val="00452E02"/>
    <w:rsid w:val="0045529F"/>
    <w:rsid w:val="00455C17"/>
    <w:rsid w:val="00463B7A"/>
    <w:rsid w:val="004659DC"/>
    <w:rsid w:val="0046609C"/>
    <w:rsid w:val="00466DF2"/>
    <w:rsid w:val="004832AF"/>
    <w:rsid w:val="00483A35"/>
    <w:rsid w:val="00490C2D"/>
    <w:rsid w:val="00493C68"/>
    <w:rsid w:val="00496091"/>
    <w:rsid w:val="004966F8"/>
    <w:rsid w:val="00497023"/>
    <w:rsid w:val="004A3749"/>
    <w:rsid w:val="004A658D"/>
    <w:rsid w:val="004A6A10"/>
    <w:rsid w:val="004B1D53"/>
    <w:rsid w:val="004B581D"/>
    <w:rsid w:val="004B636A"/>
    <w:rsid w:val="004B6836"/>
    <w:rsid w:val="004B6ACA"/>
    <w:rsid w:val="004D24A6"/>
    <w:rsid w:val="004D328F"/>
    <w:rsid w:val="004D43E9"/>
    <w:rsid w:val="004D549A"/>
    <w:rsid w:val="004D578D"/>
    <w:rsid w:val="004D76A9"/>
    <w:rsid w:val="004D79BF"/>
    <w:rsid w:val="004E1B98"/>
    <w:rsid w:val="004E2AC3"/>
    <w:rsid w:val="004E2CB0"/>
    <w:rsid w:val="004E4AA7"/>
    <w:rsid w:val="004E7BAA"/>
    <w:rsid w:val="004F1F02"/>
    <w:rsid w:val="00510C3B"/>
    <w:rsid w:val="00512CCB"/>
    <w:rsid w:val="005133BE"/>
    <w:rsid w:val="00520E05"/>
    <w:rsid w:val="00521362"/>
    <w:rsid w:val="005225DF"/>
    <w:rsid w:val="0052405F"/>
    <w:rsid w:val="005243AD"/>
    <w:rsid w:val="005251BD"/>
    <w:rsid w:val="00526ED2"/>
    <w:rsid w:val="0052795F"/>
    <w:rsid w:val="00533F45"/>
    <w:rsid w:val="0054001B"/>
    <w:rsid w:val="00540050"/>
    <w:rsid w:val="0054239D"/>
    <w:rsid w:val="005476E7"/>
    <w:rsid w:val="00556EB3"/>
    <w:rsid w:val="00565516"/>
    <w:rsid w:val="00567514"/>
    <w:rsid w:val="00585455"/>
    <w:rsid w:val="00591A4B"/>
    <w:rsid w:val="0059495B"/>
    <w:rsid w:val="00596810"/>
    <w:rsid w:val="005A01AB"/>
    <w:rsid w:val="005A5677"/>
    <w:rsid w:val="005B4D20"/>
    <w:rsid w:val="005C22FD"/>
    <w:rsid w:val="005D3872"/>
    <w:rsid w:val="005D408A"/>
    <w:rsid w:val="005D690B"/>
    <w:rsid w:val="005D7AE4"/>
    <w:rsid w:val="005D7E73"/>
    <w:rsid w:val="005E050A"/>
    <w:rsid w:val="005E0DB2"/>
    <w:rsid w:val="00601BA3"/>
    <w:rsid w:val="00611D45"/>
    <w:rsid w:val="00614583"/>
    <w:rsid w:val="00621D38"/>
    <w:rsid w:val="00622A9F"/>
    <w:rsid w:val="00626730"/>
    <w:rsid w:val="00626990"/>
    <w:rsid w:val="006307E4"/>
    <w:rsid w:val="00634D9B"/>
    <w:rsid w:val="00642295"/>
    <w:rsid w:val="00647775"/>
    <w:rsid w:val="00647BC0"/>
    <w:rsid w:val="006611DA"/>
    <w:rsid w:val="006652D9"/>
    <w:rsid w:val="0067160C"/>
    <w:rsid w:val="0067481E"/>
    <w:rsid w:val="00674A77"/>
    <w:rsid w:val="00676AA9"/>
    <w:rsid w:val="00680A9F"/>
    <w:rsid w:val="00683320"/>
    <w:rsid w:val="006857BC"/>
    <w:rsid w:val="00686953"/>
    <w:rsid w:val="0069066B"/>
    <w:rsid w:val="00692046"/>
    <w:rsid w:val="00695024"/>
    <w:rsid w:val="00695E50"/>
    <w:rsid w:val="0069641A"/>
    <w:rsid w:val="006A02EF"/>
    <w:rsid w:val="006A13ED"/>
    <w:rsid w:val="006A76A5"/>
    <w:rsid w:val="006A7BB8"/>
    <w:rsid w:val="006B351C"/>
    <w:rsid w:val="006B4572"/>
    <w:rsid w:val="006C1967"/>
    <w:rsid w:val="006C5B3E"/>
    <w:rsid w:val="006C7DCF"/>
    <w:rsid w:val="006D0771"/>
    <w:rsid w:val="006D1D30"/>
    <w:rsid w:val="006D2092"/>
    <w:rsid w:val="006D6004"/>
    <w:rsid w:val="006F16F2"/>
    <w:rsid w:val="006F28E0"/>
    <w:rsid w:val="006F3FEB"/>
    <w:rsid w:val="006F4890"/>
    <w:rsid w:val="006F6217"/>
    <w:rsid w:val="006F6488"/>
    <w:rsid w:val="007023A7"/>
    <w:rsid w:val="00703335"/>
    <w:rsid w:val="0070382C"/>
    <w:rsid w:val="00705D6D"/>
    <w:rsid w:val="0071028E"/>
    <w:rsid w:val="00710D22"/>
    <w:rsid w:val="00712C05"/>
    <w:rsid w:val="00713ED5"/>
    <w:rsid w:val="007160DD"/>
    <w:rsid w:val="00727CD7"/>
    <w:rsid w:val="00730740"/>
    <w:rsid w:val="00732A13"/>
    <w:rsid w:val="00732AE6"/>
    <w:rsid w:val="007337FC"/>
    <w:rsid w:val="0073575C"/>
    <w:rsid w:val="007403B5"/>
    <w:rsid w:val="00743111"/>
    <w:rsid w:val="00744040"/>
    <w:rsid w:val="007444B1"/>
    <w:rsid w:val="007530D4"/>
    <w:rsid w:val="00756127"/>
    <w:rsid w:val="0076587C"/>
    <w:rsid w:val="007703BC"/>
    <w:rsid w:val="007820F3"/>
    <w:rsid w:val="0078479A"/>
    <w:rsid w:val="007905AD"/>
    <w:rsid w:val="00794EA7"/>
    <w:rsid w:val="007A127C"/>
    <w:rsid w:val="007A2640"/>
    <w:rsid w:val="007A2DC4"/>
    <w:rsid w:val="007B0FFA"/>
    <w:rsid w:val="007B4002"/>
    <w:rsid w:val="007B53CF"/>
    <w:rsid w:val="007B5FB8"/>
    <w:rsid w:val="007C09CD"/>
    <w:rsid w:val="007C6F4B"/>
    <w:rsid w:val="007C770A"/>
    <w:rsid w:val="007D0C96"/>
    <w:rsid w:val="007D2B0E"/>
    <w:rsid w:val="007E4460"/>
    <w:rsid w:val="007E5C9D"/>
    <w:rsid w:val="007F0481"/>
    <w:rsid w:val="007F084A"/>
    <w:rsid w:val="007F3999"/>
    <w:rsid w:val="00800223"/>
    <w:rsid w:val="008030E1"/>
    <w:rsid w:val="00811B0D"/>
    <w:rsid w:val="00811D96"/>
    <w:rsid w:val="00813511"/>
    <w:rsid w:val="00813704"/>
    <w:rsid w:val="00821240"/>
    <w:rsid w:val="00822AAA"/>
    <w:rsid w:val="00824DC7"/>
    <w:rsid w:val="00826797"/>
    <w:rsid w:val="008273C8"/>
    <w:rsid w:val="008328B5"/>
    <w:rsid w:val="00833832"/>
    <w:rsid w:val="00833B40"/>
    <w:rsid w:val="008407A3"/>
    <w:rsid w:val="0084349F"/>
    <w:rsid w:val="0084362C"/>
    <w:rsid w:val="00844B99"/>
    <w:rsid w:val="008466C9"/>
    <w:rsid w:val="00851A54"/>
    <w:rsid w:val="00855882"/>
    <w:rsid w:val="00856A7D"/>
    <w:rsid w:val="008615BC"/>
    <w:rsid w:val="00880D15"/>
    <w:rsid w:val="00880D8B"/>
    <w:rsid w:val="00882214"/>
    <w:rsid w:val="008847F0"/>
    <w:rsid w:val="00887379"/>
    <w:rsid w:val="0089204C"/>
    <w:rsid w:val="008932E9"/>
    <w:rsid w:val="00894EDA"/>
    <w:rsid w:val="00897594"/>
    <w:rsid w:val="008A23B8"/>
    <w:rsid w:val="008A3C94"/>
    <w:rsid w:val="008A6801"/>
    <w:rsid w:val="008A6EFD"/>
    <w:rsid w:val="008A7D18"/>
    <w:rsid w:val="008C0618"/>
    <w:rsid w:val="008C3CBB"/>
    <w:rsid w:val="008D0492"/>
    <w:rsid w:val="008D0782"/>
    <w:rsid w:val="008D1183"/>
    <w:rsid w:val="008D332C"/>
    <w:rsid w:val="008D477E"/>
    <w:rsid w:val="008E1A38"/>
    <w:rsid w:val="008E28EC"/>
    <w:rsid w:val="008E385E"/>
    <w:rsid w:val="008E4C70"/>
    <w:rsid w:val="008E7114"/>
    <w:rsid w:val="008F1047"/>
    <w:rsid w:val="008F5DCD"/>
    <w:rsid w:val="008F7B13"/>
    <w:rsid w:val="009001B0"/>
    <w:rsid w:val="0090038B"/>
    <w:rsid w:val="00901BDC"/>
    <w:rsid w:val="00904156"/>
    <w:rsid w:val="00913AA7"/>
    <w:rsid w:val="00914378"/>
    <w:rsid w:val="00914898"/>
    <w:rsid w:val="00925B0D"/>
    <w:rsid w:val="00927300"/>
    <w:rsid w:val="00934D92"/>
    <w:rsid w:val="00936281"/>
    <w:rsid w:val="00940AC2"/>
    <w:rsid w:val="009478E4"/>
    <w:rsid w:val="00947BCD"/>
    <w:rsid w:val="00954B7A"/>
    <w:rsid w:val="0095723E"/>
    <w:rsid w:val="00964715"/>
    <w:rsid w:val="00967438"/>
    <w:rsid w:val="00970CDD"/>
    <w:rsid w:val="00971F2E"/>
    <w:rsid w:val="00973348"/>
    <w:rsid w:val="0097425E"/>
    <w:rsid w:val="009753C6"/>
    <w:rsid w:val="0098084A"/>
    <w:rsid w:val="00982772"/>
    <w:rsid w:val="00982CFE"/>
    <w:rsid w:val="00982DB6"/>
    <w:rsid w:val="00986EDE"/>
    <w:rsid w:val="00995AE0"/>
    <w:rsid w:val="009969EB"/>
    <w:rsid w:val="009A0035"/>
    <w:rsid w:val="009A0204"/>
    <w:rsid w:val="009A166E"/>
    <w:rsid w:val="009A425C"/>
    <w:rsid w:val="009A4BF0"/>
    <w:rsid w:val="009A4C23"/>
    <w:rsid w:val="009A6EEB"/>
    <w:rsid w:val="009B1719"/>
    <w:rsid w:val="009B47EF"/>
    <w:rsid w:val="009C5030"/>
    <w:rsid w:val="009C687E"/>
    <w:rsid w:val="009D0210"/>
    <w:rsid w:val="009D3BBF"/>
    <w:rsid w:val="009D7F52"/>
    <w:rsid w:val="009E1B1C"/>
    <w:rsid w:val="009E374E"/>
    <w:rsid w:val="009E7475"/>
    <w:rsid w:val="009F0DF7"/>
    <w:rsid w:val="009F25FE"/>
    <w:rsid w:val="009F4321"/>
    <w:rsid w:val="009F500F"/>
    <w:rsid w:val="00A00E90"/>
    <w:rsid w:val="00A02EAF"/>
    <w:rsid w:val="00A12B15"/>
    <w:rsid w:val="00A17943"/>
    <w:rsid w:val="00A20CD2"/>
    <w:rsid w:val="00A23374"/>
    <w:rsid w:val="00A3220C"/>
    <w:rsid w:val="00A32DA2"/>
    <w:rsid w:val="00A350F8"/>
    <w:rsid w:val="00A37778"/>
    <w:rsid w:val="00A377F0"/>
    <w:rsid w:val="00A41B8A"/>
    <w:rsid w:val="00A43198"/>
    <w:rsid w:val="00A464C0"/>
    <w:rsid w:val="00A5042E"/>
    <w:rsid w:val="00A52F72"/>
    <w:rsid w:val="00A622F1"/>
    <w:rsid w:val="00A672BE"/>
    <w:rsid w:val="00A74F53"/>
    <w:rsid w:val="00A814CE"/>
    <w:rsid w:val="00A82B2B"/>
    <w:rsid w:val="00A9034E"/>
    <w:rsid w:val="00A91689"/>
    <w:rsid w:val="00A9214F"/>
    <w:rsid w:val="00A933A4"/>
    <w:rsid w:val="00A94C52"/>
    <w:rsid w:val="00AA09AB"/>
    <w:rsid w:val="00AA2DCA"/>
    <w:rsid w:val="00AB132A"/>
    <w:rsid w:val="00AC65AB"/>
    <w:rsid w:val="00AD1C8A"/>
    <w:rsid w:val="00AD459C"/>
    <w:rsid w:val="00AE42B6"/>
    <w:rsid w:val="00AE5459"/>
    <w:rsid w:val="00AE6862"/>
    <w:rsid w:val="00AE6908"/>
    <w:rsid w:val="00AF5E20"/>
    <w:rsid w:val="00AF6912"/>
    <w:rsid w:val="00AF7001"/>
    <w:rsid w:val="00B01640"/>
    <w:rsid w:val="00B246AE"/>
    <w:rsid w:val="00B26C51"/>
    <w:rsid w:val="00B30933"/>
    <w:rsid w:val="00B337FB"/>
    <w:rsid w:val="00B35AE4"/>
    <w:rsid w:val="00B432B3"/>
    <w:rsid w:val="00B45C66"/>
    <w:rsid w:val="00B47F57"/>
    <w:rsid w:val="00B512E8"/>
    <w:rsid w:val="00B51391"/>
    <w:rsid w:val="00B54700"/>
    <w:rsid w:val="00B61CB8"/>
    <w:rsid w:val="00B64F02"/>
    <w:rsid w:val="00B66390"/>
    <w:rsid w:val="00B71574"/>
    <w:rsid w:val="00B71E0F"/>
    <w:rsid w:val="00B7273E"/>
    <w:rsid w:val="00B72AC9"/>
    <w:rsid w:val="00B77EA5"/>
    <w:rsid w:val="00B829F8"/>
    <w:rsid w:val="00B91D19"/>
    <w:rsid w:val="00B96469"/>
    <w:rsid w:val="00B97CF5"/>
    <w:rsid w:val="00BA5835"/>
    <w:rsid w:val="00BB35E7"/>
    <w:rsid w:val="00BB5340"/>
    <w:rsid w:val="00BB576C"/>
    <w:rsid w:val="00BD0332"/>
    <w:rsid w:val="00BD4C8C"/>
    <w:rsid w:val="00BD574A"/>
    <w:rsid w:val="00BE126B"/>
    <w:rsid w:val="00BE569D"/>
    <w:rsid w:val="00BF3BE4"/>
    <w:rsid w:val="00BF3FD6"/>
    <w:rsid w:val="00BF4DAA"/>
    <w:rsid w:val="00BF77DC"/>
    <w:rsid w:val="00C10B03"/>
    <w:rsid w:val="00C10EC9"/>
    <w:rsid w:val="00C1185C"/>
    <w:rsid w:val="00C137D1"/>
    <w:rsid w:val="00C15274"/>
    <w:rsid w:val="00C218FD"/>
    <w:rsid w:val="00C24445"/>
    <w:rsid w:val="00C27953"/>
    <w:rsid w:val="00C32680"/>
    <w:rsid w:val="00C331DA"/>
    <w:rsid w:val="00C40620"/>
    <w:rsid w:val="00C531F7"/>
    <w:rsid w:val="00C54889"/>
    <w:rsid w:val="00C54A37"/>
    <w:rsid w:val="00C60208"/>
    <w:rsid w:val="00C61CE4"/>
    <w:rsid w:val="00C644AD"/>
    <w:rsid w:val="00C648FE"/>
    <w:rsid w:val="00C65305"/>
    <w:rsid w:val="00C71DD4"/>
    <w:rsid w:val="00C73196"/>
    <w:rsid w:val="00C74CC9"/>
    <w:rsid w:val="00C77817"/>
    <w:rsid w:val="00C865D4"/>
    <w:rsid w:val="00C904CE"/>
    <w:rsid w:val="00C96C42"/>
    <w:rsid w:val="00C96D5B"/>
    <w:rsid w:val="00CA2228"/>
    <w:rsid w:val="00CA5239"/>
    <w:rsid w:val="00CB2F30"/>
    <w:rsid w:val="00CB4033"/>
    <w:rsid w:val="00CB539B"/>
    <w:rsid w:val="00CB5AC5"/>
    <w:rsid w:val="00CB5DDF"/>
    <w:rsid w:val="00CB6A3E"/>
    <w:rsid w:val="00CD30F9"/>
    <w:rsid w:val="00CD38E8"/>
    <w:rsid w:val="00CD4B71"/>
    <w:rsid w:val="00CE1756"/>
    <w:rsid w:val="00CE4CA6"/>
    <w:rsid w:val="00CF3A90"/>
    <w:rsid w:val="00D02523"/>
    <w:rsid w:val="00D05B34"/>
    <w:rsid w:val="00D1241E"/>
    <w:rsid w:val="00D12B33"/>
    <w:rsid w:val="00D131B1"/>
    <w:rsid w:val="00D14C11"/>
    <w:rsid w:val="00D16C14"/>
    <w:rsid w:val="00D24058"/>
    <w:rsid w:val="00D25C92"/>
    <w:rsid w:val="00D3156E"/>
    <w:rsid w:val="00D3214D"/>
    <w:rsid w:val="00D322DC"/>
    <w:rsid w:val="00D33E07"/>
    <w:rsid w:val="00D34A5A"/>
    <w:rsid w:val="00D35C5A"/>
    <w:rsid w:val="00D37F3F"/>
    <w:rsid w:val="00D4049D"/>
    <w:rsid w:val="00D4659C"/>
    <w:rsid w:val="00D506CA"/>
    <w:rsid w:val="00D56409"/>
    <w:rsid w:val="00D61B3F"/>
    <w:rsid w:val="00D65D80"/>
    <w:rsid w:val="00D7313F"/>
    <w:rsid w:val="00D8052F"/>
    <w:rsid w:val="00D81F13"/>
    <w:rsid w:val="00D8319E"/>
    <w:rsid w:val="00D87A1A"/>
    <w:rsid w:val="00D87CFB"/>
    <w:rsid w:val="00D91312"/>
    <w:rsid w:val="00D960D0"/>
    <w:rsid w:val="00DA0FED"/>
    <w:rsid w:val="00DA2675"/>
    <w:rsid w:val="00DB07BE"/>
    <w:rsid w:val="00DB15AD"/>
    <w:rsid w:val="00DC2D3A"/>
    <w:rsid w:val="00DC6242"/>
    <w:rsid w:val="00DE1CCE"/>
    <w:rsid w:val="00DE40A7"/>
    <w:rsid w:val="00DE6837"/>
    <w:rsid w:val="00DE6D84"/>
    <w:rsid w:val="00DF2B69"/>
    <w:rsid w:val="00DF5E0C"/>
    <w:rsid w:val="00E0040E"/>
    <w:rsid w:val="00E02666"/>
    <w:rsid w:val="00E06E70"/>
    <w:rsid w:val="00E163FC"/>
    <w:rsid w:val="00E16EDE"/>
    <w:rsid w:val="00E20099"/>
    <w:rsid w:val="00E207A2"/>
    <w:rsid w:val="00E226AB"/>
    <w:rsid w:val="00E2361C"/>
    <w:rsid w:val="00E24026"/>
    <w:rsid w:val="00E261DC"/>
    <w:rsid w:val="00E333EA"/>
    <w:rsid w:val="00E34C6E"/>
    <w:rsid w:val="00E35E31"/>
    <w:rsid w:val="00E40E54"/>
    <w:rsid w:val="00E42B9E"/>
    <w:rsid w:val="00E4365D"/>
    <w:rsid w:val="00E45C58"/>
    <w:rsid w:val="00E550E3"/>
    <w:rsid w:val="00E639A5"/>
    <w:rsid w:val="00E6538F"/>
    <w:rsid w:val="00E66859"/>
    <w:rsid w:val="00E716E4"/>
    <w:rsid w:val="00E77B02"/>
    <w:rsid w:val="00E77EDD"/>
    <w:rsid w:val="00E80E5C"/>
    <w:rsid w:val="00EA7986"/>
    <w:rsid w:val="00EB343E"/>
    <w:rsid w:val="00EC1824"/>
    <w:rsid w:val="00EC1F75"/>
    <w:rsid w:val="00EC24AB"/>
    <w:rsid w:val="00EC4B85"/>
    <w:rsid w:val="00ED015D"/>
    <w:rsid w:val="00ED073F"/>
    <w:rsid w:val="00ED0AB2"/>
    <w:rsid w:val="00EE2B65"/>
    <w:rsid w:val="00EF331A"/>
    <w:rsid w:val="00F02C99"/>
    <w:rsid w:val="00F06B2B"/>
    <w:rsid w:val="00F12236"/>
    <w:rsid w:val="00F12AA6"/>
    <w:rsid w:val="00F150BD"/>
    <w:rsid w:val="00F2315F"/>
    <w:rsid w:val="00F244C4"/>
    <w:rsid w:val="00F25619"/>
    <w:rsid w:val="00F333E9"/>
    <w:rsid w:val="00F34C85"/>
    <w:rsid w:val="00F3604D"/>
    <w:rsid w:val="00F416D7"/>
    <w:rsid w:val="00F4768E"/>
    <w:rsid w:val="00F51CC2"/>
    <w:rsid w:val="00F546BB"/>
    <w:rsid w:val="00F55EEC"/>
    <w:rsid w:val="00F55FFE"/>
    <w:rsid w:val="00F5703F"/>
    <w:rsid w:val="00F638BF"/>
    <w:rsid w:val="00F63A55"/>
    <w:rsid w:val="00F70421"/>
    <w:rsid w:val="00F7048E"/>
    <w:rsid w:val="00F74855"/>
    <w:rsid w:val="00F77927"/>
    <w:rsid w:val="00F85CBC"/>
    <w:rsid w:val="00F9191E"/>
    <w:rsid w:val="00F9523F"/>
    <w:rsid w:val="00F95D22"/>
    <w:rsid w:val="00F96CEF"/>
    <w:rsid w:val="00FA4FE5"/>
    <w:rsid w:val="00FA6E24"/>
    <w:rsid w:val="00FA7A70"/>
    <w:rsid w:val="00FB0024"/>
    <w:rsid w:val="00FB0F96"/>
    <w:rsid w:val="00FB167F"/>
    <w:rsid w:val="00FB3AFC"/>
    <w:rsid w:val="00FD4DD5"/>
    <w:rsid w:val="00FE72D7"/>
    <w:rsid w:val="00FF1979"/>
    <w:rsid w:val="00FF6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CB5F"/>
  <w15:docId w15:val="{F90189EF-2A79-4B6C-B390-A5936111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1 Char,Footnote Text Char Char Char,Footnote Text Char1 Char Char1 Char,Footnote Text Char Char Char Char Char,Fußnote,FOOTNOTES"/>
    <w:basedOn w:val="Normal"/>
    <w:link w:val="FootnoteTextChar"/>
    <w:uiPriority w:val="99"/>
    <w:unhideWhenUsed/>
    <w:qFormat/>
    <w:rsid w:val="004659DC"/>
    <w:pPr>
      <w:spacing w:after="80"/>
    </w:pPr>
    <w:rPr>
      <w:rFonts w:ascii="Times New Roman" w:hAnsi="Times New Roman"/>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1 Char Char"/>
    <w:link w:val="FootnoteText"/>
    <w:uiPriority w:val="99"/>
    <w:qFormat/>
    <w:rsid w:val="004659DC"/>
    <w:rPr>
      <w:rFonts w:ascii="Times New Roman" w:hAnsi="Times New Roman"/>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qFormat/>
    <w:rsid w:val="00C40620"/>
    <w:rPr>
      <w:vertAlign w:val="superscript"/>
    </w:rPr>
  </w:style>
  <w:style w:type="paragraph" w:customStyle="1" w:styleId="SUPERSChar">
    <w:name w:val="SUPERS Char"/>
    <w:aliases w:val="EN Footnote Reference Char"/>
    <w:basedOn w:val="Normal"/>
    <w:link w:val="FootnoteReference"/>
    <w:uiPriority w:val="99"/>
    <w:rsid w:val="00C40620"/>
    <w:pPr>
      <w:spacing w:after="160" w:line="240" w:lineRule="exact"/>
    </w:pPr>
    <w:rPr>
      <w:sz w:val="20"/>
      <w:szCs w:val="20"/>
      <w:vertAlign w:val="superscript"/>
      <w:lang w:eastAsia="en-GB"/>
    </w:rPr>
  </w:style>
  <w:style w:type="character" w:styleId="Hyperlink">
    <w:name w:val="Hyperlink"/>
    <w:uiPriority w:val="99"/>
    <w:rsid w:val="00C40620"/>
    <w:rPr>
      <w:color w:val="0000FF"/>
      <w:u w:val="single"/>
    </w:rPr>
  </w:style>
  <w:style w:type="table" w:styleId="TableGrid">
    <w:name w:val="Table Grid"/>
    <w:basedOn w:val="TableNormal"/>
    <w:uiPriority w:val="59"/>
    <w:rsid w:val="00C40620"/>
    <w:rPr>
      <w:rFonts w:ascii="Times New Roman" w:hAnsi="Times New Roman"/>
      <w:lang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620"/>
    <w:pPr>
      <w:tabs>
        <w:tab w:val="center" w:pos="4536"/>
        <w:tab w:val="right" w:pos="9072"/>
      </w:tabs>
    </w:pPr>
  </w:style>
  <w:style w:type="character" w:customStyle="1" w:styleId="HeaderChar">
    <w:name w:val="Header Char"/>
    <w:link w:val="Header"/>
    <w:uiPriority w:val="99"/>
    <w:rsid w:val="00C40620"/>
    <w:rPr>
      <w:sz w:val="22"/>
      <w:szCs w:val="22"/>
      <w:lang w:eastAsia="en-US"/>
    </w:rPr>
  </w:style>
  <w:style w:type="paragraph" w:styleId="Footer">
    <w:name w:val="footer"/>
    <w:basedOn w:val="Normal"/>
    <w:link w:val="FooterChar"/>
    <w:uiPriority w:val="99"/>
    <w:unhideWhenUsed/>
    <w:rsid w:val="00C40620"/>
    <w:pPr>
      <w:tabs>
        <w:tab w:val="center" w:pos="4536"/>
        <w:tab w:val="right" w:pos="9072"/>
      </w:tabs>
    </w:pPr>
  </w:style>
  <w:style w:type="character" w:customStyle="1" w:styleId="FooterChar">
    <w:name w:val="Footer Char"/>
    <w:link w:val="Footer"/>
    <w:uiPriority w:val="99"/>
    <w:rsid w:val="00C40620"/>
    <w:rPr>
      <w:sz w:val="22"/>
      <w:szCs w:val="22"/>
      <w:lang w:eastAsia="en-US"/>
    </w:rPr>
  </w:style>
  <w:style w:type="character" w:styleId="CommentReference">
    <w:name w:val="annotation reference"/>
    <w:uiPriority w:val="99"/>
    <w:semiHidden/>
    <w:unhideWhenUsed/>
    <w:rsid w:val="00712C05"/>
    <w:rPr>
      <w:sz w:val="16"/>
      <w:szCs w:val="16"/>
    </w:rPr>
  </w:style>
  <w:style w:type="paragraph" w:styleId="CommentText">
    <w:name w:val="annotation text"/>
    <w:basedOn w:val="Normal"/>
    <w:link w:val="CommentTextChar"/>
    <w:uiPriority w:val="99"/>
    <w:unhideWhenUsed/>
    <w:rsid w:val="00712C05"/>
    <w:rPr>
      <w:sz w:val="20"/>
      <w:szCs w:val="20"/>
    </w:rPr>
  </w:style>
  <w:style w:type="character" w:customStyle="1" w:styleId="CommentTextChar">
    <w:name w:val="Comment Text Char"/>
    <w:link w:val="CommentText"/>
    <w:uiPriority w:val="99"/>
    <w:rsid w:val="00712C05"/>
    <w:rPr>
      <w:lang w:val="en-GB" w:eastAsia="en-US"/>
    </w:rPr>
  </w:style>
  <w:style w:type="paragraph" w:styleId="CommentSubject">
    <w:name w:val="annotation subject"/>
    <w:basedOn w:val="CommentText"/>
    <w:next w:val="CommentText"/>
    <w:link w:val="CommentSubjectChar"/>
    <w:uiPriority w:val="99"/>
    <w:semiHidden/>
    <w:unhideWhenUsed/>
    <w:rsid w:val="00712C05"/>
    <w:rPr>
      <w:b/>
      <w:bCs/>
    </w:rPr>
  </w:style>
  <w:style w:type="character" w:customStyle="1" w:styleId="CommentSubjectChar">
    <w:name w:val="Comment Subject Char"/>
    <w:link w:val="CommentSubject"/>
    <w:uiPriority w:val="99"/>
    <w:semiHidden/>
    <w:rsid w:val="00712C05"/>
    <w:rPr>
      <w:b/>
      <w:bCs/>
      <w:lang w:val="en-GB" w:eastAsia="en-US"/>
    </w:rPr>
  </w:style>
  <w:style w:type="paragraph" w:styleId="BalloonText">
    <w:name w:val="Balloon Text"/>
    <w:basedOn w:val="Normal"/>
    <w:link w:val="BalloonTextChar"/>
    <w:uiPriority w:val="99"/>
    <w:semiHidden/>
    <w:unhideWhenUsed/>
    <w:rsid w:val="00712C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12C05"/>
    <w:rPr>
      <w:rFonts w:ascii="Segoe UI" w:hAnsi="Segoe UI" w:cs="Segoe UI"/>
      <w:sz w:val="18"/>
      <w:szCs w:val="18"/>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435EDD"/>
    <w:pPr>
      <w:spacing w:after="0" w:line="240" w:lineRule="exact"/>
      <w:jc w:val="both"/>
    </w:pPr>
    <w:rPr>
      <w:rFonts w:ascii="Times New Roman" w:hAnsi="Times New Roman"/>
      <w:sz w:val="24"/>
      <w:vertAlign w:val="superscript"/>
      <w:lang w:val="lv-LV"/>
    </w:rPr>
  </w:style>
  <w:style w:type="paragraph" w:styleId="NormalWeb">
    <w:name w:val="Normal (Web)"/>
    <w:basedOn w:val="Normal"/>
    <w:uiPriority w:val="99"/>
    <w:unhideWhenUsed/>
    <w:rsid w:val="002D0E42"/>
    <w:pPr>
      <w:spacing w:before="100" w:beforeAutospacing="1" w:after="100" w:afterAutospacing="1" w:line="240" w:lineRule="auto"/>
    </w:pPr>
    <w:rPr>
      <w:rFonts w:ascii="Times New Roman" w:eastAsia="Times New Roman" w:hAnsi="Times New Roman"/>
      <w:sz w:val="24"/>
      <w:szCs w:val="24"/>
      <w:lang w:val="en-US"/>
    </w:rPr>
  </w:style>
  <w:style w:type="paragraph" w:styleId="Caption">
    <w:name w:val="caption"/>
    <w:basedOn w:val="Normal"/>
    <w:next w:val="Normal"/>
    <w:autoRedefine/>
    <w:uiPriority w:val="35"/>
    <w:unhideWhenUsed/>
    <w:qFormat/>
    <w:rsid w:val="002E5D27"/>
    <w:pPr>
      <w:keepNext/>
      <w:spacing w:line="240" w:lineRule="auto"/>
      <w:ind w:firstLine="567"/>
      <w:jc w:val="both"/>
    </w:pPr>
    <w:rPr>
      <w:rFonts w:ascii="Times New Roman" w:hAnsi="Times New Roman"/>
      <w:iCs/>
      <w:sz w:val="24"/>
      <w:szCs w:val="24"/>
      <w:lang w:val="lv-LV"/>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52795F"/>
    <w:pPr>
      <w:ind w:left="720"/>
      <w:contextualSpacing/>
    </w:pPr>
  </w:style>
  <w:style w:type="paragraph" w:styleId="BodyText">
    <w:name w:val="Body Text"/>
    <w:basedOn w:val="Normal"/>
    <w:link w:val="BodyTextChar"/>
    <w:uiPriority w:val="99"/>
    <w:unhideWhenUsed/>
    <w:qFormat/>
    <w:rsid w:val="006B351C"/>
    <w:pPr>
      <w:spacing w:after="160" w:line="240" w:lineRule="auto"/>
    </w:pPr>
    <w:rPr>
      <w:rFonts w:ascii="Arial" w:eastAsiaTheme="minorHAnsi" w:hAnsi="Arial" w:cstheme="minorBidi"/>
      <w:sz w:val="20"/>
      <w:szCs w:val="20"/>
      <w:lang w:val="lv-LV"/>
    </w:rPr>
  </w:style>
  <w:style w:type="character" w:customStyle="1" w:styleId="BodyTextChar">
    <w:name w:val="Body Text Char"/>
    <w:basedOn w:val="DefaultParagraphFont"/>
    <w:link w:val="BodyText"/>
    <w:uiPriority w:val="99"/>
    <w:rsid w:val="006B351C"/>
    <w:rPr>
      <w:rFonts w:ascii="Arial" w:eastAsiaTheme="minorHAnsi" w:hAnsi="Arial" w:cstheme="minorBidi"/>
      <w:lang w:eastAsia="en-US"/>
    </w:rPr>
  </w:style>
  <w:style w:type="paragraph" w:customStyle="1" w:styleId="Char2">
    <w:name w:val="Char2"/>
    <w:aliases w:val="Char Char Char Char"/>
    <w:basedOn w:val="Normal"/>
    <w:next w:val="Normal"/>
    <w:uiPriority w:val="99"/>
    <w:rsid w:val="006B351C"/>
    <w:pPr>
      <w:spacing w:after="0" w:line="240" w:lineRule="exact"/>
      <w:ind w:firstLine="567"/>
      <w:jc w:val="both"/>
      <w:textAlignment w:val="baseline"/>
    </w:pPr>
    <w:rPr>
      <w:rFonts w:asciiTheme="minorHAnsi" w:eastAsiaTheme="minorHAnsi" w:hAnsiTheme="minorHAnsi" w:cstheme="minorBidi"/>
      <w:color w:val="000000" w:themeColor="text1"/>
      <w:sz w:val="20"/>
      <w:szCs w:val="20"/>
      <w:vertAlign w:val="superscript"/>
      <w:lang w:val="en-US"/>
    </w:rPr>
  </w:style>
  <w:style w:type="paragraph" w:customStyle="1" w:styleId="HeadingText">
    <w:name w:val="Heading Text"/>
    <w:basedOn w:val="BodyText"/>
    <w:next w:val="BodyText"/>
    <w:qFormat/>
    <w:rsid w:val="006B351C"/>
    <w:pPr>
      <w:spacing w:after="80"/>
    </w:pPr>
    <w:rPr>
      <w:b/>
      <w:color w:val="4472C4" w:themeColor="accent1"/>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1C4D47"/>
    <w:rPr>
      <w:sz w:val="22"/>
      <w:szCs w:val="22"/>
      <w:lang w:val="en-GB" w:eastAsia="en-US"/>
    </w:rPr>
  </w:style>
  <w:style w:type="paragraph" w:styleId="Revision">
    <w:name w:val="Revision"/>
    <w:hidden/>
    <w:uiPriority w:val="99"/>
    <w:semiHidden/>
    <w:rsid w:val="000D06B6"/>
    <w:rPr>
      <w:sz w:val="22"/>
      <w:szCs w:val="22"/>
      <w:lang w:val="en-GB" w:eastAsia="en-US"/>
    </w:rPr>
  </w:style>
  <w:style w:type="character" w:styleId="UnresolvedMention">
    <w:name w:val="Unresolved Mention"/>
    <w:basedOn w:val="DefaultParagraphFont"/>
    <w:uiPriority w:val="99"/>
    <w:semiHidden/>
    <w:unhideWhenUsed/>
    <w:rsid w:val="001C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935">
      <w:bodyDiv w:val="1"/>
      <w:marLeft w:val="0"/>
      <w:marRight w:val="0"/>
      <w:marTop w:val="0"/>
      <w:marBottom w:val="0"/>
      <w:divBdr>
        <w:top w:val="none" w:sz="0" w:space="0" w:color="auto"/>
        <w:left w:val="none" w:sz="0" w:space="0" w:color="auto"/>
        <w:bottom w:val="none" w:sz="0" w:space="0" w:color="auto"/>
        <w:right w:val="none" w:sz="0" w:space="0" w:color="auto"/>
      </w:divBdr>
    </w:div>
    <w:div w:id="504587330">
      <w:bodyDiv w:val="1"/>
      <w:marLeft w:val="0"/>
      <w:marRight w:val="0"/>
      <w:marTop w:val="0"/>
      <w:marBottom w:val="0"/>
      <w:divBdr>
        <w:top w:val="none" w:sz="0" w:space="0" w:color="auto"/>
        <w:left w:val="none" w:sz="0" w:space="0" w:color="auto"/>
        <w:bottom w:val="none" w:sz="0" w:space="0" w:color="auto"/>
        <w:right w:val="none" w:sz="0" w:space="0" w:color="auto"/>
      </w:divBdr>
    </w:div>
    <w:div w:id="545679188">
      <w:bodyDiv w:val="1"/>
      <w:marLeft w:val="0"/>
      <w:marRight w:val="0"/>
      <w:marTop w:val="0"/>
      <w:marBottom w:val="0"/>
      <w:divBdr>
        <w:top w:val="none" w:sz="0" w:space="0" w:color="auto"/>
        <w:left w:val="none" w:sz="0" w:space="0" w:color="auto"/>
        <w:bottom w:val="none" w:sz="0" w:space="0" w:color="auto"/>
        <w:right w:val="none" w:sz="0" w:space="0" w:color="auto"/>
      </w:divBdr>
    </w:div>
    <w:div w:id="603726146">
      <w:bodyDiv w:val="1"/>
      <w:marLeft w:val="0"/>
      <w:marRight w:val="0"/>
      <w:marTop w:val="0"/>
      <w:marBottom w:val="0"/>
      <w:divBdr>
        <w:top w:val="none" w:sz="0" w:space="0" w:color="auto"/>
        <w:left w:val="none" w:sz="0" w:space="0" w:color="auto"/>
        <w:bottom w:val="none" w:sz="0" w:space="0" w:color="auto"/>
        <w:right w:val="none" w:sz="0" w:space="0" w:color="auto"/>
      </w:divBdr>
    </w:div>
    <w:div w:id="802161728">
      <w:bodyDiv w:val="1"/>
      <w:marLeft w:val="0"/>
      <w:marRight w:val="0"/>
      <w:marTop w:val="0"/>
      <w:marBottom w:val="0"/>
      <w:divBdr>
        <w:top w:val="none" w:sz="0" w:space="0" w:color="auto"/>
        <w:left w:val="none" w:sz="0" w:space="0" w:color="auto"/>
        <w:bottom w:val="none" w:sz="0" w:space="0" w:color="auto"/>
        <w:right w:val="none" w:sz="0" w:space="0" w:color="auto"/>
      </w:divBdr>
    </w:div>
    <w:div w:id="851721290">
      <w:bodyDiv w:val="1"/>
      <w:marLeft w:val="0"/>
      <w:marRight w:val="0"/>
      <w:marTop w:val="0"/>
      <w:marBottom w:val="0"/>
      <w:divBdr>
        <w:top w:val="none" w:sz="0" w:space="0" w:color="auto"/>
        <w:left w:val="none" w:sz="0" w:space="0" w:color="auto"/>
        <w:bottom w:val="none" w:sz="0" w:space="0" w:color="auto"/>
        <w:right w:val="none" w:sz="0" w:space="0" w:color="auto"/>
      </w:divBdr>
    </w:div>
    <w:div w:id="948462970">
      <w:bodyDiv w:val="1"/>
      <w:marLeft w:val="0"/>
      <w:marRight w:val="0"/>
      <w:marTop w:val="0"/>
      <w:marBottom w:val="0"/>
      <w:divBdr>
        <w:top w:val="none" w:sz="0" w:space="0" w:color="auto"/>
        <w:left w:val="none" w:sz="0" w:space="0" w:color="auto"/>
        <w:bottom w:val="none" w:sz="0" w:space="0" w:color="auto"/>
        <w:right w:val="none" w:sz="0" w:space="0" w:color="auto"/>
      </w:divBdr>
    </w:div>
    <w:div w:id="981351294">
      <w:bodyDiv w:val="1"/>
      <w:marLeft w:val="0"/>
      <w:marRight w:val="0"/>
      <w:marTop w:val="0"/>
      <w:marBottom w:val="0"/>
      <w:divBdr>
        <w:top w:val="none" w:sz="0" w:space="0" w:color="auto"/>
        <w:left w:val="none" w:sz="0" w:space="0" w:color="auto"/>
        <w:bottom w:val="none" w:sz="0" w:space="0" w:color="auto"/>
        <w:right w:val="none" w:sz="0" w:space="0" w:color="auto"/>
      </w:divBdr>
    </w:div>
    <w:div w:id="1305233024">
      <w:bodyDiv w:val="1"/>
      <w:marLeft w:val="0"/>
      <w:marRight w:val="0"/>
      <w:marTop w:val="0"/>
      <w:marBottom w:val="0"/>
      <w:divBdr>
        <w:top w:val="none" w:sz="0" w:space="0" w:color="auto"/>
        <w:left w:val="none" w:sz="0" w:space="0" w:color="auto"/>
        <w:bottom w:val="none" w:sz="0" w:space="0" w:color="auto"/>
        <w:right w:val="none" w:sz="0" w:space="0" w:color="auto"/>
      </w:divBdr>
    </w:div>
    <w:div w:id="1329795830">
      <w:bodyDiv w:val="1"/>
      <w:marLeft w:val="0"/>
      <w:marRight w:val="0"/>
      <w:marTop w:val="0"/>
      <w:marBottom w:val="0"/>
      <w:divBdr>
        <w:top w:val="none" w:sz="0" w:space="0" w:color="auto"/>
        <w:left w:val="none" w:sz="0" w:space="0" w:color="auto"/>
        <w:bottom w:val="none" w:sz="0" w:space="0" w:color="auto"/>
        <w:right w:val="none" w:sz="0" w:space="0" w:color="auto"/>
      </w:divBdr>
    </w:div>
    <w:div w:id="1471093386">
      <w:bodyDiv w:val="1"/>
      <w:marLeft w:val="0"/>
      <w:marRight w:val="0"/>
      <w:marTop w:val="0"/>
      <w:marBottom w:val="0"/>
      <w:divBdr>
        <w:top w:val="none" w:sz="0" w:space="0" w:color="auto"/>
        <w:left w:val="none" w:sz="0" w:space="0" w:color="auto"/>
        <w:bottom w:val="none" w:sz="0" w:space="0" w:color="auto"/>
        <w:right w:val="none" w:sz="0" w:space="0" w:color="auto"/>
      </w:divBdr>
    </w:div>
    <w:div w:id="1571816310">
      <w:bodyDiv w:val="1"/>
      <w:marLeft w:val="0"/>
      <w:marRight w:val="0"/>
      <w:marTop w:val="0"/>
      <w:marBottom w:val="0"/>
      <w:divBdr>
        <w:top w:val="none" w:sz="0" w:space="0" w:color="auto"/>
        <w:left w:val="none" w:sz="0" w:space="0" w:color="auto"/>
        <w:bottom w:val="none" w:sz="0" w:space="0" w:color="auto"/>
        <w:right w:val="none" w:sz="0" w:space="0" w:color="auto"/>
      </w:divBdr>
    </w:div>
    <w:div w:id="1863744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etijumi.mk.gov.lv/sites/default/files/title_file/SM_kartesana_gala_nodevum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etijumi.mk.gov.lv/sites/default/files/title_file/SM_kartesana_gala_nodevum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m.gov.lv/lv/petijumi" TargetMode="External"/><Relationship Id="rId7" Type="http://schemas.openxmlformats.org/officeDocument/2006/relationships/hyperlink" Target="http://ec.europa.eu/competition/sectors/telecommunications/broadband_decisions.pdf" TargetMode="External"/><Relationship Id="rId2" Type="http://schemas.openxmlformats.org/officeDocument/2006/relationships/hyperlink" Target="https://ec.europa.eu/competition-policy/public-consultations/2021-broadband_en" TargetMode="External"/><Relationship Id="rId1" Type="http://schemas.openxmlformats.org/officeDocument/2006/relationships/hyperlink" Target="https://ec.europa.eu/competition-policy/public-consultations/2021-broadband_en" TargetMode="External"/><Relationship Id="rId6" Type="http://schemas.openxmlformats.org/officeDocument/2006/relationships/hyperlink" Target="https://www.sprk.gov.lv/sites/default/files/editor/ESPD/Faili/Parskati/KVALITATESPARSKATS2019.pdf" TargetMode="External"/><Relationship Id="rId5" Type="http://schemas.openxmlformats.org/officeDocument/2006/relationships/hyperlink" Target="https://www.sam.gov.lv/lv/petijumi" TargetMode="External"/><Relationship Id="rId4" Type="http://schemas.openxmlformats.org/officeDocument/2006/relationships/hyperlink" Target="http://ec.europa.eu/regional_policy/sources/docgener/presenta/broadband2011/broadband201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5" ma:contentTypeDescription="Izveidot jaunu dokumentu." ma:contentTypeScope="" ma:versionID="dd3c1a5dd4588ea5746a8e2772359306">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3be5570ef663fd6c2574c7ecc19f2fc4"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A11D8-A354-4613-BF0B-855005D80A60}">
  <ds:schemaRefs>
    <ds:schemaRef ds:uri="http://schemas.openxmlformats.org/officeDocument/2006/bibliography"/>
  </ds:schemaRefs>
</ds:datastoreItem>
</file>

<file path=customXml/itemProps2.xml><?xml version="1.0" encoding="utf-8"?>
<ds:datastoreItem xmlns:ds="http://schemas.openxmlformats.org/officeDocument/2006/customXml" ds:itemID="{F05FDFB2-F1E9-4E1E-8B8B-25BAE63DBFE7}">
  <ds:schemaRefs>
    <ds:schemaRef ds:uri="http://schemas.microsoft.com/office/2006/metadata/properties"/>
    <ds:schemaRef ds:uri="http://schemas.microsoft.com/office/infopath/2007/PartnerControls"/>
    <ds:schemaRef ds:uri="234d7ab5-03dc-45f6-95d1-23cbee68e2dd"/>
    <ds:schemaRef ds:uri="6c47ccd5-4335-469d-87b9-ea97c45db517"/>
  </ds:schemaRefs>
</ds:datastoreItem>
</file>

<file path=customXml/itemProps3.xml><?xml version="1.0" encoding="utf-8"?>
<ds:datastoreItem xmlns:ds="http://schemas.openxmlformats.org/officeDocument/2006/customXml" ds:itemID="{4764562F-D75D-4698-8EF7-7AACA9D7CCB9}">
  <ds:schemaRefs>
    <ds:schemaRef ds:uri="http://schemas.microsoft.com/sharepoint/v3/contenttype/forms"/>
  </ds:schemaRefs>
</ds:datastoreItem>
</file>

<file path=customXml/itemProps4.xml><?xml version="1.0" encoding="utf-8"?>
<ds:datastoreItem xmlns:ds="http://schemas.openxmlformats.org/officeDocument/2006/customXml" ds:itemID="{F7C853D5-3142-4853-A4AD-C3554D9F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3932</TotalTime>
  <Pages>21</Pages>
  <Words>8258</Words>
  <Characters>47073</Characters>
  <Application>Microsoft Office Word</Application>
  <DocSecurity>0</DocSecurity>
  <Lines>392</Lines>
  <Paragraphs>110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55221</CharactersWithSpaces>
  <SharedDoc>false</SharedDoc>
  <HLinks>
    <vt:vector size="42" baseType="variant">
      <vt:variant>
        <vt:i4>3604509</vt:i4>
      </vt:variant>
      <vt:variant>
        <vt:i4>18</vt:i4>
      </vt:variant>
      <vt:variant>
        <vt:i4>0</vt:i4>
      </vt:variant>
      <vt:variant>
        <vt:i4>5</vt:i4>
      </vt:variant>
      <vt:variant>
        <vt:lpwstr>http://ec.europa.eu/competition/sectors/telecommunications/broadband_decisions.pdf</vt:lpwstr>
      </vt:variant>
      <vt:variant>
        <vt:lpwstr/>
      </vt:variant>
      <vt:variant>
        <vt:i4>6488185</vt:i4>
      </vt:variant>
      <vt:variant>
        <vt:i4>15</vt:i4>
      </vt:variant>
      <vt:variant>
        <vt:i4>0</vt:i4>
      </vt:variant>
      <vt:variant>
        <vt:i4>5</vt:i4>
      </vt:variant>
      <vt:variant>
        <vt:lpwstr>https://www.sam.gov.lv/lv/petijumi</vt:lpwstr>
      </vt:variant>
      <vt:variant>
        <vt:lpwstr/>
      </vt:variant>
      <vt:variant>
        <vt:i4>4522048</vt:i4>
      </vt:variant>
      <vt:variant>
        <vt:i4>12</vt:i4>
      </vt:variant>
      <vt:variant>
        <vt:i4>0</vt:i4>
      </vt:variant>
      <vt:variant>
        <vt:i4>5</vt:i4>
      </vt:variant>
      <vt:variant>
        <vt:lpwstr>https://www.sam.gov.lv/lv/elektronisko-sakaru-nozares-attistibas-plans-2021-2027gadam</vt:lpwstr>
      </vt:variant>
      <vt:variant>
        <vt:lpwstr/>
      </vt:variant>
      <vt:variant>
        <vt:i4>6488185</vt:i4>
      </vt:variant>
      <vt:variant>
        <vt:i4>9</vt:i4>
      </vt:variant>
      <vt:variant>
        <vt:i4>0</vt:i4>
      </vt:variant>
      <vt:variant>
        <vt:i4>5</vt:i4>
      </vt:variant>
      <vt:variant>
        <vt:lpwstr>https://www.sam.gov.lv/lv/petijumi</vt:lpwstr>
      </vt:variant>
      <vt:variant>
        <vt:lpwstr/>
      </vt:variant>
      <vt:variant>
        <vt:i4>6488185</vt:i4>
      </vt:variant>
      <vt:variant>
        <vt:i4>6</vt:i4>
      </vt:variant>
      <vt:variant>
        <vt:i4>0</vt:i4>
      </vt:variant>
      <vt:variant>
        <vt:i4>5</vt:i4>
      </vt:variant>
      <vt:variant>
        <vt:lpwstr>https://www.sam.gov.lv/lv/petijumi</vt:lpwstr>
      </vt:variant>
      <vt:variant>
        <vt:lpwstr/>
      </vt:variant>
      <vt:variant>
        <vt:i4>7274610</vt:i4>
      </vt:variant>
      <vt:variant>
        <vt:i4>3</vt:i4>
      </vt:variant>
      <vt:variant>
        <vt:i4>0</vt:i4>
      </vt:variant>
      <vt:variant>
        <vt:i4>5</vt:i4>
      </vt:variant>
      <vt:variant>
        <vt:lpwstr>http://ec.europa.eu/regional_policy/sources/docgener/presenta/broadband2011/broadband2011_en.pdf</vt:lpwstr>
      </vt:variant>
      <vt:variant>
        <vt:lpwstr/>
      </vt:variant>
      <vt:variant>
        <vt:i4>6488185</vt:i4>
      </vt:variant>
      <vt:variant>
        <vt:i4>0</vt:i4>
      </vt:variant>
      <vt:variant>
        <vt:i4>0</vt:i4>
      </vt:variant>
      <vt:variant>
        <vt:i4>5</vt:i4>
      </vt:variant>
      <vt:variant>
        <vt:lpwstr>https://www.sam.gov.lv/lv/petijumi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dc:description/>
  <cp:lastModifiedBy>Agnese Zariņa</cp:lastModifiedBy>
  <cp:revision>203</cp:revision>
  <dcterms:created xsi:type="dcterms:W3CDTF">2022-01-21T11:38:00Z</dcterms:created>
  <dcterms:modified xsi:type="dcterms:W3CDTF">2022-08-19T07:49:00Z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