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B3B0" w14:textId="2FEE557A" w:rsidR="00894C55" w:rsidRPr="001D521C" w:rsidRDefault="008B0E14" w:rsidP="00175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id w:val="882755678"/>
          <w:placeholder>
            <w:docPart w:val="B2513C7936974E769D1103048039203D"/>
          </w:placeholder>
        </w:sdtPr>
        <w:sdtEndPr/>
        <w:sdtContent>
          <w:r w:rsidR="0017564E" w:rsidRPr="001D521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lv-LV"/>
            </w:rPr>
            <w:t>Ministru kabineta noteikumu</w:t>
          </w:r>
        </w:sdtContent>
      </w:sdt>
      <w:r w:rsidR="00894C55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projekta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“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Grozījumi Ministru kabineta 201</w:t>
      </w:r>
      <w:r w:rsidR="00546BD8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gada </w:t>
      </w:r>
      <w:r w:rsidR="00546BD8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46BD8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februāra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noteikumos Nr. </w:t>
      </w:r>
      <w:r w:rsidR="00546BD8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“Noteikumi par </w:t>
      </w:r>
      <w:r w:rsidR="00546BD8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kuģošanas līdzekļu satiksmi iekšējos ūdeņos</w:t>
      </w:r>
      <w:r w:rsidR="005F3A8D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17564E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  <w:r w:rsidR="006B3D51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894C55" w:rsidRPr="001D521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sākotnējās ietekmes novērtējuma ziņojums (anotācija)</w:t>
      </w:r>
    </w:p>
    <w:p w14:paraId="7CAF74D0" w14:textId="545C8A44" w:rsidR="00327E1E" w:rsidRPr="001D521C" w:rsidRDefault="00327E1E" w:rsidP="00EA6E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9"/>
        <w:gridCol w:w="6796"/>
      </w:tblGrid>
      <w:tr w:rsidR="001D521C" w:rsidRPr="001D521C" w14:paraId="222DDE51" w14:textId="77777777" w:rsidTr="00F4445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5F89" w14:textId="77777777" w:rsidR="00D96A5C" w:rsidRPr="001D521C" w:rsidRDefault="00D96A5C" w:rsidP="00D9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v-SE"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v-SE" w:eastAsia="lv-LV"/>
              </w:rPr>
              <w:t>Tiesību akta projekta anotācijas kopsavilkums</w:t>
            </w:r>
          </w:p>
        </w:tc>
      </w:tr>
      <w:tr w:rsidR="00C60C87" w:rsidRPr="001D521C" w14:paraId="0336419E" w14:textId="77777777" w:rsidTr="00D36C62">
        <w:trPr>
          <w:tblCellSpacing w:w="15" w:type="dxa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9135" w14:textId="77777777" w:rsidR="00D96A5C" w:rsidRPr="001D521C" w:rsidRDefault="00D96A5C" w:rsidP="00F444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  <w:t>Mērķis, risinājums un projekta spēkā stāšanās laiks (500 zīmes bez atstarpēm)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D788A" w14:textId="4001D2F2" w:rsidR="00D96A5C" w:rsidRPr="001D521C" w:rsidRDefault="00D96A5C" w:rsidP="0054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 w:eastAsia="lv-LV"/>
              </w:rPr>
            </w:pP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>Neaizpilda atbilstoši Ministru kabineta 2009.</w:t>
            </w:r>
            <w:r w:rsidR="00546BD8" w:rsidRPr="001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>gada 15.</w:t>
            </w:r>
            <w:r w:rsidR="00546BD8" w:rsidRPr="001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>decembra instrukcijas Nr.</w:t>
            </w:r>
            <w:r w:rsidR="00546BD8" w:rsidRPr="001D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>19 “Tiesību akta projekta sākotnējās ietekmes izvērtēšanas kārtība” 5.</w:t>
            </w:r>
            <w:r w:rsidRPr="001D52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 xml:space="preserve"> punktā noteiktajam.</w:t>
            </w:r>
          </w:p>
        </w:tc>
      </w:tr>
    </w:tbl>
    <w:p w14:paraId="0579BE59" w14:textId="77777777" w:rsidR="00D96A5C" w:rsidRPr="001D521C" w:rsidRDefault="00D96A5C" w:rsidP="00EA6E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"/>
        <w:gridCol w:w="1942"/>
        <w:gridCol w:w="6796"/>
      </w:tblGrid>
      <w:tr w:rsidR="001D521C" w:rsidRPr="001D521C" w14:paraId="5E6ED3DA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F892" w14:textId="77777777" w:rsidR="00655F2C" w:rsidRPr="001D521C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1D521C" w:rsidRPr="001D521C" w14:paraId="0A71EF31" w14:textId="77777777" w:rsidTr="00D36C6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31BA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9D1D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A34A1" w14:textId="2ED8CC10" w:rsidR="00546BD8" w:rsidRPr="001D521C" w:rsidRDefault="00546BD8" w:rsidP="0054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Eiropas Parlamenta un Padomes 2017. gada 12. decembra Direktīva (ES) 2017/2397 par profesionālās kvalifikācijas atzīšanu kuģošanā pa iekšzemes ūdensceļiem un ar ko atceļ Padomes Direktīvas 91/672/EEK un 96/50/EK (turpmāk – Direktīva 2017/2397).</w:t>
            </w:r>
          </w:p>
        </w:tc>
      </w:tr>
      <w:tr w:rsidR="001D521C" w:rsidRPr="001D521C" w14:paraId="507F70F2" w14:textId="77777777" w:rsidTr="00D36C62">
        <w:trPr>
          <w:trHeight w:val="570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1D117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64B98" w14:textId="69CC74BC" w:rsidR="00E5323B" w:rsidRPr="001D521C" w:rsidRDefault="00E5323B" w:rsidP="005573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B5804" w14:textId="32A8C75D" w:rsidR="005E3E13" w:rsidRPr="00656A17" w:rsidRDefault="00D96A5C" w:rsidP="0056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5F3A8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Pašreiz </w:t>
            </w:r>
            <w:r w:rsidR="005E3E13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2016. gada 9. februāra noteikum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u </w:t>
            </w:r>
            <w:r w:rsidR="005E3E13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 92 “Noteikumi par kuģošanas līdzekļu satiksmi iekšējos ūdeņos”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(turpmāk – MK noteikumi Nr. 92) 3.1.1. </w:t>
            </w:r>
            <w:r w:rsidR="008750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apakšpunktā, 9.2. 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apakšpunkt</w:t>
            </w:r>
            <w:r w:rsidR="008750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 un 85. punktā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8750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ir minēta 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valsts akciju sabiedrība “Latvijas Jūras administrācija”</w:t>
            </w:r>
            <w:r w:rsidR="008750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Kopš 2020. gada 23. decembra Latvijas Jūras administrācijas tiesiskā forma ir </w:t>
            </w:r>
            <w:r w:rsidR="008750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nevis valsts akciju sabiedrība, bet 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valsts sabiedrība ar ierobežotu atbildību. Līdz ar to </w:t>
            </w:r>
            <w:r w:rsidR="008750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nepieciešams atbilstoši precizēt </w:t>
            </w:r>
            <w:r w:rsidR="00842EA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MK </w:t>
            </w:r>
            <w:r w:rsidR="00842EA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noteikumu</w:t>
            </w:r>
            <w:r w:rsidR="008750CD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="00842EA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92 (projekta 1.</w:t>
            </w:r>
            <w:r w:rsidR="00D36C6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3. un 5.</w:t>
            </w:r>
            <w:r w:rsidR="00842EA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punkts).</w:t>
            </w:r>
          </w:p>
          <w:p w14:paraId="48FE5C2A" w14:textId="085311CC" w:rsidR="0013463F" w:rsidRPr="001D521C" w:rsidRDefault="008750CD" w:rsidP="00915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Pašreiz MK noteikum</w:t>
            </w:r>
            <w:r w:rsidR="001678C8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92 </w:t>
            </w:r>
            <w:r w:rsidR="001678C8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</w:t>
            </w:r>
            <w:r w:rsidR="001678C8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noteikts, ka gadījumā, ja</w:t>
            </w:r>
            <w:r w:rsidR="00862906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to lūdz</w:t>
            </w:r>
            <w:r w:rsidR="001678C8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27239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persona, kurai ir </w:t>
            </w:r>
            <w:r w:rsidR="0003279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atbilstoši Eiropas Savienības tiesību aktu prasībām par profesionālās kvalifikācijas atzīšanu kuģošanai pa iekšzemes ūdensceļiem</w:t>
            </w:r>
            <w:r w:rsidR="0027239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izsniegta darba uzskaites grāmatiņa</w:t>
            </w:r>
            <w:r w:rsidR="00B479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(turpmāk – darba uzskaites grāmatiņa)</w:t>
            </w:r>
            <w:r w:rsidR="0027239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</w:t>
            </w:r>
            <w:r w:rsidR="001678C8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778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minēto Eiropas Savienības </w:t>
            </w:r>
            <w:r w:rsidR="006F0C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tiesību aktu tvērumā ietilpstoša </w:t>
            </w:r>
            <w:r w:rsidR="001678C8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kuģošanas līdzekļa</w:t>
            </w:r>
            <w:r w:rsidR="008B5E10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 </w:t>
            </w:r>
            <w:proofErr w:type="spellStart"/>
            <w:r w:rsidR="008B5E10"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peldbūves</w:t>
            </w:r>
            <w:proofErr w:type="spellEnd"/>
            <w:r w:rsidR="001678C8"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</w:t>
            </w:r>
            <w:r w:rsidR="001678C8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uz kura</w:t>
            </w:r>
            <w:r w:rsidR="008B5E10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="001678C8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šī persona ir strādājusi, vadītājs darba uzskaites grāmatiņā izdara ierakstus par kuģošanas laiku un veiktajiem braucieniem.</w:t>
            </w:r>
            <w:r w:rsidR="0027239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03279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Šādu pienākumu ir nepieciešams noteikt, lai Latvijas tiesību sistēmā pārņemtu Direktīvas 2017/2397 15. panta</w:t>
            </w:r>
            <w:r w:rsidR="00862906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“Sadarbība”</w:t>
            </w:r>
            <w:r w:rsidR="0003279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otro daļu</w:t>
            </w:r>
            <w:r w:rsidR="007147D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  <w:r w:rsidR="00862906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Lai nodrošinātu </w:t>
            </w:r>
            <w:r w:rsidR="008B5E10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pienākuma izpildi, konkrētās</w:t>
            </w:r>
            <w:r w:rsidR="00C60C87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praktiskās</w:t>
            </w:r>
            <w:r w:rsidR="008B5E10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situācijās</w:t>
            </w:r>
            <w:r w:rsidR="007147D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var būt nepieciešama arī </w:t>
            </w:r>
            <w:r w:rsidR="006F0C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citu valstu</w:t>
            </w:r>
            <w:r w:rsidR="00862906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kompetento iestāžu</w:t>
            </w:r>
            <w:r w:rsidR="00D36C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8B53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ministrijas un </w:t>
            </w:r>
            <w:r w:rsidR="00D36C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valsts sabiedrības ar ierobežotu atbildību “Latvijas Jūras administrācija”</w:t>
            </w:r>
            <w:r w:rsidR="007147D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7147D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iesaiste </w:t>
            </w:r>
            <w:r w:rsidR="001678C8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(projekta </w:t>
            </w:r>
            <w:r w:rsidR="007147D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="001678C8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D36C6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="00862906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  <w:r w:rsidR="00D36C6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6.</w:t>
            </w:r>
            <w:r w:rsidR="001678C8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punkts)</w:t>
            </w:r>
            <w:r w:rsidR="00A54A41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A54A41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56748E2E" w14:textId="4B707C83" w:rsidR="006C5F8D" w:rsidRPr="001D521C" w:rsidRDefault="006C5F8D" w:rsidP="001D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9F7A6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Saskaņā ar </w:t>
            </w:r>
            <w:r w:rsidR="006777E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Direktīvas 2017/2397 39. panta 3. punktu Latvijas tiesību sistēmā ir jāpārņem tikai Direktīvas 2017/2397 10. pants attiecībā uz kvalifikācijas sertifikātu un darba uzskaites grāmatiņu atzīšanu, 38. pants attiecībā uz derīgu sertifikātu atzīšanu un 15. pants.</w:t>
            </w:r>
            <w:r w:rsidR="002C7B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Direktīvas 2017/2397 1</w:t>
            </w:r>
            <w:r w:rsidR="006777E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0. panta un 38. panta attiecīgās normas, kā arī 15. panta pirmā daļa ir jau pārņemta </w:t>
            </w:r>
            <w:r w:rsidR="009749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– ar Ministru kabineta 2021. gada 22. jūnija noteikumiem Nr. 395 “Grozījumi Ministru kabineta 2005. gada 22. novembra noteikumos Nr. 895 “Jūrnieku sertificēšanas </w:t>
            </w:r>
            <w:r w:rsidR="009749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noteikumi””. </w:t>
            </w:r>
            <w:r w:rsidR="001D521C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Atlicis pārņemt 15. panta otro daļu. Līdz ar projekta pieņemšanu tas tiks izdarīts. </w:t>
            </w:r>
          </w:p>
        </w:tc>
      </w:tr>
      <w:tr w:rsidR="001D521C" w:rsidRPr="001D521C" w14:paraId="738BE9A8" w14:textId="77777777" w:rsidTr="00D36C6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E5E1" w14:textId="2278C326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BCD25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9C735" w14:textId="78D4A983" w:rsidR="00E5323B" w:rsidRPr="001D521C" w:rsidRDefault="007F6154" w:rsidP="00915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 sadarbībā ar </w:t>
            </w:r>
            <w:r w:rsidR="009827B3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valsts sabiedrību ar ierobežotu atbildību “</w:t>
            </w:r>
            <w:r w:rsidR="009152AC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Latvijas Jūras administrācij</w:t>
            </w:r>
            <w:r w:rsidR="009827B3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a”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C60C87" w:rsidRPr="001D521C" w14:paraId="7549885D" w14:textId="77777777" w:rsidTr="00D36C6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D514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54A0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81B3" w14:textId="6C230DBE" w:rsidR="00740B4A" w:rsidRPr="001D521C" w:rsidRDefault="00772203" w:rsidP="00740B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0540C10" w14:textId="77777777" w:rsidR="008B5E10" w:rsidRPr="001D521C" w:rsidRDefault="008B5E10" w:rsidP="00EA6E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"/>
        <w:gridCol w:w="1906"/>
        <w:gridCol w:w="6796"/>
      </w:tblGrid>
      <w:tr w:rsidR="001D521C" w:rsidRPr="001D521C" w14:paraId="7559ED4F" w14:textId="77777777" w:rsidTr="0095592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BC3B" w14:textId="77777777" w:rsidR="00AB13D2" w:rsidRPr="001D521C" w:rsidRDefault="00AB13D2" w:rsidP="0095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1D521C" w:rsidRPr="001D521C" w14:paraId="69E67723" w14:textId="77777777" w:rsidTr="00D36C62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1F3A7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CFC32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mērķgrupas</w:t>
            </w:r>
            <w:proofErr w:type="spellEnd"/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402A6" w14:textId="5E3BD8C7" w:rsidR="00AB13D2" w:rsidRPr="001D521C" w:rsidRDefault="00C60C87" w:rsidP="00C6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Primāri p</w:t>
            </w:r>
            <w:r w:rsidR="00AB13D2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rojekts attiecas </w:t>
            </w:r>
            <w:r w:rsidR="00E07343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</w:t>
            </w:r>
            <w:r w:rsidR="00B47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uzskaites grāmatiņas turētājiem un </w:t>
            </w:r>
            <w:r w:rsidR="007F5EBA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kuģošanas līdzekļ</w:t>
            </w:r>
            <w:r w:rsidR="00B47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B85E85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="00B85E85" w:rsidRPr="00737F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peldbūv</w:t>
            </w:r>
            <w:r w:rsidR="00722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</w:t>
            </w:r>
            <w:proofErr w:type="spellEnd"/>
            <w:r w:rsidR="007F5EBA" w:rsidRPr="00737F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7F5EBA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kas ietilpst Direktīvas 2017/2397 tvērumā</w:t>
            </w:r>
            <w:r w:rsidR="0055735F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(Direktīvas 2017/2397 2. pants) un strādā MK noteikumu Nr. 92 2. punktā minētajos ūdeņos</w:t>
            </w:r>
            <w:r w:rsidR="00B47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vadītājiem</w:t>
            </w:r>
            <w:r w:rsidR="007F5EBA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Sekundāri p</w:t>
            </w:r>
            <w:r w:rsidR="002C11E6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rojekts attiecas arī uz </w:t>
            </w:r>
            <w:r w:rsidR="00D36C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sabiedrību ar ierobežotu atbildību “Latvijas Jūras administrācija</w:t>
            </w:r>
            <w:r w:rsidR="00B47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Satiksmes ministriju</w:t>
            </w:r>
            <w:r w:rsidR="00D36C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C11E6" w:rsidRPr="001D52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D521C" w:rsidRPr="001D521C" w14:paraId="6675AAAA" w14:textId="77777777" w:rsidTr="00D36C62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57BF1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09A8D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30A62" w14:textId="77777777" w:rsidR="00B62FCA" w:rsidRPr="001D521C" w:rsidRDefault="00B62FCA" w:rsidP="0095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AB13D2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Projektam nav tiešas ietekmes uz tautsaimniecību</w:t>
            </w:r>
            <w:r w:rsidR="00C60C87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</w:t>
            </w:r>
          </w:p>
          <w:p w14:paraId="6CD5F06E" w14:textId="43C0F400" w:rsidR="00AB13D2" w:rsidRPr="001D521C" w:rsidRDefault="00B62FCA" w:rsidP="00722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Administratīvo slogu projekts teorētiski palielina, jo uzliek jaunus pienākumus </w:t>
            </w:r>
            <w:r w:rsidR="007228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Direktīvas 2017/2397 tvērumā ietilpstošu 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kuģošanas līdzekļu un </w:t>
            </w:r>
            <w:proofErr w:type="spellStart"/>
            <w:r w:rsidR="005242CF"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peldbūvjuvadītājiem</w:t>
            </w:r>
            <w:proofErr w:type="spellEnd"/>
            <w:r w:rsidR="005242CF"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kā arī </w:t>
            </w:r>
            <w:r w:rsidR="00D36C62" w:rsidRPr="007228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valsts sabiedrībai ar ierobežotu atbildību “Latvijas Jūras administrācija</w:t>
            </w:r>
            <w:r w:rsidR="00D36C62"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”</w:t>
            </w:r>
            <w:r w:rsidR="00737FC1"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</w:t>
            </w:r>
            <w:r w:rsid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Satiksmes ministrijai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bet paredzams, ka praksē slogs</w:t>
            </w:r>
            <w:r w:rsidR="00B06BE4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vai nu nepalielināsies nemaz, vai palielināsies minimāli, jo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Latvijā 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uz attiecīgajiem kuģošanas līdzekļiem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un </w:t>
            </w:r>
            <w:proofErr w:type="spellStart"/>
            <w:r w:rsidRPr="00737F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peldbūvēm</w:t>
            </w:r>
            <w:proofErr w:type="spellEnd"/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pamatā strādā personas, kurām ir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nevis </w:t>
            </w:r>
            <w:r w:rsidR="005242C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ārvalst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ī izsniegts</w:t>
            </w:r>
            <w:r w:rsidR="00B06BE4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kompetences sertifik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āts</w:t>
            </w:r>
            <w:r w:rsidR="00B06BE4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darba uzskaites grāmati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ņa,</w:t>
            </w:r>
            <w:r w:rsidR="00B06BE4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bet gan Latvijā, saskaņā ar Ministru kabineta 2005. gada 22. novembra noteikumiem Nr. 895 “Jūrnieku sertificēšanas noteikumi”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izsniegts nacionālais kompetences sertifikāts.</w:t>
            </w:r>
          </w:p>
        </w:tc>
      </w:tr>
      <w:tr w:rsidR="001D521C" w:rsidRPr="001D521C" w14:paraId="27A63FD0" w14:textId="77777777" w:rsidTr="00D36C62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11B97" w14:textId="4C121616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C55E8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88E41" w14:textId="77777777" w:rsidR="00AB13D2" w:rsidRPr="001D521C" w:rsidRDefault="00AB13D2" w:rsidP="0095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1D521C" w:rsidRPr="001D521C" w14:paraId="7BB733CD" w14:textId="77777777" w:rsidTr="00D36C62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ACD21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C382A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3808A" w14:textId="77777777" w:rsidR="00AB13D2" w:rsidRPr="001D521C" w:rsidRDefault="00AB13D2" w:rsidP="0095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1D521C" w:rsidRPr="001D521C" w14:paraId="2C6990BD" w14:textId="77777777" w:rsidTr="00D36C62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B4179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B9E7D" w14:textId="77777777" w:rsidR="00AB13D2" w:rsidRPr="001D521C" w:rsidRDefault="00AB13D2" w:rsidP="009559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11F5" w14:textId="77777777" w:rsidR="00AB13D2" w:rsidRPr="001D521C" w:rsidRDefault="00AB13D2" w:rsidP="0095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7F3D815" w14:textId="5C13E6A4" w:rsidR="00C864E4" w:rsidRPr="001D521C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D521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1D521C" w:rsidRPr="001D521C" w14:paraId="2B2E6551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FC43" w14:textId="77777777" w:rsidR="00655F2C" w:rsidRPr="001D521C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1D521C" w:rsidRPr="001D521C" w14:paraId="7DA81001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9AD8" w14:textId="6EBB67E5" w:rsidR="002B1077" w:rsidRPr="001D521C" w:rsidRDefault="00327E1E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294C1C0A" w14:textId="3F1E5189" w:rsidR="002E028E" w:rsidRPr="001D521C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D521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1D521C" w:rsidRPr="001D521C" w14:paraId="38B87067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C99C" w14:textId="77777777" w:rsidR="00655F2C" w:rsidRPr="001D521C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A79CD" w:rsidRPr="001D521C" w14:paraId="7752ED51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BD4E3" w14:textId="7EB784CC" w:rsidR="005A79CD" w:rsidRPr="001D521C" w:rsidRDefault="005A79CD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96DE55" w14:textId="77777777" w:rsidR="00D96A5C" w:rsidRPr="001D521C" w:rsidRDefault="00D96A5C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5CDE2B8E" w14:textId="77777777" w:rsidR="00547BE0" w:rsidRPr="001D521C" w:rsidRDefault="00547BE0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5239C2D2" w14:textId="77777777" w:rsidR="00547BE0" w:rsidRPr="001D521C" w:rsidRDefault="00547BE0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CF3E322" w14:textId="77777777" w:rsidR="00547BE0" w:rsidRPr="001D521C" w:rsidRDefault="00547BE0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2F042C38" w14:textId="77777777" w:rsidR="00547BE0" w:rsidRPr="001D521C" w:rsidRDefault="00547BE0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2160"/>
        <w:gridCol w:w="6543"/>
      </w:tblGrid>
      <w:tr w:rsidR="001D521C" w:rsidRPr="001D521C" w14:paraId="4512632A" w14:textId="77777777" w:rsidTr="00D64B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D7AF2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1D521C" w:rsidRPr="001D521C" w14:paraId="6BDE2BF9" w14:textId="77777777" w:rsidTr="0016577D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2682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94AC6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3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9E4A8" w14:textId="41FBCEF3" w:rsidR="00787098" w:rsidRPr="001D521C" w:rsidRDefault="005242CF" w:rsidP="005A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55735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Eiropas Parlamenta un Padomes 2017. gada 12. decembra Direktīva (ES) 2017/2397 par profesionālās kvalifikācijas atzīšanu kuģošanā pa iekšzemes ūdensceļiem un ar ko atceļ Padomes Direktīvas 91/672/EEK un 96/50/EK.</w:t>
            </w:r>
          </w:p>
          <w:p w14:paraId="2CC710D9" w14:textId="584BF6F6" w:rsidR="007C52A5" w:rsidRPr="001D521C" w:rsidRDefault="00787098" w:rsidP="005A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D</w:t>
            </w:r>
            <w:r w:rsidR="0055735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irektīva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</w:t>
            </w:r>
            <w:r w:rsidR="0055735F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17/2397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EA6C5B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Latvijas tiesību sistēmā jāpārņem līdz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5A79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202</w:t>
            </w:r>
            <w:r w:rsidR="00EA6C5B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="005A79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gada 1</w:t>
            </w:r>
            <w:r w:rsidR="00EA6C5B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7</w:t>
            </w:r>
            <w:r w:rsidR="005A79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  <w:r w:rsidR="00EA6C5B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janvārim</w:t>
            </w:r>
            <w:r w:rsidR="005A79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, attiecīgi p</w:t>
            </w:r>
            <w:r w:rsidR="007C52A5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rojekts jāpieņem </w:t>
            </w:r>
            <w:r w:rsidR="006C5B39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 vēlāk kā</w:t>
            </w:r>
            <w:r w:rsidR="005A79C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pēdējā Ministru kabineta sēdē pirms šī datuma. </w:t>
            </w:r>
          </w:p>
        </w:tc>
      </w:tr>
      <w:tr w:rsidR="001D521C" w:rsidRPr="001D521C" w14:paraId="4EEE279E" w14:textId="77777777" w:rsidTr="0016577D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9D2D0" w14:textId="3A91C591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94A02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3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FD67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D64BC8" w:rsidRPr="001D521C" w14:paraId="530C6E2F" w14:textId="77777777" w:rsidTr="0016577D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2B204" w14:textId="5DF73B8D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40038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94A19" w14:textId="77777777" w:rsidR="007C52A5" w:rsidRPr="001D521C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296F1738" w14:textId="77777777" w:rsidR="001C58BA" w:rsidRPr="001D521C" w:rsidRDefault="001C58BA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7"/>
        <w:gridCol w:w="1268"/>
        <w:gridCol w:w="2408"/>
        <w:gridCol w:w="3062"/>
      </w:tblGrid>
      <w:tr w:rsidR="001D521C" w:rsidRPr="001D521C" w14:paraId="123AF17B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EA2F" w14:textId="77777777" w:rsidR="00655F2C" w:rsidRPr="001D521C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1. tabula</w:t>
            </w: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br/>
              <w:t>Tiesību akta projekta atbilstība ES tiesību aktiem</w:t>
            </w:r>
          </w:p>
        </w:tc>
      </w:tr>
      <w:tr w:rsidR="001D521C" w:rsidRPr="001D521C" w14:paraId="51A0BAE9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EBE71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ES tiesību akta datums, numurs un nosaukums</w:t>
            </w:r>
          </w:p>
        </w:tc>
        <w:tc>
          <w:tcPr>
            <w:tcW w:w="36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CEF2F" w14:textId="70872895" w:rsidR="00BB59DE" w:rsidRPr="001D521C" w:rsidRDefault="00817E97" w:rsidP="0081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Eiropas Parlamenta un Padomes 2017. gada 12. decembra Direktīva (ES) 2017/2397 par profesionālās kvalifikācijas atzīšanu kuģošanā pa iekšzemes ūdensceļiem un ar ko atceļ Padomes Direktīvas 91/672/EEK un 96/50/EK </w:t>
            </w:r>
            <w:r w:rsidR="00F9466C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(publicēta Eiropas Savienības Oficiālajā </w:t>
            </w:r>
            <w:r w:rsidR="001F7A3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ēstnesī, OV L345, 27.12.2017</w:t>
            </w:r>
            <w:r w:rsidR="00F9466C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1D521C" w:rsidRPr="001D521C" w14:paraId="313C84E5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5882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413B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2B49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417F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</w:t>
            </w:r>
          </w:p>
        </w:tc>
      </w:tr>
      <w:tr w:rsidR="001D521C" w:rsidRPr="001D521C" w14:paraId="7F17C035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32446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ES tiesību akta panta numurs (uzskaitot katru tiesību akta vienību – pantu, daļu, punktu, apakšpunktu)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37E86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9C680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Informācija par to, vai šīs tabulas A ailē minētās ES tiesību akta vienības tiek pārņemtas vai ieviestas pilnībā vai daļēji.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Norāda institūciju, kas ir atbildīga par šo saistību izpildi pilnībā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104F4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Informācija par to, vai šīs tabulas B ailē minētās projekta vienības paredz stingrākas prasības nekā šīs tabulas A ailē minētās ES tiesību akta vienības.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 projekts satur stingrākas prasības nekā attiecīgais ES tiesību akts, norāda pamatojumu un samērīgumu.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Norāda iespējamās alternatīvas (t. sk. alternatīvas, kas neparedz tiesiskā regulējuma izstrādi) – kādos gadījumos būtu iespējams izvairīties no stingrāku prasību noteikšanas, nekā paredzēts attiecīgajos ES tiesību aktos</w:t>
            </w:r>
          </w:p>
        </w:tc>
      </w:tr>
      <w:tr w:rsidR="001D521C" w:rsidRPr="001D521C" w14:paraId="36E02920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9A9B" w14:textId="2B445B17" w:rsidR="00E5323B" w:rsidRPr="001D521C" w:rsidRDefault="006C5B39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  <w:r w:rsidR="00E65207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 panta otrā daļa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05B3" w14:textId="0CE31F61" w:rsidR="00864F96" w:rsidRPr="00656A17" w:rsidRDefault="00E65207" w:rsidP="006C5B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="006C5B39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D36C6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  <w:r w:rsidR="00D36C62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un 6.</w:t>
            </w:r>
            <w:r w:rsidR="006C5B39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punkts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C7240" w14:textId="78674802" w:rsidR="00E5323B" w:rsidRPr="001D521C" w:rsidRDefault="00547BE0" w:rsidP="00547B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Direktīvas normas p</w:t>
            </w:r>
            <w:r w:rsidR="006C5F8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ārņemta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="006C5B39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pilnībā.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7F35E" w14:textId="38DFD49E" w:rsidR="00E5323B" w:rsidRPr="001D521C" w:rsidRDefault="00FE1038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stingrākas prasības neparedz.</w:t>
            </w:r>
          </w:p>
        </w:tc>
      </w:tr>
      <w:tr w:rsidR="001D521C" w:rsidRPr="001D521C" w14:paraId="5FE50107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69182" w14:textId="77777777" w:rsidR="007449E0" w:rsidRPr="001D521C" w:rsidRDefault="007449E0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Kā ir izmantota ES tiesību aktā paredzētā rīcības brīvība dalībvalstij pārņemt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vai ieviest noteiktas ES tiesību akta normas? Kādēļ?</w:t>
            </w:r>
          </w:p>
        </w:tc>
        <w:tc>
          <w:tcPr>
            <w:tcW w:w="36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FCBF" w14:textId="47A8D9DC" w:rsidR="007449E0" w:rsidRPr="001D521C" w:rsidRDefault="008D4DCD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Projekts šo jomu neskar.</w:t>
            </w:r>
          </w:p>
        </w:tc>
      </w:tr>
      <w:tr w:rsidR="001D521C" w:rsidRPr="001D521C" w14:paraId="6FD81A73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5AFB" w14:textId="77777777" w:rsidR="007449E0" w:rsidRPr="001D521C" w:rsidRDefault="007449E0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36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04F8A" w14:textId="3AB6747E" w:rsidR="007449E0" w:rsidRPr="001D521C" w:rsidRDefault="008D4DCD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</w:t>
            </w:r>
            <w:r w:rsidR="00646F70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1D521C" w:rsidRPr="001D521C" w14:paraId="2353F277" w14:textId="77777777" w:rsidTr="00547BE0">
        <w:trPr>
          <w:tblCellSpacing w:w="15" w:type="dxa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BAC41" w14:textId="77777777" w:rsidR="007449E0" w:rsidRPr="001D521C" w:rsidRDefault="007449E0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C2AD5" w14:textId="28059DB3" w:rsidR="00AC67CD" w:rsidRPr="001D521C" w:rsidRDefault="00422B6A" w:rsidP="00422B6A">
            <w:pPr>
              <w:pStyle w:val="ListParagraph"/>
              <w:tabs>
                <w:tab w:val="left" w:pos="23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224CA775" w14:textId="77C6BCD0" w:rsidR="00E5323B" w:rsidRPr="001D521C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D521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"/>
        <w:gridCol w:w="2785"/>
        <w:gridCol w:w="5962"/>
      </w:tblGrid>
      <w:tr w:rsidR="001D521C" w:rsidRPr="001D521C" w14:paraId="1543C4FD" w14:textId="77777777" w:rsidTr="009011DA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0759" w14:textId="77777777" w:rsidR="00655F2C" w:rsidRPr="001D521C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1D521C" w:rsidRPr="001D521C" w14:paraId="4355A770" w14:textId="77777777" w:rsidTr="00EB6DB3">
        <w:trPr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8E7DD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3EDD6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21CF" w14:textId="7FD34A5E" w:rsidR="00E5323B" w:rsidRPr="001D521C" w:rsidRDefault="0016577D" w:rsidP="0015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Atbilstoši Ministru kabineta 2009. gada 25. augusta noteikumu Nr. 970 „Sabiedrības līdzdalības kārtība attīstības plānošanas procesā” 7.4.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lv-LV"/>
              </w:rPr>
              <w:t>1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apakšpunktam sabiedrībai tika dota iespēja rakstiski sniegt viedokli par projektu tā izstrādes stadijā.</w:t>
            </w:r>
          </w:p>
        </w:tc>
      </w:tr>
      <w:tr w:rsidR="001D521C" w:rsidRPr="001D521C" w14:paraId="6E2663D3" w14:textId="77777777" w:rsidTr="00EB6DB3">
        <w:trPr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55817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1537C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C6975" w14:textId="6143150C" w:rsidR="00E5323B" w:rsidRPr="001D521C" w:rsidRDefault="0016577D" w:rsidP="0016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projekta izstrādi tika informēti sabiedrības pārstāvji, 2021. gada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  <w:t>[...]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ievietojot paziņojumu Satiksmes ministrijas tīmekļa vietnē, sadaļā “Sabiedrības līdzdalība” (https://www.sam.gov.lv/lv/izstrade-esosie-attistibas-planosanas-dokumenti-un-tiesibu-akti). Tādējādi savus priekšlikumus par projektu varēja izteikt ikviena ieinteresētā persona. </w:t>
            </w:r>
          </w:p>
        </w:tc>
      </w:tr>
      <w:tr w:rsidR="001D521C" w:rsidRPr="001D521C" w14:paraId="1F6E70A4" w14:textId="77777777" w:rsidTr="00EB6DB3">
        <w:trPr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89F1" w14:textId="5EC3EFFF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B8CB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62036" w14:textId="2B56DFC7" w:rsidR="00940037" w:rsidRPr="001D521C" w:rsidRDefault="0016577D" w:rsidP="00DA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  <w:t>[...]</w:t>
            </w:r>
          </w:p>
        </w:tc>
      </w:tr>
      <w:tr w:rsidR="00EB6DB3" w:rsidRPr="001D521C" w14:paraId="50118678" w14:textId="77777777" w:rsidTr="00EB6DB3">
        <w:trPr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3FFD1" w14:textId="77777777" w:rsidR="00655F2C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F6A0" w14:textId="77777777" w:rsidR="00E5323B" w:rsidRPr="001D521C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4227" w14:textId="7D16B37E" w:rsidR="00E5323B" w:rsidRPr="001D521C" w:rsidRDefault="009011DA" w:rsidP="00DA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1337BF16" w14:textId="77777777" w:rsidR="0016577D" w:rsidRPr="001D521C" w:rsidRDefault="0016577D" w:rsidP="001062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"/>
        <w:gridCol w:w="2778"/>
        <w:gridCol w:w="6051"/>
      </w:tblGrid>
      <w:tr w:rsidR="001D521C" w:rsidRPr="001D521C" w14:paraId="57E44EFB" w14:textId="77777777" w:rsidTr="00E13B02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E140" w14:textId="0D05FBAA" w:rsidR="0016577D" w:rsidRPr="001D521C" w:rsidRDefault="0016577D" w:rsidP="0016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1D521C" w:rsidRPr="001D521C" w14:paraId="045A8378" w14:textId="77777777" w:rsidTr="00EB6DB3">
        <w:trPr>
          <w:tblCellSpacing w:w="15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6E140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C4DEF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6A311" w14:textId="27DA5F75" w:rsidR="0016577D" w:rsidRPr="001D521C" w:rsidRDefault="00E21A43" w:rsidP="0016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Satiksmes ministrija un v</w:t>
            </w:r>
            <w:r w:rsidR="00D36C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alsts sabiedrība ar ierobežotu atbildību “Latvijas Jūras administrācija”</w:t>
            </w:r>
            <w:r w:rsidR="0016577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1D521C" w:rsidRPr="001D521C" w14:paraId="51BC3A36" w14:textId="77777777" w:rsidTr="00EB6DB3">
        <w:trPr>
          <w:tblCellSpacing w:w="15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2403A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6BC4B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 xml:space="preserve">Jaunu institūciju izveide, esošu institūciju likvidācija vai reorganizācija, to </w:t>
            </w: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ietekme uz institūcijas cilvēkresursiem</w:t>
            </w:r>
          </w:p>
        </w:tc>
        <w:tc>
          <w:tcPr>
            <w:tcW w:w="3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29788" w14:textId="394CB3E6" w:rsidR="0016577D" w:rsidRPr="001D521C" w:rsidRDefault="009C79C3" w:rsidP="005A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Projekta </w:t>
            </w:r>
            <w:r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punkts</w:t>
            </w:r>
            <w:r w:rsidR="005A29FE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8B53B6" w:rsidRPr="00656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Satiksmes</w:t>
            </w:r>
            <w:r w:rsidR="008B53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ministrijai un </w:t>
            </w:r>
            <w:r w:rsidR="00D36C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valsts sabiedrībai ar ierobežotu atbildību “Latvijas Jūras administrācija”</w:t>
            </w:r>
            <w:r w:rsidR="005A29FE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nosaka jaunus uzdevumus. </w:t>
            </w:r>
            <w:r w:rsidR="0016577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</w:t>
            </w:r>
            <w:r w:rsidR="005A29FE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ībā ar projekta izpildi papildu</w:t>
            </w:r>
            <w:r w:rsidR="0016577D"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cilvēkresursi nav nepieciešami. Nav nepieciešams arī veidot jaunas institūcijas vai likvidēt vai reorganizēt esošās.</w:t>
            </w:r>
          </w:p>
        </w:tc>
      </w:tr>
      <w:tr w:rsidR="0016577D" w:rsidRPr="001D521C" w14:paraId="4815F287" w14:textId="77777777" w:rsidTr="00EB6DB3">
        <w:trPr>
          <w:tblCellSpacing w:w="15" w:type="dxa"/>
        </w:trPr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028F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8F2BA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4AE0D" w14:textId="77777777" w:rsidR="0016577D" w:rsidRPr="001D521C" w:rsidRDefault="0016577D" w:rsidP="00E13B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D52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5CAA6D2E" w14:textId="77777777" w:rsidR="0016577D" w:rsidRPr="001D521C" w:rsidRDefault="0016577D" w:rsidP="001062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14:paraId="112B74C6" w14:textId="77777777" w:rsidR="0016577D" w:rsidRPr="001D521C" w:rsidRDefault="0016577D" w:rsidP="001062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14:paraId="6AEEC141" w14:textId="6478D139" w:rsidR="00993420" w:rsidRPr="001D521C" w:rsidRDefault="00993420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42E99A" w14:textId="77777777" w:rsidR="00304568" w:rsidRPr="001D521C" w:rsidRDefault="00304568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736D44" w14:textId="77777777" w:rsidR="00D96A5C" w:rsidRPr="001D521C" w:rsidRDefault="00D96A5C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5AFBA6B" w14:textId="5919629C" w:rsidR="006B585C" w:rsidRPr="001D521C" w:rsidRDefault="006B585C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521C">
        <w:rPr>
          <w:rFonts w:ascii="Times New Roman" w:hAnsi="Times New Roman" w:cs="Times New Roman"/>
          <w:sz w:val="24"/>
          <w:szCs w:val="24"/>
        </w:rPr>
        <w:t>Satiksmes ministrs</w:t>
      </w:r>
      <w:r w:rsidRPr="001D521C">
        <w:rPr>
          <w:rFonts w:ascii="Times New Roman" w:hAnsi="Times New Roman" w:cs="Times New Roman"/>
          <w:sz w:val="24"/>
          <w:szCs w:val="24"/>
        </w:rPr>
        <w:tab/>
      </w:r>
      <w:r w:rsidRPr="001D521C">
        <w:rPr>
          <w:rFonts w:ascii="Times New Roman" w:hAnsi="Times New Roman" w:cs="Times New Roman"/>
          <w:sz w:val="24"/>
          <w:szCs w:val="24"/>
        </w:rPr>
        <w:tab/>
      </w:r>
      <w:r w:rsidRPr="001D521C">
        <w:rPr>
          <w:rFonts w:ascii="Times New Roman" w:hAnsi="Times New Roman" w:cs="Times New Roman"/>
          <w:sz w:val="24"/>
          <w:szCs w:val="24"/>
        </w:rPr>
        <w:tab/>
        <w:t>T. Linkaits</w:t>
      </w:r>
    </w:p>
    <w:p w14:paraId="600003F8" w14:textId="77777777" w:rsidR="006B585C" w:rsidRPr="001D521C" w:rsidRDefault="006B585C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62647" w14:textId="77777777" w:rsidR="00D96A5C" w:rsidRPr="001D521C" w:rsidRDefault="00D96A5C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B5718" w14:textId="4457E2DE" w:rsidR="009755B6" w:rsidRPr="001D521C" w:rsidRDefault="009755B6" w:rsidP="00547BE0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521C">
        <w:rPr>
          <w:rFonts w:ascii="Times New Roman" w:hAnsi="Times New Roman" w:cs="Times New Roman"/>
          <w:sz w:val="24"/>
          <w:szCs w:val="24"/>
        </w:rPr>
        <w:t>Vīza: valsts sekretāre</w:t>
      </w:r>
      <w:r w:rsidR="006B585C" w:rsidRPr="001D521C">
        <w:rPr>
          <w:rFonts w:ascii="Times New Roman" w:hAnsi="Times New Roman" w:cs="Times New Roman"/>
          <w:sz w:val="24"/>
          <w:szCs w:val="24"/>
        </w:rPr>
        <w:tab/>
      </w:r>
      <w:r w:rsidR="006B585C" w:rsidRPr="001D521C">
        <w:rPr>
          <w:rFonts w:ascii="Times New Roman" w:hAnsi="Times New Roman" w:cs="Times New Roman"/>
          <w:sz w:val="24"/>
          <w:szCs w:val="24"/>
        </w:rPr>
        <w:tab/>
      </w:r>
      <w:r w:rsidR="006B585C" w:rsidRPr="001D521C">
        <w:rPr>
          <w:rFonts w:ascii="Times New Roman" w:hAnsi="Times New Roman" w:cs="Times New Roman"/>
          <w:sz w:val="24"/>
          <w:szCs w:val="24"/>
        </w:rPr>
        <w:tab/>
      </w:r>
      <w:r w:rsidRPr="001D521C">
        <w:rPr>
          <w:rFonts w:ascii="Times New Roman" w:hAnsi="Times New Roman" w:cs="Times New Roman"/>
          <w:sz w:val="24"/>
          <w:szCs w:val="24"/>
        </w:rPr>
        <w:t>I. Stepanov</w:t>
      </w:r>
      <w:r w:rsidR="00A64EA7" w:rsidRPr="001D521C">
        <w:rPr>
          <w:rFonts w:ascii="Times New Roman" w:hAnsi="Times New Roman" w:cs="Times New Roman"/>
          <w:sz w:val="24"/>
          <w:szCs w:val="24"/>
        </w:rPr>
        <w:t>a</w:t>
      </w:r>
    </w:p>
    <w:sectPr w:rsidR="009755B6" w:rsidRPr="001D521C" w:rsidSect="009A2654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2F0B" w14:textId="77777777" w:rsidR="008B0E14" w:rsidRDefault="008B0E14" w:rsidP="00894C55">
      <w:pPr>
        <w:spacing w:after="0" w:line="240" w:lineRule="auto"/>
      </w:pPr>
      <w:r>
        <w:separator/>
      </w:r>
    </w:p>
  </w:endnote>
  <w:endnote w:type="continuationSeparator" w:id="0">
    <w:p w14:paraId="05BE2173" w14:textId="77777777" w:rsidR="008B0E14" w:rsidRDefault="008B0E14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23C9" w14:textId="32AC80BD" w:rsidR="00043B7C" w:rsidRPr="00894C55" w:rsidRDefault="00C60C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SManot_</w:t>
    </w:r>
    <w:r w:rsidR="00ED6F8C">
      <w:rPr>
        <w:rFonts w:ascii="Times New Roman" w:hAnsi="Times New Roman" w:cs="Times New Roman"/>
        <w:sz w:val="20"/>
        <w:szCs w:val="20"/>
      </w:rPr>
      <w:t>120821</w:t>
    </w:r>
    <w:r>
      <w:rPr>
        <w:rFonts w:ascii="Times New Roman" w:hAnsi="Times New Roman" w:cs="Times New Roman"/>
        <w:sz w:val="20"/>
        <w:szCs w:val="20"/>
      </w:rPr>
      <w:t>_Groz.MK92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D19E" w14:textId="1E4A9F67" w:rsidR="00043B7C" w:rsidRPr="009A2654" w:rsidRDefault="00C60C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SManot_</w:t>
    </w:r>
    <w:r w:rsidR="00ED6F8C">
      <w:rPr>
        <w:rFonts w:ascii="Times New Roman" w:hAnsi="Times New Roman" w:cs="Times New Roman"/>
        <w:sz w:val="20"/>
        <w:szCs w:val="20"/>
      </w:rPr>
      <w:t>1208</w:t>
    </w:r>
    <w:r>
      <w:rPr>
        <w:rFonts w:ascii="Times New Roman" w:hAnsi="Times New Roman" w:cs="Times New Roman"/>
        <w:sz w:val="20"/>
        <w:szCs w:val="20"/>
      </w:rPr>
      <w:t>21_Groz.MK92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4AEC" w14:textId="77777777" w:rsidR="008B0E14" w:rsidRDefault="008B0E14" w:rsidP="00894C55">
      <w:pPr>
        <w:spacing w:after="0" w:line="240" w:lineRule="auto"/>
      </w:pPr>
      <w:r>
        <w:separator/>
      </w:r>
    </w:p>
  </w:footnote>
  <w:footnote w:type="continuationSeparator" w:id="0">
    <w:p w14:paraId="4C9DDC7C" w14:textId="77777777" w:rsidR="008B0E14" w:rsidRDefault="008B0E14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249375A" w14:textId="314DDC7F" w:rsidR="00043B7C" w:rsidRPr="00C25B49" w:rsidRDefault="00043B7C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1778BC">
          <w:rPr>
            <w:rFonts w:ascii="Times New Roman" w:hAnsi="Times New Roman" w:cs="Times New Roman"/>
            <w:noProof/>
            <w:sz w:val="24"/>
            <w:szCs w:val="20"/>
          </w:rPr>
          <w:t>5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384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F24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027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F0C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3180"/>
    <w:multiLevelType w:val="hybridMultilevel"/>
    <w:tmpl w:val="72049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0E2"/>
    <w:multiLevelType w:val="hybridMultilevel"/>
    <w:tmpl w:val="32F41B8E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44E"/>
    <w:multiLevelType w:val="hybridMultilevel"/>
    <w:tmpl w:val="BF7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7758"/>
    <w:multiLevelType w:val="hybridMultilevel"/>
    <w:tmpl w:val="B60E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3179"/>
    <w:multiLevelType w:val="hybridMultilevel"/>
    <w:tmpl w:val="E346A1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0825"/>
    <w:multiLevelType w:val="hybridMultilevel"/>
    <w:tmpl w:val="B60E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2481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05D64"/>
    <w:multiLevelType w:val="hybridMultilevel"/>
    <w:tmpl w:val="D6B8E5BA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107EE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7787E"/>
    <w:multiLevelType w:val="hybridMultilevel"/>
    <w:tmpl w:val="A022C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53CF"/>
    <w:multiLevelType w:val="hybridMultilevel"/>
    <w:tmpl w:val="FB1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59A7"/>
    <w:multiLevelType w:val="hybridMultilevel"/>
    <w:tmpl w:val="4FFE2F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E0685"/>
    <w:multiLevelType w:val="hybridMultilevel"/>
    <w:tmpl w:val="A022C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8B4"/>
    <w:multiLevelType w:val="hybridMultilevel"/>
    <w:tmpl w:val="FDDA2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36A3C"/>
    <w:multiLevelType w:val="hybridMultilevel"/>
    <w:tmpl w:val="9AB21F08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51624"/>
    <w:multiLevelType w:val="hybridMultilevel"/>
    <w:tmpl w:val="60B8D24C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6F6A06FE"/>
    <w:multiLevelType w:val="hybridMultilevel"/>
    <w:tmpl w:val="922C14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4790"/>
    <w:multiLevelType w:val="hybridMultilevel"/>
    <w:tmpl w:val="7F44C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79AE"/>
    <w:multiLevelType w:val="hybridMultilevel"/>
    <w:tmpl w:val="3C945E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80D09"/>
    <w:multiLevelType w:val="hybridMultilevel"/>
    <w:tmpl w:val="5448C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21"/>
  </w:num>
  <w:num w:numId="8">
    <w:abstractNumId w:val="19"/>
  </w:num>
  <w:num w:numId="9">
    <w:abstractNumId w:val="5"/>
  </w:num>
  <w:num w:numId="10">
    <w:abstractNumId w:val="18"/>
  </w:num>
  <w:num w:numId="11">
    <w:abstractNumId w:val="6"/>
  </w:num>
  <w:num w:numId="12">
    <w:abstractNumId w:val="16"/>
  </w:num>
  <w:num w:numId="13">
    <w:abstractNumId w:val="10"/>
  </w:num>
  <w:num w:numId="14">
    <w:abstractNumId w:val="3"/>
  </w:num>
  <w:num w:numId="15">
    <w:abstractNumId w:val="13"/>
  </w:num>
  <w:num w:numId="16">
    <w:abstractNumId w:val="4"/>
  </w:num>
  <w:num w:numId="17">
    <w:abstractNumId w:val="8"/>
  </w:num>
  <w:num w:numId="18">
    <w:abstractNumId w:val="2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03A01"/>
    <w:rsid w:val="00015B92"/>
    <w:rsid w:val="0002133D"/>
    <w:rsid w:val="00031C85"/>
    <w:rsid w:val="0003279F"/>
    <w:rsid w:val="0003330D"/>
    <w:rsid w:val="00042C09"/>
    <w:rsid w:val="00043B7C"/>
    <w:rsid w:val="000501DD"/>
    <w:rsid w:val="00056408"/>
    <w:rsid w:val="00062FE1"/>
    <w:rsid w:val="00085487"/>
    <w:rsid w:val="0009554D"/>
    <w:rsid w:val="00096CAB"/>
    <w:rsid w:val="000B2559"/>
    <w:rsid w:val="000C3201"/>
    <w:rsid w:val="000C526B"/>
    <w:rsid w:val="000C7E27"/>
    <w:rsid w:val="000F214B"/>
    <w:rsid w:val="00101B4D"/>
    <w:rsid w:val="00102543"/>
    <w:rsid w:val="00106281"/>
    <w:rsid w:val="00113289"/>
    <w:rsid w:val="0013439C"/>
    <w:rsid w:val="0013463F"/>
    <w:rsid w:val="001427BE"/>
    <w:rsid w:val="00144113"/>
    <w:rsid w:val="001476EE"/>
    <w:rsid w:val="00151526"/>
    <w:rsid w:val="00154937"/>
    <w:rsid w:val="00161C09"/>
    <w:rsid w:val="0016577D"/>
    <w:rsid w:val="001678C8"/>
    <w:rsid w:val="00173EF8"/>
    <w:rsid w:val="0017564E"/>
    <w:rsid w:val="001778BC"/>
    <w:rsid w:val="001903FF"/>
    <w:rsid w:val="0019743F"/>
    <w:rsid w:val="0019752D"/>
    <w:rsid w:val="001A3244"/>
    <w:rsid w:val="001B5A7C"/>
    <w:rsid w:val="001C58BA"/>
    <w:rsid w:val="001D0958"/>
    <w:rsid w:val="001D3245"/>
    <w:rsid w:val="001D521C"/>
    <w:rsid w:val="001E14F2"/>
    <w:rsid w:val="001F271F"/>
    <w:rsid w:val="001F2FDB"/>
    <w:rsid w:val="001F5921"/>
    <w:rsid w:val="001F5DE3"/>
    <w:rsid w:val="001F6A83"/>
    <w:rsid w:val="001F7A3D"/>
    <w:rsid w:val="00202809"/>
    <w:rsid w:val="00230951"/>
    <w:rsid w:val="002332D9"/>
    <w:rsid w:val="00242EE5"/>
    <w:rsid w:val="00243426"/>
    <w:rsid w:val="00245D76"/>
    <w:rsid w:val="00250778"/>
    <w:rsid w:val="00267288"/>
    <w:rsid w:val="00270109"/>
    <w:rsid w:val="0027239D"/>
    <w:rsid w:val="002839B8"/>
    <w:rsid w:val="00287FD0"/>
    <w:rsid w:val="002A1895"/>
    <w:rsid w:val="002B031F"/>
    <w:rsid w:val="002B1077"/>
    <w:rsid w:val="002B4808"/>
    <w:rsid w:val="002C11E6"/>
    <w:rsid w:val="002C5C29"/>
    <w:rsid w:val="002C7B72"/>
    <w:rsid w:val="002D298D"/>
    <w:rsid w:val="002D7ABC"/>
    <w:rsid w:val="002E028E"/>
    <w:rsid w:val="002E1C05"/>
    <w:rsid w:val="003028B7"/>
    <w:rsid w:val="00304568"/>
    <w:rsid w:val="003271F1"/>
    <w:rsid w:val="00327E1E"/>
    <w:rsid w:val="00332A1C"/>
    <w:rsid w:val="00335AFB"/>
    <w:rsid w:val="00342568"/>
    <w:rsid w:val="00351A79"/>
    <w:rsid w:val="00375224"/>
    <w:rsid w:val="00381876"/>
    <w:rsid w:val="00386318"/>
    <w:rsid w:val="00397B1C"/>
    <w:rsid w:val="003B0BF9"/>
    <w:rsid w:val="003C5ED6"/>
    <w:rsid w:val="003C710F"/>
    <w:rsid w:val="003D7258"/>
    <w:rsid w:val="003E0791"/>
    <w:rsid w:val="003E3868"/>
    <w:rsid w:val="003F28AC"/>
    <w:rsid w:val="003F5417"/>
    <w:rsid w:val="00401F03"/>
    <w:rsid w:val="004032BB"/>
    <w:rsid w:val="00407D1D"/>
    <w:rsid w:val="00422B6A"/>
    <w:rsid w:val="00431A0A"/>
    <w:rsid w:val="004454FE"/>
    <w:rsid w:val="00453393"/>
    <w:rsid w:val="004549E2"/>
    <w:rsid w:val="00456E40"/>
    <w:rsid w:val="004614C6"/>
    <w:rsid w:val="00471F27"/>
    <w:rsid w:val="00472EE7"/>
    <w:rsid w:val="00481397"/>
    <w:rsid w:val="004A122C"/>
    <w:rsid w:val="004B0744"/>
    <w:rsid w:val="004B4989"/>
    <w:rsid w:val="004D458A"/>
    <w:rsid w:val="004D60A6"/>
    <w:rsid w:val="004F3D3D"/>
    <w:rsid w:val="005005D1"/>
    <w:rsid w:val="0050178F"/>
    <w:rsid w:val="005052F1"/>
    <w:rsid w:val="0051301F"/>
    <w:rsid w:val="00513F0C"/>
    <w:rsid w:val="005242CF"/>
    <w:rsid w:val="00527C19"/>
    <w:rsid w:val="005328D0"/>
    <w:rsid w:val="00536F40"/>
    <w:rsid w:val="00544FFA"/>
    <w:rsid w:val="00546BD8"/>
    <w:rsid w:val="00547879"/>
    <w:rsid w:val="00547BE0"/>
    <w:rsid w:val="00553684"/>
    <w:rsid w:val="0055735F"/>
    <w:rsid w:val="00557DDD"/>
    <w:rsid w:val="0056114D"/>
    <w:rsid w:val="00566DE3"/>
    <w:rsid w:val="00573EAC"/>
    <w:rsid w:val="00581FF0"/>
    <w:rsid w:val="00595834"/>
    <w:rsid w:val="005A29FE"/>
    <w:rsid w:val="005A79CD"/>
    <w:rsid w:val="005C4E26"/>
    <w:rsid w:val="005D0DB3"/>
    <w:rsid w:val="005D2E68"/>
    <w:rsid w:val="005D67AA"/>
    <w:rsid w:val="005D7BAA"/>
    <w:rsid w:val="005E3E13"/>
    <w:rsid w:val="005F1650"/>
    <w:rsid w:val="005F3A8D"/>
    <w:rsid w:val="006153F1"/>
    <w:rsid w:val="00624947"/>
    <w:rsid w:val="006252E2"/>
    <w:rsid w:val="00626D84"/>
    <w:rsid w:val="00633F21"/>
    <w:rsid w:val="00641988"/>
    <w:rsid w:val="00646F70"/>
    <w:rsid w:val="00655F2C"/>
    <w:rsid w:val="00656A17"/>
    <w:rsid w:val="006572D2"/>
    <w:rsid w:val="006623CF"/>
    <w:rsid w:val="00673060"/>
    <w:rsid w:val="00674DD5"/>
    <w:rsid w:val="006777ED"/>
    <w:rsid w:val="006A3BD4"/>
    <w:rsid w:val="006B3D51"/>
    <w:rsid w:val="006B585C"/>
    <w:rsid w:val="006B72CD"/>
    <w:rsid w:val="006C4FEB"/>
    <w:rsid w:val="006C58FC"/>
    <w:rsid w:val="006C5B39"/>
    <w:rsid w:val="006C5F8D"/>
    <w:rsid w:val="006D00A3"/>
    <w:rsid w:val="006D4A21"/>
    <w:rsid w:val="006E1081"/>
    <w:rsid w:val="006F0C83"/>
    <w:rsid w:val="006F78AF"/>
    <w:rsid w:val="007147D2"/>
    <w:rsid w:val="00720585"/>
    <w:rsid w:val="00720E00"/>
    <w:rsid w:val="00722893"/>
    <w:rsid w:val="00727F13"/>
    <w:rsid w:val="007308D8"/>
    <w:rsid w:val="00737FC1"/>
    <w:rsid w:val="00740B4A"/>
    <w:rsid w:val="007449E0"/>
    <w:rsid w:val="0075604F"/>
    <w:rsid w:val="00761902"/>
    <w:rsid w:val="00772203"/>
    <w:rsid w:val="00773AF6"/>
    <w:rsid w:val="00784266"/>
    <w:rsid w:val="00787098"/>
    <w:rsid w:val="00795F71"/>
    <w:rsid w:val="00796A88"/>
    <w:rsid w:val="00797E36"/>
    <w:rsid w:val="007A0E10"/>
    <w:rsid w:val="007C1005"/>
    <w:rsid w:val="007C52A5"/>
    <w:rsid w:val="007C5D03"/>
    <w:rsid w:val="007D77AF"/>
    <w:rsid w:val="007E5F7A"/>
    <w:rsid w:val="007E6040"/>
    <w:rsid w:val="007E73AB"/>
    <w:rsid w:val="007F5EBA"/>
    <w:rsid w:val="007F6154"/>
    <w:rsid w:val="007F75DD"/>
    <w:rsid w:val="00816C11"/>
    <w:rsid w:val="00817E97"/>
    <w:rsid w:val="00842EA2"/>
    <w:rsid w:val="0086261F"/>
    <w:rsid w:val="00862906"/>
    <w:rsid w:val="00864F96"/>
    <w:rsid w:val="00867C0B"/>
    <w:rsid w:val="008714F0"/>
    <w:rsid w:val="00873E30"/>
    <w:rsid w:val="008750CD"/>
    <w:rsid w:val="00894C55"/>
    <w:rsid w:val="00894FFE"/>
    <w:rsid w:val="008B0E14"/>
    <w:rsid w:val="008B53B6"/>
    <w:rsid w:val="008B5E10"/>
    <w:rsid w:val="008D4008"/>
    <w:rsid w:val="008D4DCD"/>
    <w:rsid w:val="008E3BDD"/>
    <w:rsid w:val="008E592A"/>
    <w:rsid w:val="008E60E1"/>
    <w:rsid w:val="008F3913"/>
    <w:rsid w:val="008F676F"/>
    <w:rsid w:val="008F6DB1"/>
    <w:rsid w:val="009011DA"/>
    <w:rsid w:val="009057EB"/>
    <w:rsid w:val="00907A93"/>
    <w:rsid w:val="00913FF3"/>
    <w:rsid w:val="009152AC"/>
    <w:rsid w:val="00940037"/>
    <w:rsid w:val="00942984"/>
    <w:rsid w:val="00953F65"/>
    <w:rsid w:val="00956300"/>
    <w:rsid w:val="009621AC"/>
    <w:rsid w:val="00971038"/>
    <w:rsid w:val="009749CF"/>
    <w:rsid w:val="009755B6"/>
    <w:rsid w:val="00982611"/>
    <w:rsid w:val="009827B3"/>
    <w:rsid w:val="00985C3E"/>
    <w:rsid w:val="00993420"/>
    <w:rsid w:val="009A2654"/>
    <w:rsid w:val="009A332B"/>
    <w:rsid w:val="009C2156"/>
    <w:rsid w:val="009C635D"/>
    <w:rsid w:val="009C79C3"/>
    <w:rsid w:val="009E1625"/>
    <w:rsid w:val="009E1B4C"/>
    <w:rsid w:val="009E29B5"/>
    <w:rsid w:val="009E479B"/>
    <w:rsid w:val="009E73C9"/>
    <w:rsid w:val="009F6415"/>
    <w:rsid w:val="009F7A6D"/>
    <w:rsid w:val="00A00FF6"/>
    <w:rsid w:val="00A10FC3"/>
    <w:rsid w:val="00A337C4"/>
    <w:rsid w:val="00A34E12"/>
    <w:rsid w:val="00A5499E"/>
    <w:rsid w:val="00A54A41"/>
    <w:rsid w:val="00A55D18"/>
    <w:rsid w:val="00A56AEA"/>
    <w:rsid w:val="00A6073E"/>
    <w:rsid w:val="00A60B12"/>
    <w:rsid w:val="00A64EA7"/>
    <w:rsid w:val="00A663CC"/>
    <w:rsid w:val="00A66D83"/>
    <w:rsid w:val="00A7489E"/>
    <w:rsid w:val="00A90AEF"/>
    <w:rsid w:val="00A9648E"/>
    <w:rsid w:val="00AA2BBC"/>
    <w:rsid w:val="00AB13D2"/>
    <w:rsid w:val="00AB40B0"/>
    <w:rsid w:val="00AC67CD"/>
    <w:rsid w:val="00AD7607"/>
    <w:rsid w:val="00AE5567"/>
    <w:rsid w:val="00AF1239"/>
    <w:rsid w:val="00AF6DA1"/>
    <w:rsid w:val="00AF7580"/>
    <w:rsid w:val="00B018AB"/>
    <w:rsid w:val="00B02F55"/>
    <w:rsid w:val="00B038FF"/>
    <w:rsid w:val="00B06BE4"/>
    <w:rsid w:val="00B16480"/>
    <w:rsid w:val="00B2165C"/>
    <w:rsid w:val="00B47949"/>
    <w:rsid w:val="00B62FCA"/>
    <w:rsid w:val="00B6399E"/>
    <w:rsid w:val="00B64041"/>
    <w:rsid w:val="00B70AF2"/>
    <w:rsid w:val="00B83C4E"/>
    <w:rsid w:val="00B85E85"/>
    <w:rsid w:val="00B97E6A"/>
    <w:rsid w:val="00BA20AA"/>
    <w:rsid w:val="00BB0E92"/>
    <w:rsid w:val="00BB3FFD"/>
    <w:rsid w:val="00BB59DE"/>
    <w:rsid w:val="00BC09AB"/>
    <w:rsid w:val="00BC31DA"/>
    <w:rsid w:val="00BD0CC7"/>
    <w:rsid w:val="00BD43DE"/>
    <w:rsid w:val="00BD4425"/>
    <w:rsid w:val="00BE19A9"/>
    <w:rsid w:val="00BE4B93"/>
    <w:rsid w:val="00BF01EB"/>
    <w:rsid w:val="00BF4496"/>
    <w:rsid w:val="00C019E5"/>
    <w:rsid w:val="00C11A7D"/>
    <w:rsid w:val="00C12488"/>
    <w:rsid w:val="00C24288"/>
    <w:rsid w:val="00C25B49"/>
    <w:rsid w:val="00C60C87"/>
    <w:rsid w:val="00C72EF2"/>
    <w:rsid w:val="00C73278"/>
    <w:rsid w:val="00C864E4"/>
    <w:rsid w:val="00C91FA6"/>
    <w:rsid w:val="00C9569D"/>
    <w:rsid w:val="00CA4C43"/>
    <w:rsid w:val="00CB04A8"/>
    <w:rsid w:val="00CB0E5A"/>
    <w:rsid w:val="00CB5F6F"/>
    <w:rsid w:val="00CB7356"/>
    <w:rsid w:val="00CC0D2D"/>
    <w:rsid w:val="00CC1232"/>
    <w:rsid w:val="00CD0493"/>
    <w:rsid w:val="00CE5657"/>
    <w:rsid w:val="00CF643F"/>
    <w:rsid w:val="00D11564"/>
    <w:rsid w:val="00D133F8"/>
    <w:rsid w:val="00D14A3E"/>
    <w:rsid w:val="00D2416B"/>
    <w:rsid w:val="00D249FF"/>
    <w:rsid w:val="00D27139"/>
    <w:rsid w:val="00D36C62"/>
    <w:rsid w:val="00D45D27"/>
    <w:rsid w:val="00D5018F"/>
    <w:rsid w:val="00D52DB9"/>
    <w:rsid w:val="00D62228"/>
    <w:rsid w:val="00D64BC8"/>
    <w:rsid w:val="00D65482"/>
    <w:rsid w:val="00D96481"/>
    <w:rsid w:val="00D96A5C"/>
    <w:rsid w:val="00DA2BF7"/>
    <w:rsid w:val="00DB2B5C"/>
    <w:rsid w:val="00DE11B0"/>
    <w:rsid w:val="00DE49CB"/>
    <w:rsid w:val="00E07343"/>
    <w:rsid w:val="00E13150"/>
    <w:rsid w:val="00E21A43"/>
    <w:rsid w:val="00E23CFE"/>
    <w:rsid w:val="00E31081"/>
    <w:rsid w:val="00E34D25"/>
    <w:rsid w:val="00E3716B"/>
    <w:rsid w:val="00E40822"/>
    <w:rsid w:val="00E45FB9"/>
    <w:rsid w:val="00E50CEF"/>
    <w:rsid w:val="00E52F07"/>
    <w:rsid w:val="00E5323B"/>
    <w:rsid w:val="00E5659B"/>
    <w:rsid w:val="00E627D1"/>
    <w:rsid w:val="00E62D72"/>
    <w:rsid w:val="00E65207"/>
    <w:rsid w:val="00E74C95"/>
    <w:rsid w:val="00E7759F"/>
    <w:rsid w:val="00E8749E"/>
    <w:rsid w:val="00E90C01"/>
    <w:rsid w:val="00EA486E"/>
    <w:rsid w:val="00EA6C5B"/>
    <w:rsid w:val="00EA6EAC"/>
    <w:rsid w:val="00EB6DB3"/>
    <w:rsid w:val="00EC2466"/>
    <w:rsid w:val="00EC3D33"/>
    <w:rsid w:val="00EC5EA1"/>
    <w:rsid w:val="00ED025D"/>
    <w:rsid w:val="00ED5A2C"/>
    <w:rsid w:val="00ED6F8C"/>
    <w:rsid w:val="00F048CA"/>
    <w:rsid w:val="00F05270"/>
    <w:rsid w:val="00F205C8"/>
    <w:rsid w:val="00F219B5"/>
    <w:rsid w:val="00F21EE4"/>
    <w:rsid w:val="00F30A1D"/>
    <w:rsid w:val="00F32EDD"/>
    <w:rsid w:val="00F511ED"/>
    <w:rsid w:val="00F54702"/>
    <w:rsid w:val="00F57B0C"/>
    <w:rsid w:val="00F71C96"/>
    <w:rsid w:val="00F85E80"/>
    <w:rsid w:val="00F86E1D"/>
    <w:rsid w:val="00F91903"/>
    <w:rsid w:val="00F9466C"/>
    <w:rsid w:val="00FA58FB"/>
    <w:rsid w:val="00FB5E3C"/>
    <w:rsid w:val="00FC3FDA"/>
    <w:rsid w:val="00FC6F94"/>
    <w:rsid w:val="00FD3E2E"/>
    <w:rsid w:val="00FE1038"/>
    <w:rsid w:val="00FE5A13"/>
    <w:rsid w:val="00FF757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B67A"/>
  <w15:docId w15:val="{D1388F66-FACC-4DF7-926B-5E859CB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0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6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F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F94"/>
    <w:rPr>
      <w:vertAlign w:val="superscript"/>
    </w:rPr>
  </w:style>
  <w:style w:type="paragraph" w:customStyle="1" w:styleId="title-doc-first">
    <w:name w:val="title-doc-first"/>
    <w:basedOn w:val="Normal"/>
    <w:rsid w:val="005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rsid w:val="00F30A1D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F30A1D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0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255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E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1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4609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0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97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6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72CD5"/>
    <w:rsid w:val="00084514"/>
    <w:rsid w:val="00091A51"/>
    <w:rsid w:val="000C15F9"/>
    <w:rsid w:val="0011021F"/>
    <w:rsid w:val="0015661D"/>
    <w:rsid w:val="001729E8"/>
    <w:rsid w:val="001921E7"/>
    <w:rsid w:val="001D2E5A"/>
    <w:rsid w:val="00232E3F"/>
    <w:rsid w:val="00344186"/>
    <w:rsid w:val="003732F8"/>
    <w:rsid w:val="003846AE"/>
    <w:rsid w:val="0039635F"/>
    <w:rsid w:val="0039694C"/>
    <w:rsid w:val="003C79FE"/>
    <w:rsid w:val="00472F39"/>
    <w:rsid w:val="00516A93"/>
    <w:rsid w:val="00523A63"/>
    <w:rsid w:val="0067641A"/>
    <w:rsid w:val="006960EE"/>
    <w:rsid w:val="00806030"/>
    <w:rsid w:val="00855747"/>
    <w:rsid w:val="008B623B"/>
    <w:rsid w:val="008D39C9"/>
    <w:rsid w:val="008F128B"/>
    <w:rsid w:val="009C1B4C"/>
    <w:rsid w:val="00A800AD"/>
    <w:rsid w:val="00AB1763"/>
    <w:rsid w:val="00AD4A2F"/>
    <w:rsid w:val="00AF05FD"/>
    <w:rsid w:val="00B334D3"/>
    <w:rsid w:val="00B3767C"/>
    <w:rsid w:val="00B57980"/>
    <w:rsid w:val="00BC5818"/>
    <w:rsid w:val="00C00671"/>
    <w:rsid w:val="00C06587"/>
    <w:rsid w:val="00C51B07"/>
    <w:rsid w:val="00CD1618"/>
    <w:rsid w:val="00CE3C16"/>
    <w:rsid w:val="00D73B10"/>
    <w:rsid w:val="00D90F80"/>
    <w:rsid w:val="00DC2DA1"/>
    <w:rsid w:val="00E44ED2"/>
    <w:rsid w:val="00F0724B"/>
    <w:rsid w:val="00F124AB"/>
    <w:rsid w:val="00F3167A"/>
    <w:rsid w:val="00F3708F"/>
    <w:rsid w:val="00F65E10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2B18-945D-4434-BF15-1B6F11E9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“Grozījumi Ministru kabineta 2016. gada 9. februāra noteikumos Nr. 92 “Noteikumi par kuģošanas līdzekļu satiksmi iekšējos ūdeņos"</vt:lpstr>
    </vt:vector>
  </TitlesOfParts>
  <Manager/>
  <Company>Satiksmes ministrija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2016. gada 9. februāra noteikumos Nr. 92 “Noteikumi par kuģošanas līdzekļu satiksmi iekšējos ūdeņos"</dc:title>
  <dc:subject>Anotācija</dc:subject>
  <dc:creator>Anete Logina</dc:creator>
  <cp:keywords/>
  <dc:description>67062133, anete.logina@lja.lv</dc:description>
  <cp:lastModifiedBy>Jūlija Gabranova</cp:lastModifiedBy>
  <cp:revision>2</cp:revision>
  <cp:lastPrinted>2019-10-10T14:23:00Z</cp:lastPrinted>
  <dcterms:created xsi:type="dcterms:W3CDTF">2021-08-12T05:31:00Z</dcterms:created>
  <dcterms:modified xsi:type="dcterms:W3CDTF">2021-08-12T05:31:00Z</dcterms:modified>
</cp:coreProperties>
</file>