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ECD1" w14:textId="77777777" w:rsidR="00BA0797" w:rsidRPr="00BA0797" w:rsidRDefault="00BA0797" w:rsidP="00BA0797">
      <w:pPr>
        <w:spacing w:after="0"/>
        <w:jc w:val="center"/>
        <w:rPr>
          <w:rFonts w:eastAsia="Times New Roman"/>
          <w:b/>
          <w:bCs/>
          <w:lang w:eastAsia="lv-LV"/>
        </w:rPr>
      </w:pPr>
      <w:r w:rsidRPr="00BA0797">
        <w:rPr>
          <w:rFonts w:eastAsia="Times New Roman"/>
          <w:b/>
          <w:bCs/>
          <w:lang w:eastAsia="lv-LV"/>
        </w:rPr>
        <w:t>Ministru kabineta noteikumu projekta</w:t>
      </w:r>
    </w:p>
    <w:p w14:paraId="72F1FCC7" w14:textId="15B7DD8F" w:rsidR="008C0EDC" w:rsidRDefault="00BA0797" w:rsidP="007D0DAC">
      <w:pPr>
        <w:spacing w:after="0"/>
        <w:jc w:val="center"/>
        <w:rPr>
          <w:rFonts w:eastAsia="Times New Roman"/>
          <w:b/>
          <w:bCs/>
          <w:lang w:eastAsia="lv-LV"/>
        </w:rPr>
      </w:pPr>
      <w:r w:rsidRPr="00BA0797">
        <w:rPr>
          <w:rFonts w:eastAsia="Times New Roman"/>
          <w:b/>
          <w:bCs/>
          <w:lang w:eastAsia="lv-LV"/>
        </w:rPr>
        <w:t>„</w:t>
      </w:r>
      <w:r w:rsidR="007D0DAC" w:rsidRPr="007D0DAC">
        <w:t xml:space="preserve"> </w:t>
      </w:r>
      <w:r w:rsidR="007D0DAC" w:rsidRPr="007D0DAC">
        <w:rPr>
          <w:rFonts w:eastAsia="Times New Roman"/>
          <w:b/>
          <w:bCs/>
          <w:lang w:eastAsia="lv-LV"/>
        </w:rPr>
        <w:t>Noteikumi par Valsts civilās aviācijas gaisa kuģu lidojumu drošuma programmu</w:t>
      </w:r>
      <w:r w:rsidR="002A2173">
        <w:rPr>
          <w:rFonts w:eastAsia="Times New Roman"/>
          <w:b/>
          <w:bCs/>
          <w:lang w:eastAsia="lv-LV"/>
        </w:rPr>
        <w:t>”</w:t>
      </w:r>
      <w:r w:rsidRPr="00BA0797">
        <w:t xml:space="preserve"> </w:t>
      </w:r>
      <w:r w:rsidRPr="00BA0797">
        <w:rPr>
          <w:rFonts w:eastAsia="Times New Roman"/>
          <w:b/>
          <w:bCs/>
          <w:lang w:eastAsia="lv-LV"/>
        </w:rPr>
        <w:t>sākotnējās ietekmes novērtējuma ziņojums (anotācija)</w:t>
      </w:r>
    </w:p>
    <w:p w14:paraId="487B549B" w14:textId="783E18E5" w:rsidR="00BA0797" w:rsidRDefault="00BA0797" w:rsidP="00BA0797">
      <w:pPr>
        <w:spacing w:after="0"/>
        <w:jc w:val="center"/>
        <w:rPr>
          <w:rFonts w:eastAsia="Times New Roman"/>
          <w:b/>
          <w:bCs/>
          <w:lang w:eastAsia="lv-LV"/>
        </w:rPr>
      </w:pPr>
    </w:p>
    <w:p w14:paraId="014DFCCF" w14:textId="77777777" w:rsidR="002B5488" w:rsidRPr="008C0EDC" w:rsidRDefault="002B5488" w:rsidP="00BA0797">
      <w:pPr>
        <w:spacing w:after="0"/>
        <w:jc w:val="center"/>
        <w:rPr>
          <w:rFonts w:eastAsia="Times New Roman"/>
          <w:b/>
          <w:bCs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3"/>
        <w:gridCol w:w="5397"/>
      </w:tblGrid>
      <w:tr w:rsidR="008C0EDC" w:rsidRPr="008C0EDC" w14:paraId="72EAC7E4" w14:textId="77777777" w:rsidTr="008C0ED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90F4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C0EDC">
              <w:rPr>
                <w:rFonts w:eastAsia="Times New Roman"/>
                <w:b/>
                <w:bCs/>
                <w:lang w:eastAsia="lv-LV"/>
              </w:rPr>
              <w:t>Tiesību akta projekta anotācijas kopsavilkums</w:t>
            </w:r>
          </w:p>
        </w:tc>
      </w:tr>
      <w:tr w:rsidR="008C0EDC" w:rsidRPr="008C0EDC" w14:paraId="3C32EC2B" w14:textId="77777777" w:rsidTr="008C0EDC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35B35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ED0F3" w14:textId="65928E1C" w:rsidR="008C0EDC" w:rsidRPr="008C0EDC" w:rsidRDefault="00D97FD7" w:rsidP="009B628B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9B628B">
              <w:rPr>
                <w:rFonts w:eastAsia="Times New Roman"/>
                <w:lang w:eastAsia="lv-LV"/>
              </w:rPr>
              <w:t>Neaizpilda atbilstoši Ministru kabineta 2009.gada 15.decembra instrukcijas Nr.19 “Tiesību akta projekta sākotnējās ietekmes izvērtēšanas kārtība”  5.</w:t>
            </w:r>
            <w:r w:rsidRPr="008F0F05">
              <w:rPr>
                <w:rFonts w:eastAsia="Times New Roman"/>
                <w:vertAlign w:val="superscript"/>
                <w:lang w:eastAsia="lv-LV"/>
              </w:rPr>
              <w:t xml:space="preserve">1 </w:t>
            </w:r>
            <w:r w:rsidRPr="009B628B">
              <w:rPr>
                <w:rFonts w:eastAsia="Times New Roman"/>
                <w:lang w:eastAsia="lv-LV"/>
              </w:rPr>
              <w:t>punktam</w:t>
            </w:r>
          </w:p>
        </w:tc>
      </w:tr>
    </w:tbl>
    <w:p w14:paraId="089B0B0F" w14:textId="77777777" w:rsidR="008C0EDC" w:rsidRPr="008C0EDC" w:rsidRDefault="008C0EDC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3053"/>
        <w:gridCol w:w="5379"/>
      </w:tblGrid>
      <w:tr w:rsidR="008C0EDC" w:rsidRPr="008C0EDC" w14:paraId="184D6147" w14:textId="77777777" w:rsidTr="008C0ED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0555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C0EDC">
              <w:rPr>
                <w:rFonts w:eastAsia="Times New Roman"/>
                <w:b/>
                <w:bCs/>
                <w:lang w:eastAsia="lv-LV"/>
              </w:rPr>
              <w:t>I. Tiesību akta projekta izstrādes nepieciešamība</w:t>
            </w:r>
          </w:p>
        </w:tc>
      </w:tr>
      <w:tr w:rsidR="00B24EE5" w:rsidRPr="00B24EE5" w14:paraId="082EEA29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99AA3" w14:textId="77777777" w:rsidR="008C0EDC" w:rsidRPr="00B24EE5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B24EE5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E41BE" w14:textId="77777777" w:rsidR="008C0EDC" w:rsidRPr="00B24EE5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B24EE5">
              <w:rPr>
                <w:rFonts w:eastAsia="Times New Roman"/>
                <w:lang w:eastAsia="lv-LV"/>
              </w:rPr>
              <w:t>Pamatojums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B8A20" w14:textId="3959773E" w:rsidR="007A720C" w:rsidRPr="00B24EE5" w:rsidRDefault="00805357" w:rsidP="00805357">
            <w:pPr>
              <w:spacing w:after="0"/>
              <w:rPr>
                <w:rFonts w:eastAsia="Times New Roman"/>
                <w:lang w:eastAsia="lv-LV"/>
              </w:rPr>
            </w:pPr>
            <w:r w:rsidRPr="00B24EE5">
              <w:rPr>
                <w:rFonts w:eastAsia="Times New Roman"/>
                <w:lang w:eastAsia="lv-LV"/>
              </w:rPr>
              <w:t xml:space="preserve">Likuma „Par aviāciju” </w:t>
            </w:r>
            <w:r w:rsidR="00685C8C" w:rsidRPr="00B24EE5">
              <w:rPr>
                <w:rFonts w:eastAsia="Times New Roman"/>
                <w:lang w:eastAsia="lv-LV"/>
              </w:rPr>
              <w:t>6.</w:t>
            </w:r>
            <w:r w:rsidR="00685C8C" w:rsidRPr="00B24EE5">
              <w:rPr>
                <w:rFonts w:eastAsia="Times New Roman"/>
                <w:vertAlign w:val="superscript"/>
                <w:lang w:eastAsia="lv-LV"/>
              </w:rPr>
              <w:t>3</w:t>
            </w:r>
            <w:r w:rsidR="00685C8C" w:rsidRPr="00B24EE5">
              <w:rPr>
                <w:rFonts w:eastAsia="Times New Roman"/>
                <w:lang w:eastAsia="lv-LV"/>
              </w:rPr>
              <w:t>panta pirm</w:t>
            </w:r>
            <w:r w:rsidR="00B24EE5" w:rsidRPr="00B24EE5">
              <w:rPr>
                <w:rFonts w:eastAsia="Times New Roman"/>
                <w:lang w:eastAsia="lv-LV"/>
              </w:rPr>
              <w:t>ā</w:t>
            </w:r>
            <w:r w:rsidR="00685C8C" w:rsidRPr="00B24EE5">
              <w:rPr>
                <w:rFonts w:eastAsia="Times New Roman"/>
                <w:lang w:eastAsia="lv-LV"/>
              </w:rPr>
              <w:t xml:space="preserve"> un treš</w:t>
            </w:r>
            <w:r w:rsidR="00B24EE5" w:rsidRPr="00B24EE5">
              <w:rPr>
                <w:rFonts w:eastAsia="Times New Roman"/>
                <w:lang w:eastAsia="lv-LV"/>
              </w:rPr>
              <w:t>ā</w:t>
            </w:r>
            <w:r w:rsidR="00685C8C" w:rsidRPr="00B24EE5">
              <w:rPr>
                <w:rFonts w:eastAsia="Times New Roman"/>
                <w:lang w:eastAsia="lv-LV"/>
              </w:rPr>
              <w:t xml:space="preserve"> daļ</w:t>
            </w:r>
            <w:r w:rsidR="00B24EE5" w:rsidRPr="00B24EE5">
              <w:rPr>
                <w:rFonts w:eastAsia="Times New Roman"/>
                <w:lang w:eastAsia="lv-LV"/>
              </w:rPr>
              <w:t>a</w:t>
            </w:r>
            <w:r w:rsidR="00685C8C" w:rsidRPr="00B24EE5">
              <w:rPr>
                <w:rFonts w:eastAsia="Times New Roman"/>
                <w:lang w:eastAsia="lv-LV"/>
              </w:rPr>
              <w:t xml:space="preserve"> </w:t>
            </w:r>
          </w:p>
        </w:tc>
      </w:tr>
      <w:tr w:rsidR="008C0EDC" w:rsidRPr="008C0EDC" w14:paraId="133CB299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9D62E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A476D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675C" w14:textId="7AA70991" w:rsidR="00BB04EB" w:rsidRDefault="00691224" w:rsidP="0004615A">
            <w:pPr>
              <w:spacing w:after="0"/>
              <w:jc w:val="both"/>
            </w:pPr>
            <w:r w:rsidRPr="00BB04EB">
              <w:t xml:space="preserve">Ministru kabineta </w:t>
            </w:r>
            <w:r w:rsidR="00DD1EB6" w:rsidRPr="00BB04EB">
              <w:t>noteikumu projekts izstrādāts</w:t>
            </w:r>
            <w:r w:rsidR="004A5118" w:rsidRPr="00BB04EB">
              <w:t xml:space="preserve">, lai </w:t>
            </w:r>
            <w:r w:rsidR="00BB04EB" w:rsidRPr="00BB04EB">
              <w:t>noteiktu kārtību, kādā</w:t>
            </w:r>
            <w:r w:rsidR="00BB04EB">
              <w:t xml:space="preserve"> izstrādā un saskaņo Valsts civilās aviācijas gaisa kuģu lidojumu drošuma programmu, kā arī kārtību, kādā sasauc Valsts civilās aviācijas gaisa kuģu lidojumu drošuma programmas pārvaldības grupu. </w:t>
            </w:r>
          </w:p>
          <w:p w14:paraId="39521633" w14:textId="77777777" w:rsidR="003117E4" w:rsidRDefault="00BB04EB" w:rsidP="0004615A">
            <w:pPr>
              <w:spacing w:after="0"/>
              <w:jc w:val="both"/>
            </w:pPr>
            <w:r>
              <w:t xml:space="preserve">Saskaņā ar </w:t>
            </w:r>
            <w:r w:rsidRPr="00BB04EB">
              <w:t>Eiropas Parlamenta un Padomes 2018.gada 4.jūlija Regul</w:t>
            </w:r>
            <w:r w:rsidR="00D048AE">
              <w:t>as</w:t>
            </w:r>
            <w:r w:rsidRPr="00BB04EB">
              <w:t xml:space="preserve"> (ES) Nr. 2018/1139 par kopīgiem noteikumiem civilās aviācijas jomā un ar ko izveido Eiropas Savienības Aviācijas drošības aģentūru, un ar ko groza Eiropas Parlamenta un Padomes Regulas (EK) Nr. 2111/2005, (EK) Nr. 1008/2008, (ES) Nr. 996/2010, (ES) Nr. 376/2014 un Direktīvas 2014/30/ES un 2014/53/ES un atceļ Eiropas Parlamenta un Padomes Regulas (EK) Nr. 552/2004 un (EK) Nr. 216/2008 un Padomes Regulu (EEK) Nr.3922/91</w:t>
            </w:r>
            <w:r w:rsidR="00D048AE">
              <w:t xml:space="preserve"> (turpmāk – Regula Nr.</w:t>
            </w:r>
            <w:r w:rsidR="003117E4">
              <w:t xml:space="preserve"> 2018/</w:t>
            </w:r>
            <w:r w:rsidR="00D048AE">
              <w:t xml:space="preserve">1139) </w:t>
            </w:r>
            <w:r w:rsidR="00C8112D">
              <w:t xml:space="preserve">7.pantā </w:t>
            </w:r>
            <w:r w:rsidR="00A86B21">
              <w:t xml:space="preserve">dalībvalstīm noteikts pienākums izveidot un uzturēt </w:t>
            </w:r>
            <w:r w:rsidR="00EC513A">
              <w:t xml:space="preserve">Valsts civilās aviācijas gaisa kuģu drošuma programmu. </w:t>
            </w:r>
            <w:r w:rsidR="003117E4">
              <w:t xml:space="preserve">Saskaņā ar Regulas Nr.2018/1139 preambulas 13.apsvērumā norādīto, katrai dalībvalstij būtu jāizstrādā valsts drošuma programma saskaņā ar Čikāgas 1944.gada Konvencijas par starptautisko civilo aviāciju 19.pielikuma prasībām. </w:t>
            </w:r>
          </w:p>
          <w:p w14:paraId="76A42C19" w14:textId="0C5BAC8F" w:rsidR="002B5488" w:rsidRPr="00FD5A6A" w:rsidRDefault="003117E4" w:rsidP="00F17C33">
            <w:pPr>
              <w:spacing w:after="0"/>
              <w:jc w:val="both"/>
            </w:pPr>
            <w:r>
              <w:t xml:space="preserve">Līdz šim Valsts civilās aviācijas gaisa kuģu drošuma programmu izstrādāja valsts aģentūra “Civilās aviācijas aģentūra” kā </w:t>
            </w:r>
            <w:r w:rsidR="00256E4D">
              <w:t xml:space="preserve">iestāde, kas saskaņā ar likuma “Par aviāciju” </w:t>
            </w:r>
            <w:r w:rsidR="001A01CA">
              <w:t>6.panta otrās daļas 2.punktā noteikto, izstrādā pasākumus civilās aviācijas gaisa kuģu lidojumu drošuma un civilās aviācijas drošības līmeņa uzturēšanai un paaugstināšanai, kā arī uzraudzības nodrošināšanai.</w:t>
            </w:r>
            <w:r w:rsidR="008F0F05">
              <w:t xml:space="preserve"> </w:t>
            </w:r>
            <w:r w:rsidR="0061652C">
              <w:t xml:space="preserve">Atbilstoši </w:t>
            </w:r>
            <w:r w:rsidR="006F6344">
              <w:t>Čikāgas konvencijas 19.pielikuma prasībām, valsts gaisa kuģu lidojumu drošuma programmas izstrādē jāiesaistās</w:t>
            </w:r>
            <w:r w:rsidR="00A62B73">
              <w:t xml:space="preserve"> visām par aviācijas darbībām atbildīgajām iestādēm</w:t>
            </w:r>
            <w:r w:rsidR="006F6344">
              <w:t xml:space="preserve">, līdz ar to nepieciešams noteikt kārtību, kādā </w:t>
            </w:r>
            <w:r w:rsidR="00A62B73">
              <w:t xml:space="preserve">minētās iestādes </w:t>
            </w:r>
            <w:r w:rsidR="00A62B73">
              <w:lastRenderedPageBreak/>
              <w:t xml:space="preserve">iesaistās </w:t>
            </w:r>
            <w:r w:rsidR="00A62B73" w:rsidRPr="00A62B73">
              <w:t>Valsts civilās aviācijas gaisa kuģu lidojumu drošuma programmas</w:t>
            </w:r>
            <w:r w:rsidR="00A62B73">
              <w:t xml:space="preserve"> un </w:t>
            </w:r>
            <w:r w:rsidR="00A62B73" w:rsidRPr="00A62B73">
              <w:t>Valsts civilās aviācijas gaisa kuģu lidojumu drošuma plān</w:t>
            </w:r>
            <w:r w:rsidR="00A62B73">
              <w:t>a izstrādē.</w:t>
            </w:r>
            <w:r w:rsidR="007612F0">
              <w:t xml:space="preserve"> Noteikumu projekts paredz, ka, lai koordinētu Valsts civilās aviācijas gaisa kuģu lidojumu drošuma izstrādē iesaistīto iestāžu darbu, Satiksmes ministrija </w:t>
            </w:r>
            <w:r w:rsidR="008F0F05">
              <w:t xml:space="preserve">izveido </w:t>
            </w:r>
            <w:r w:rsidR="008F0F05" w:rsidRPr="007612F0">
              <w:t>Valsts civilās aviācijas gaisa kuģu lidojumu drošuma programmas pārvaldības grup</w:t>
            </w:r>
            <w:r w:rsidR="008F0F05">
              <w:t xml:space="preserve">u, </w:t>
            </w:r>
            <w:r w:rsidR="007612F0">
              <w:t xml:space="preserve">sasauc un vada </w:t>
            </w:r>
            <w:r w:rsidR="008F0F05">
              <w:t xml:space="preserve">tās </w:t>
            </w:r>
            <w:r w:rsidR="007612F0">
              <w:t>sanāksmes.</w:t>
            </w:r>
          </w:p>
        </w:tc>
      </w:tr>
      <w:tr w:rsidR="00BB04EB" w:rsidRPr="00BB04EB" w14:paraId="2C4E4DC5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C4045" w14:textId="77777777" w:rsidR="008C0EDC" w:rsidRPr="00BB04EB" w:rsidRDefault="008C0EDC" w:rsidP="00BB04EB">
            <w:pPr>
              <w:spacing w:before="100" w:beforeAutospacing="1" w:after="100" w:afterAutospacing="1"/>
              <w:jc w:val="both"/>
              <w:rPr>
                <w:rFonts w:eastAsia="Times New Roman"/>
                <w:lang w:eastAsia="lv-LV"/>
              </w:rPr>
            </w:pPr>
            <w:r w:rsidRPr="00BB04EB">
              <w:rPr>
                <w:rFonts w:eastAsia="Times New Roman"/>
                <w:lang w:eastAsia="lv-LV"/>
              </w:rPr>
              <w:lastRenderedPageBreak/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A62BE" w14:textId="77777777" w:rsidR="008C0EDC" w:rsidRPr="00BB04EB" w:rsidRDefault="008C0EDC" w:rsidP="00BB04EB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BB04EB">
              <w:rPr>
                <w:rFonts w:eastAsia="Times New Roman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AFE65" w14:textId="262B829C" w:rsidR="008C0EDC" w:rsidRPr="00BB04EB" w:rsidRDefault="00147E2E" w:rsidP="00BB04EB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BB04EB">
              <w:rPr>
                <w:rFonts w:eastAsia="Times New Roman"/>
                <w:lang w:eastAsia="lv-LV"/>
              </w:rPr>
              <w:t>Satiksmes ministrija</w:t>
            </w:r>
            <w:r w:rsidR="00997BF5" w:rsidRPr="00BB04EB">
              <w:rPr>
                <w:rFonts w:eastAsia="Times New Roman"/>
                <w:lang w:eastAsia="lv-LV"/>
              </w:rPr>
              <w:t xml:space="preserve">, </w:t>
            </w:r>
            <w:r w:rsidR="00AF5474" w:rsidRPr="00BB04EB">
              <w:rPr>
                <w:rFonts w:eastAsia="Times New Roman"/>
                <w:lang w:eastAsia="lv-LV"/>
              </w:rPr>
              <w:t>valsts aģentūra “</w:t>
            </w:r>
            <w:r w:rsidRPr="00BB04EB">
              <w:rPr>
                <w:rFonts w:eastAsia="Times New Roman"/>
                <w:lang w:eastAsia="lv-LV"/>
              </w:rPr>
              <w:t>Civilās aviācijas aģentūra</w:t>
            </w:r>
            <w:r w:rsidR="00AF5474" w:rsidRPr="00BB04EB">
              <w:rPr>
                <w:rFonts w:eastAsia="Times New Roman"/>
                <w:lang w:eastAsia="lv-LV"/>
              </w:rPr>
              <w:t>”</w:t>
            </w:r>
            <w:r w:rsidR="00997BF5" w:rsidRPr="00BB04EB">
              <w:rPr>
                <w:rFonts w:eastAsia="Times New Roman"/>
                <w:lang w:eastAsia="lv-LV"/>
              </w:rPr>
              <w:t xml:space="preserve">, </w:t>
            </w:r>
            <w:bookmarkStart w:id="0" w:name="_Hlk37933300"/>
            <w:r w:rsidR="006B65DB" w:rsidRPr="00BB04EB">
              <w:rPr>
                <w:rFonts w:eastAsia="Times New Roman"/>
                <w:lang w:eastAsia="lv-LV"/>
              </w:rPr>
              <w:t>Aizsardzības ministrija, Iekšlietu ministrija</w:t>
            </w:r>
            <w:bookmarkEnd w:id="0"/>
            <w:r w:rsidR="006B65DB" w:rsidRPr="00BB04EB">
              <w:rPr>
                <w:rFonts w:eastAsia="Times New Roman"/>
                <w:lang w:eastAsia="lv-LV"/>
              </w:rPr>
              <w:t xml:space="preserve">, Vides </w:t>
            </w:r>
            <w:r w:rsidR="0080213D">
              <w:rPr>
                <w:rFonts w:eastAsia="Times New Roman"/>
                <w:lang w:eastAsia="lv-LV"/>
              </w:rPr>
              <w:t xml:space="preserve">aizsardzības </w:t>
            </w:r>
            <w:r w:rsidR="006B65DB" w:rsidRPr="00BB04EB">
              <w:rPr>
                <w:rFonts w:eastAsia="Times New Roman"/>
                <w:lang w:eastAsia="lv-LV"/>
              </w:rPr>
              <w:t xml:space="preserve">un reģionālās attīstības ministrija, </w:t>
            </w:r>
            <w:bookmarkStart w:id="1" w:name="_Hlk37933367"/>
            <w:r w:rsidR="006B65DB" w:rsidRPr="00BB04EB">
              <w:rPr>
                <w:rFonts w:eastAsia="Times New Roman"/>
                <w:lang w:eastAsia="lv-LV"/>
              </w:rPr>
              <w:t xml:space="preserve">Transporta nelaimes gadījumu un incidentu izmeklēšanas birojs </w:t>
            </w:r>
            <w:bookmarkEnd w:id="1"/>
            <w:r w:rsidR="006B65DB" w:rsidRPr="00BB04EB">
              <w:rPr>
                <w:rFonts w:eastAsia="Times New Roman"/>
                <w:lang w:eastAsia="lv-LV"/>
              </w:rPr>
              <w:t>un Valsts robežsardze</w:t>
            </w:r>
            <w:r w:rsidR="00BB04EB" w:rsidRPr="00BB04EB">
              <w:rPr>
                <w:rFonts w:eastAsia="Times New Roman"/>
                <w:lang w:eastAsia="lv-LV"/>
              </w:rPr>
              <w:t>.</w:t>
            </w:r>
          </w:p>
        </w:tc>
      </w:tr>
      <w:tr w:rsidR="008C0EDC" w:rsidRPr="008C0EDC" w14:paraId="003B8915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A59AE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F3D41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DC6AB" w14:textId="77777777" w:rsidR="008C0EDC" w:rsidRPr="008C0EDC" w:rsidRDefault="00147E2E" w:rsidP="008C0EDC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Nav.</w:t>
            </w:r>
          </w:p>
        </w:tc>
      </w:tr>
    </w:tbl>
    <w:p w14:paraId="0706A0F5" w14:textId="77777777" w:rsidR="008C0EDC" w:rsidRPr="008C0EDC" w:rsidRDefault="008C0EDC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3053"/>
        <w:gridCol w:w="5379"/>
      </w:tblGrid>
      <w:tr w:rsidR="008C0EDC" w:rsidRPr="008C0EDC" w14:paraId="1859654C" w14:textId="77777777" w:rsidTr="008C0ED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97E92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C0EDC">
              <w:rPr>
                <w:rFonts w:eastAsia="Times New Roman"/>
                <w:b/>
                <w:bCs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6B65DB" w:rsidRPr="006B65DB" w14:paraId="113F74C6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FDD07" w14:textId="77777777" w:rsidR="008C0EDC" w:rsidRPr="006B65DB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6B65DB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F3186" w14:textId="77777777" w:rsidR="008C0EDC" w:rsidRPr="006B65DB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6B65DB">
              <w:rPr>
                <w:rFonts w:eastAsia="Times New Roman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B808E" w14:textId="13F0A78B" w:rsidR="007A720C" w:rsidRPr="006B65DB" w:rsidRDefault="00F27F3A" w:rsidP="00F27F3A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6B65DB">
              <w:rPr>
                <w:rFonts w:eastAsia="Times New Roman"/>
                <w:lang w:eastAsia="lv-LV"/>
              </w:rPr>
              <w:t xml:space="preserve">Noteikumu projekts attiecas uz </w:t>
            </w:r>
            <w:r w:rsidR="00B66C3D" w:rsidRPr="006B65DB">
              <w:rPr>
                <w:rFonts w:eastAsia="Times New Roman"/>
                <w:lang w:eastAsia="lv-LV"/>
              </w:rPr>
              <w:t>juridiskajām un fiziskajām personām, kuru darbība saistīta ar Latvijas Republikas gaisa telpas izmantošanu vai civilās aviācijas līdzekļu ekspluatāciju.</w:t>
            </w:r>
          </w:p>
        </w:tc>
      </w:tr>
      <w:tr w:rsidR="008C0EDC" w:rsidRPr="008C0EDC" w14:paraId="1017A3A8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F8858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E87EE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195AC" w14:textId="77777777" w:rsidR="008C0EDC" w:rsidRPr="008C0EDC" w:rsidRDefault="00F27F3A" w:rsidP="00B008D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725CB">
              <w:t>Administratīvais slogs attiecībā uz šīs anotācijas daļas 1.punktā minētajām sabiedrības mērķgrupām nemainās, jo netiek mainīti to līdzšinējie pienākumi un tiesības. Sabiedrības mērķgrupām projekta tiesiskais regulējums nemaina to tiesības un pienākumus.</w:t>
            </w:r>
          </w:p>
        </w:tc>
      </w:tr>
      <w:tr w:rsidR="008C0EDC" w:rsidRPr="008C0EDC" w14:paraId="1ED3CDC9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E1209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6D157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Administratīvo izmaksu monetārs novērtējums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9CA00" w14:textId="77777777" w:rsidR="008C0EDC" w:rsidRDefault="00633670" w:rsidP="008374B6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633670">
              <w:rPr>
                <w:rFonts w:eastAsia="Times New Roman"/>
                <w:lang w:eastAsia="lv-LV"/>
              </w:rPr>
              <w:t>Nav attiecināms.</w:t>
            </w:r>
          </w:p>
          <w:p w14:paraId="2D974236" w14:textId="77777777" w:rsidR="007A720C" w:rsidRPr="008C0EDC" w:rsidRDefault="007A720C" w:rsidP="008374B6">
            <w:pPr>
              <w:spacing w:after="0"/>
              <w:jc w:val="both"/>
              <w:rPr>
                <w:rFonts w:eastAsia="Times New Roman"/>
                <w:lang w:eastAsia="lv-LV"/>
              </w:rPr>
            </w:pPr>
          </w:p>
        </w:tc>
      </w:tr>
      <w:tr w:rsidR="008C0EDC" w:rsidRPr="008C0EDC" w14:paraId="6F667618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A6C64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D0008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Atbilstības izmaksu monetārs novērtējums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72C96" w14:textId="77777777" w:rsidR="008C0EDC" w:rsidRPr="008C0EDC" w:rsidRDefault="008374B6" w:rsidP="008C0EDC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Nav  attiecināms.</w:t>
            </w:r>
          </w:p>
        </w:tc>
      </w:tr>
      <w:tr w:rsidR="008C0EDC" w:rsidRPr="008C0EDC" w14:paraId="6888D328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D5D72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5.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6B975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56538" w14:textId="77777777" w:rsidR="008C0EDC" w:rsidRPr="008C0EDC" w:rsidRDefault="008374B6" w:rsidP="008C0EDC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Nav.</w:t>
            </w:r>
          </w:p>
        </w:tc>
      </w:tr>
    </w:tbl>
    <w:p w14:paraId="6419A01D" w14:textId="77777777" w:rsidR="008C0EDC" w:rsidRPr="008C0EDC" w:rsidRDefault="008C0EDC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0"/>
      </w:tblGrid>
      <w:tr w:rsidR="008C0EDC" w:rsidRPr="008C0EDC" w14:paraId="61F673AF" w14:textId="77777777" w:rsidTr="008C0E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58AB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C0EDC">
              <w:rPr>
                <w:rFonts w:eastAsia="Times New Roman"/>
                <w:b/>
                <w:bCs/>
                <w:lang w:eastAsia="lv-LV"/>
              </w:rPr>
              <w:t>III. Tiesību akta projekta ietekme uz valsts budžetu un pašvaldību budžetiem</w:t>
            </w:r>
          </w:p>
        </w:tc>
      </w:tr>
      <w:tr w:rsidR="00E47C0C" w:rsidRPr="008C0EDC" w14:paraId="6F542881" w14:textId="77777777" w:rsidTr="008C0E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0D910" w14:textId="77777777" w:rsidR="00E47C0C" w:rsidRPr="00E47C0C" w:rsidRDefault="00E47C0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E47C0C">
              <w:rPr>
                <w:rFonts w:eastAsia="Times New Roman"/>
                <w:lang w:eastAsia="lv-LV"/>
              </w:rPr>
              <w:t>Projekts šo jomu neskar</w:t>
            </w:r>
            <w:r w:rsidR="000270AD">
              <w:rPr>
                <w:rFonts w:eastAsia="Times New Roman"/>
                <w:lang w:eastAsia="lv-LV"/>
              </w:rPr>
              <w:t>.</w:t>
            </w:r>
          </w:p>
        </w:tc>
      </w:tr>
    </w:tbl>
    <w:p w14:paraId="0AA2DA12" w14:textId="77777777" w:rsidR="008C0EDC" w:rsidRPr="008C0EDC" w:rsidRDefault="008C0EDC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0"/>
      </w:tblGrid>
      <w:tr w:rsidR="008C0EDC" w:rsidRPr="008C0EDC" w14:paraId="769B0076" w14:textId="77777777" w:rsidTr="008C0E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4AC19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C0EDC">
              <w:rPr>
                <w:rFonts w:eastAsia="Times New Roman"/>
                <w:b/>
                <w:bCs/>
                <w:lang w:eastAsia="lv-LV"/>
              </w:rPr>
              <w:t>IV. Tiesību akta projekta ietekme uz spēkā esošo tiesību normu sistēmu</w:t>
            </w:r>
          </w:p>
        </w:tc>
      </w:tr>
      <w:tr w:rsidR="00E47C0C" w:rsidRPr="008C0EDC" w14:paraId="13074A19" w14:textId="77777777" w:rsidTr="008C0E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DB6B7" w14:textId="77777777" w:rsidR="00E47C0C" w:rsidRPr="00E47C0C" w:rsidRDefault="00E47C0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E47C0C">
              <w:rPr>
                <w:rFonts w:eastAsia="Times New Roman"/>
                <w:lang w:eastAsia="lv-LV"/>
              </w:rPr>
              <w:t>Projekts šo jomu neskar</w:t>
            </w:r>
            <w:r w:rsidR="000270AD">
              <w:rPr>
                <w:rFonts w:eastAsia="Times New Roman"/>
                <w:lang w:eastAsia="lv-LV"/>
              </w:rPr>
              <w:t>.</w:t>
            </w:r>
          </w:p>
        </w:tc>
      </w:tr>
    </w:tbl>
    <w:p w14:paraId="19B25CBA" w14:textId="77777777" w:rsidR="008C0EDC" w:rsidRPr="008C0EDC" w:rsidRDefault="008C0EDC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3053"/>
        <w:gridCol w:w="5379"/>
      </w:tblGrid>
      <w:tr w:rsidR="008C0EDC" w:rsidRPr="008C0EDC" w14:paraId="00F29A3D" w14:textId="77777777" w:rsidTr="008C0ED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C1586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C0EDC">
              <w:rPr>
                <w:rFonts w:eastAsia="Times New Roman"/>
                <w:b/>
                <w:bCs/>
                <w:lang w:eastAsia="lv-LV"/>
              </w:rPr>
              <w:t>V. Tiesību akta projekta atbilstība Latvijas Republikas starptautiskajām saistībām</w:t>
            </w:r>
          </w:p>
        </w:tc>
      </w:tr>
      <w:tr w:rsidR="008C0EDC" w:rsidRPr="008C0EDC" w14:paraId="456F756C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3C07E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C93AA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Saistības pret Eiropas Savienību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9C9BC" w14:textId="77777777" w:rsidR="00A103D2" w:rsidRPr="00A62B73" w:rsidRDefault="00A103D2" w:rsidP="00A103D2">
            <w:pPr>
              <w:spacing w:before="120" w:after="0"/>
              <w:jc w:val="both"/>
              <w:rPr>
                <w:rFonts w:eastAsia="Times New Roman"/>
                <w:lang w:eastAsia="lv-LV"/>
              </w:rPr>
            </w:pPr>
            <w:r w:rsidRPr="00A62B73">
              <w:rPr>
                <w:rFonts w:eastAsia="Times New Roman"/>
                <w:lang w:eastAsia="lv-LV"/>
              </w:rPr>
              <w:t>Tiesību aktā ietverta atsauce uz:</w:t>
            </w:r>
          </w:p>
          <w:p w14:paraId="0EFE1B71" w14:textId="26528249" w:rsidR="002B5488" w:rsidRPr="00A62B73" w:rsidRDefault="00A103D2" w:rsidP="00F17C33">
            <w:pPr>
              <w:spacing w:before="120" w:after="0"/>
              <w:jc w:val="both"/>
              <w:rPr>
                <w:rFonts w:eastAsia="Times New Roman"/>
                <w:lang w:eastAsia="lv-LV"/>
              </w:rPr>
            </w:pPr>
            <w:r w:rsidRPr="00A62B73">
              <w:rPr>
                <w:rFonts w:eastAsia="Times New Roman"/>
                <w:lang w:eastAsia="lv-LV"/>
              </w:rPr>
              <w:lastRenderedPageBreak/>
              <w:t xml:space="preserve">Eiropas Parlamenta un Padomes 2018.gada 4.jūlija Regulu (ES) </w:t>
            </w:r>
            <w:r w:rsidR="004E5AB3" w:rsidRPr="00A62B73">
              <w:rPr>
                <w:rFonts w:eastAsia="Times New Roman"/>
                <w:lang w:eastAsia="lv-LV"/>
              </w:rPr>
              <w:t>Nr. </w:t>
            </w:r>
            <w:r w:rsidRPr="00A62B73">
              <w:rPr>
                <w:rFonts w:eastAsia="Times New Roman"/>
                <w:lang w:eastAsia="lv-LV"/>
              </w:rPr>
              <w:t>2018/1139 par kopīgiem noteikumiem civilās aviācijas jomā un ar ko izveido Eiropas Savienības Aviācijas drošības aģentūru, un ar ko groza Eiropas Parlamenta un Padomes Regulas (EK)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2111/2005, (EK)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1008/2008, (ES)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996/2010, (ES)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376/2014 un Direktīvas 2014/30/ES un 2014/53/ES un atceļ Eiropas Parlamenta un Padomes Regulas (EK)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552/2004 un (EK)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216/2008 un Padomes Regulu (EEK) Nr.3922/91 (publicēta “Eiropas Savienības Oficiālajā Vēstnesī” L 212/1, 22.08.2018)</w:t>
            </w:r>
            <w:r w:rsidR="00F17C33" w:rsidRPr="00A62B73">
              <w:rPr>
                <w:rFonts w:eastAsia="Times New Roman"/>
                <w:lang w:eastAsia="lv-LV"/>
              </w:rPr>
              <w:t>.</w:t>
            </w:r>
          </w:p>
        </w:tc>
      </w:tr>
      <w:tr w:rsidR="008C0EDC" w:rsidRPr="008C0EDC" w14:paraId="1C090E1A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892FD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lastRenderedPageBreak/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BDD2F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Citas starptautiskās saistības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135C8" w14:textId="77777777" w:rsidR="00FA1AC8" w:rsidRPr="008C0EDC" w:rsidRDefault="00485DD1" w:rsidP="00FA1AC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Nav.</w:t>
            </w:r>
          </w:p>
        </w:tc>
      </w:tr>
      <w:tr w:rsidR="008C0EDC" w:rsidRPr="008C0EDC" w14:paraId="64B8BFD0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ECA1F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CD677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C467C" w14:textId="77777777" w:rsidR="008C0EDC" w:rsidRPr="008C0EDC" w:rsidRDefault="000270AD" w:rsidP="008C0EDC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Nav.</w:t>
            </w:r>
          </w:p>
        </w:tc>
      </w:tr>
    </w:tbl>
    <w:p w14:paraId="1EA37451" w14:textId="77777777" w:rsidR="007A720C" w:rsidRPr="008C0EDC" w:rsidRDefault="007A720C" w:rsidP="008C0EDC">
      <w:pPr>
        <w:spacing w:after="0"/>
        <w:rPr>
          <w:rFonts w:eastAsia="Times New Roman"/>
          <w:lang w:eastAsia="lv-LV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81"/>
        <w:gridCol w:w="1939"/>
        <w:gridCol w:w="2087"/>
        <w:gridCol w:w="2503"/>
      </w:tblGrid>
      <w:tr w:rsidR="008C0EDC" w:rsidRPr="008C0EDC" w14:paraId="6DCA555C" w14:textId="77777777" w:rsidTr="00A2283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21486" w14:textId="77777777" w:rsidR="008C0EDC" w:rsidRPr="008C0EDC" w:rsidRDefault="008C0EDC" w:rsidP="00A2283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C0EDC">
              <w:rPr>
                <w:rFonts w:eastAsia="Times New Roman"/>
                <w:b/>
                <w:bCs/>
                <w:lang w:eastAsia="lv-LV"/>
              </w:rPr>
              <w:t>1. tabula</w:t>
            </w:r>
            <w:r w:rsidRPr="008C0EDC">
              <w:rPr>
                <w:rFonts w:eastAsia="Times New Roman"/>
                <w:b/>
                <w:bCs/>
                <w:lang w:eastAsia="lv-LV"/>
              </w:rPr>
              <w:br/>
              <w:t>Tiesību akta projekta atbilstība ES tiesību aktiem</w:t>
            </w:r>
          </w:p>
        </w:tc>
      </w:tr>
      <w:tr w:rsidR="008C0EDC" w:rsidRPr="008C0EDC" w14:paraId="1F183DD5" w14:textId="77777777" w:rsidTr="00481ACC">
        <w:trPr>
          <w:tblCellSpacing w:w="15" w:type="dxa"/>
        </w:trPr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98DDB" w14:textId="77777777" w:rsidR="008C0EDC" w:rsidRPr="008C0EDC" w:rsidRDefault="008C0EDC" w:rsidP="00A22836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Attiecīgā ES tiesību akta datums, numurs un nosaukums</w:t>
            </w:r>
          </w:p>
        </w:tc>
        <w:tc>
          <w:tcPr>
            <w:tcW w:w="35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8ACC1" w14:textId="750A52CA" w:rsidR="002B5488" w:rsidRPr="00A62B73" w:rsidRDefault="00A103D2" w:rsidP="00A62B73">
            <w:pPr>
              <w:spacing w:before="120" w:after="0"/>
              <w:jc w:val="both"/>
              <w:rPr>
                <w:rFonts w:eastAsia="Times New Roman"/>
                <w:lang w:eastAsia="lv-LV"/>
              </w:rPr>
            </w:pPr>
            <w:r w:rsidRPr="00A62B73">
              <w:rPr>
                <w:rFonts w:eastAsia="Times New Roman"/>
                <w:lang w:eastAsia="lv-LV"/>
              </w:rPr>
              <w:t>Eiropas Parlamenta un Padomes 2018.gada 4.jūlija Regula (ES) 2018/1139 par kopīgiem noteikumiem civilās aviācijas jomā</w:t>
            </w:r>
            <w:r w:rsidR="00292A01" w:rsidRPr="00A62B73">
              <w:rPr>
                <w:rFonts w:eastAsia="Times New Roman"/>
                <w:lang w:eastAsia="lv-LV"/>
              </w:rPr>
              <w:t>,</w:t>
            </w:r>
            <w:r w:rsidRPr="00A62B73">
              <w:rPr>
                <w:rFonts w:eastAsia="Times New Roman"/>
                <w:lang w:eastAsia="lv-LV"/>
              </w:rPr>
              <w:t xml:space="preserve"> ar ko izveido Eiropas Savienības Aviācijas drošības aģentūru, un ar ko groza Eiropas Parlamenta un Padomes Regulas (EK)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2111/2005, (EK)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1008/2008, (ES)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996/2010, (ES)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376/2014 un Direktīvas 2014/30/ES un 2014/53/ES un atceļ Eiropas Parlamenta un Padomes Regulas (EK)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552/2004 un (EK)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216/2008 un Padomes Regulu (EEK) Nr.</w:t>
            </w:r>
            <w:r w:rsidR="004E5AB3" w:rsidRPr="00A62B73">
              <w:rPr>
                <w:rFonts w:eastAsia="Times New Roman"/>
                <w:lang w:eastAsia="lv-LV"/>
              </w:rPr>
              <w:t> </w:t>
            </w:r>
            <w:r w:rsidRPr="00A62B73">
              <w:rPr>
                <w:rFonts w:eastAsia="Times New Roman"/>
                <w:lang w:eastAsia="lv-LV"/>
              </w:rPr>
              <w:t>3922/91 (publicēta “Eiropas Savienības Oficiālajā Vēstnesī” L 212/1, 22.08.2018) (turpmāk- Regula Nr.2018/1139)</w:t>
            </w:r>
            <w:r w:rsidR="00A62B73" w:rsidRPr="00A62B73">
              <w:rPr>
                <w:rFonts w:eastAsia="Times New Roman"/>
                <w:lang w:eastAsia="lv-LV"/>
              </w:rPr>
              <w:t>.</w:t>
            </w:r>
          </w:p>
        </w:tc>
      </w:tr>
      <w:tr w:rsidR="00FA1AC8" w:rsidRPr="008C0EDC" w14:paraId="332DDC73" w14:textId="77777777" w:rsidTr="00481ACC">
        <w:trPr>
          <w:tblCellSpacing w:w="15" w:type="dxa"/>
        </w:trPr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8E66E" w14:textId="77777777" w:rsidR="008C0EDC" w:rsidRPr="008C0EDC" w:rsidRDefault="008C0EDC" w:rsidP="00A22836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B976" w14:textId="77777777" w:rsidR="008C0EDC" w:rsidRPr="008C0EDC" w:rsidRDefault="008C0EDC" w:rsidP="00A22836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B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3EA36" w14:textId="77777777" w:rsidR="008C0EDC" w:rsidRPr="008C0EDC" w:rsidRDefault="008C0EDC" w:rsidP="00A22836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C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1B51" w14:textId="77777777" w:rsidR="008C0EDC" w:rsidRPr="008C0EDC" w:rsidRDefault="008C0EDC" w:rsidP="00A22836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D</w:t>
            </w:r>
          </w:p>
        </w:tc>
      </w:tr>
      <w:tr w:rsidR="00FA1AC8" w:rsidRPr="008C0EDC" w14:paraId="199E873B" w14:textId="77777777" w:rsidTr="00481ACC">
        <w:trPr>
          <w:tblCellSpacing w:w="15" w:type="dxa"/>
        </w:trPr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F0285" w14:textId="77777777" w:rsidR="008C0EDC" w:rsidRPr="008C0EDC" w:rsidRDefault="008C0EDC" w:rsidP="00A22836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Attiecīgā ES tiesību akta panta numurs (uzskaitot katru tiesību akta vienību - pantu, daļu, punktu, apakšpunktu)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05A85" w14:textId="77777777" w:rsidR="008C0EDC" w:rsidRPr="008C0EDC" w:rsidRDefault="008C0EDC" w:rsidP="00A22836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Projekta vienība, kas pārņem vai ievieš katru šīs tabulas A ailē minēto ES tiesību akta vienību, vai tiesību akts, kur attiecīgā ES tiesību akta vienība pārņemta vai ieviesta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D6E9E" w14:textId="77777777" w:rsidR="008C0EDC" w:rsidRPr="008C0EDC" w:rsidRDefault="008C0EDC" w:rsidP="00A22836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Informācija par to, vai šīs tabulas A ailē minētās ES tiesību akta vienības tiek pārņemtas vai ieviestas pilnībā vai daļēji.</w:t>
            </w:r>
            <w:r w:rsidRPr="008C0EDC">
              <w:rPr>
                <w:rFonts w:eastAsia="Times New Roman"/>
                <w:lang w:eastAsia="lv-LV"/>
              </w:rPr>
              <w:br/>
              <w:t>Ja attiecīgā ES tiesību akta vienība tiek pārņemta vai ieviesta daļēji, sniedz attiecīgu skaidrojumu, kā arī precīzi norāda, kad un kādā veidā ES tiesību akta vienība tiks pārņemta vai ieviesta pilnībā.</w:t>
            </w:r>
            <w:r w:rsidRPr="008C0EDC">
              <w:rPr>
                <w:rFonts w:eastAsia="Times New Roman"/>
                <w:lang w:eastAsia="lv-LV"/>
              </w:rPr>
              <w:br/>
            </w:r>
            <w:r w:rsidRPr="008C0EDC">
              <w:rPr>
                <w:rFonts w:eastAsia="Times New Roman"/>
                <w:lang w:eastAsia="lv-LV"/>
              </w:rPr>
              <w:lastRenderedPageBreak/>
              <w:t>Norāda institūciju, kas ir atbildīga par šo saistību izpildi pilnībā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5F78D" w14:textId="77777777" w:rsidR="008C0EDC" w:rsidRDefault="008C0EDC" w:rsidP="00A22836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lastRenderedPageBreak/>
              <w:t>Informācija par to, vai šīs tabulas B ailē minētās projekta vienības paredz stingrākas prasības nekā šīs tabulas A ailē minētās ES tiesību akta vienības.</w:t>
            </w:r>
            <w:r w:rsidRPr="008C0EDC">
              <w:rPr>
                <w:rFonts w:eastAsia="Times New Roman"/>
                <w:lang w:eastAsia="lv-LV"/>
              </w:rPr>
              <w:br/>
              <w:t>Ja projekts satur stingrākas prasības nekā attiecīgais ES tiesību akts, norāda pamatojumu un samērīgumu.</w:t>
            </w:r>
            <w:r w:rsidRPr="008C0EDC">
              <w:rPr>
                <w:rFonts w:eastAsia="Times New Roman"/>
                <w:lang w:eastAsia="lv-LV"/>
              </w:rPr>
              <w:br/>
              <w:t xml:space="preserve">Norāda iespējamās alternatīvas (t. sk. alternatīvas, kas neparedz tiesiskā </w:t>
            </w:r>
            <w:r w:rsidRPr="008C0EDC">
              <w:rPr>
                <w:rFonts w:eastAsia="Times New Roman"/>
                <w:lang w:eastAsia="lv-LV"/>
              </w:rPr>
              <w:lastRenderedPageBreak/>
              <w:t>regulējuma izstrādi) - kādos gadījumos būtu iespējams izvairīties no stingrāku prasību noteikšanas, nekā paredzēts attiecīgajos ES tiesību aktos</w:t>
            </w:r>
          </w:p>
          <w:p w14:paraId="7B69819E" w14:textId="12DB72F6" w:rsidR="002B5488" w:rsidRPr="008C0EDC" w:rsidRDefault="002B5488" w:rsidP="00A22836">
            <w:pPr>
              <w:spacing w:after="0"/>
              <w:rPr>
                <w:rFonts w:eastAsia="Times New Roman"/>
                <w:lang w:eastAsia="lv-LV"/>
              </w:rPr>
            </w:pPr>
          </w:p>
        </w:tc>
      </w:tr>
      <w:tr w:rsidR="00EB437C" w:rsidRPr="00EB437C" w14:paraId="31AE520C" w14:textId="77777777" w:rsidTr="00A62B73">
        <w:trPr>
          <w:tblCellSpacing w:w="15" w:type="dxa"/>
        </w:trPr>
        <w:tc>
          <w:tcPr>
            <w:tcW w:w="24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3403A" w14:textId="77777777" w:rsidR="000E60B4" w:rsidRPr="00EB437C" w:rsidRDefault="000E60B4" w:rsidP="00A22836">
            <w:pPr>
              <w:spacing w:after="0"/>
              <w:rPr>
                <w:rFonts w:eastAsia="Times New Roman"/>
                <w:lang w:eastAsia="lv-LV"/>
              </w:rPr>
            </w:pPr>
            <w:r w:rsidRPr="00EB437C">
              <w:rPr>
                <w:rFonts w:eastAsia="Times New Roman"/>
                <w:lang w:eastAsia="lv-LV"/>
              </w:rPr>
              <w:lastRenderedPageBreak/>
              <w:t>Kā ir izmantota ES tiesību aktā paredzētā rīcības brīvība dalībvalstij pārņemt vai ieviest noteiktas ES tiesību akta normas? Kādēļ?</w:t>
            </w:r>
          </w:p>
        </w:tc>
        <w:tc>
          <w:tcPr>
            <w:tcW w:w="25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3ACF0" w14:textId="77777777" w:rsidR="000E60B4" w:rsidRPr="00EB437C" w:rsidRDefault="00FA1AC8" w:rsidP="00A22836">
            <w:pPr>
              <w:spacing w:after="0"/>
              <w:rPr>
                <w:rFonts w:eastAsia="Times New Roman"/>
                <w:lang w:eastAsia="lv-LV"/>
              </w:rPr>
            </w:pPr>
            <w:r w:rsidRPr="00EB437C">
              <w:rPr>
                <w:rFonts w:eastAsia="Times New Roman"/>
                <w:lang w:eastAsia="lv-LV"/>
              </w:rPr>
              <w:t>Projekts šo jomu neskar.</w:t>
            </w:r>
          </w:p>
        </w:tc>
      </w:tr>
      <w:tr w:rsidR="00EB437C" w:rsidRPr="00EB437C" w14:paraId="28803253" w14:textId="77777777" w:rsidTr="00A62B73">
        <w:trPr>
          <w:tblCellSpacing w:w="15" w:type="dxa"/>
        </w:trPr>
        <w:tc>
          <w:tcPr>
            <w:tcW w:w="24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E6E8E" w14:textId="77777777" w:rsidR="000E60B4" w:rsidRPr="00EB437C" w:rsidRDefault="000E60B4" w:rsidP="00A22836">
            <w:pPr>
              <w:spacing w:after="0"/>
              <w:rPr>
                <w:rFonts w:eastAsia="Times New Roman"/>
                <w:lang w:eastAsia="lv-LV"/>
              </w:rPr>
            </w:pPr>
            <w:r w:rsidRPr="00EB437C">
              <w:rPr>
                <w:rFonts w:eastAsia="Times New Roman"/>
                <w:lang w:eastAsia="lv-LV"/>
              </w:rPr>
              <w:t>Saistības sniegt paziņojumu ES institūcijām un ES dalībvalstīm atbilstoši normatīvajiem aktiem, kas regulē informācijas sniegšanu par tehnisko noteikumu, valsts atbalsta piešķiršanas un finanšu noteikumu (attiecībā uz monetāro politiku) projektiem</w:t>
            </w:r>
          </w:p>
        </w:tc>
        <w:tc>
          <w:tcPr>
            <w:tcW w:w="25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3E90A" w14:textId="77777777" w:rsidR="000E60B4" w:rsidRPr="00EB437C" w:rsidRDefault="00FA1AC8" w:rsidP="00A22836">
            <w:pPr>
              <w:spacing w:after="0"/>
              <w:rPr>
                <w:rFonts w:eastAsia="Times New Roman"/>
                <w:lang w:eastAsia="lv-LV"/>
              </w:rPr>
            </w:pPr>
            <w:r w:rsidRPr="00EB437C">
              <w:rPr>
                <w:rFonts w:eastAsia="Times New Roman"/>
                <w:lang w:eastAsia="lv-LV"/>
              </w:rPr>
              <w:t>Projekts šo jomu neskar.</w:t>
            </w:r>
          </w:p>
        </w:tc>
      </w:tr>
      <w:tr w:rsidR="00EB437C" w:rsidRPr="00EB437C" w14:paraId="61C5F22B" w14:textId="77777777" w:rsidTr="00A62B73">
        <w:trPr>
          <w:tblCellSpacing w:w="15" w:type="dxa"/>
        </w:trPr>
        <w:tc>
          <w:tcPr>
            <w:tcW w:w="24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76036" w14:textId="77777777" w:rsidR="000E60B4" w:rsidRPr="00EB437C" w:rsidRDefault="000E60B4" w:rsidP="00A22836">
            <w:pPr>
              <w:spacing w:after="0"/>
              <w:rPr>
                <w:rFonts w:eastAsia="Times New Roman"/>
                <w:lang w:eastAsia="lv-LV"/>
              </w:rPr>
            </w:pPr>
            <w:r w:rsidRPr="00EB437C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5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2CB16" w14:textId="5100489D" w:rsidR="000E60B4" w:rsidRPr="00EB437C" w:rsidRDefault="00DC1281" w:rsidP="00481AC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Noteikumu projektā ir iekļauta vispārīga atsauce uz </w:t>
            </w:r>
            <w:r w:rsidR="00481ACC" w:rsidRPr="00481ACC">
              <w:rPr>
                <w:rFonts w:eastAsia="Times New Roman"/>
                <w:lang w:eastAsia="lv-LV"/>
              </w:rPr>
              <w:t>Eiropas Parlamenta un Padomes 2018.gada 4.jūlija Regula (ES) 2018/1139 par kopīgiem noteikumiem civilās aviācijas jomā, ar ko izveido Eiropas Savienības Aviācijas drošības aģentūru, un ar ko groza Eiropas Parlamenta un Padomes Regulas (EK) Nr. 2111/2005, (EK) Nr. 1008/2008, (ES) Nr. 996/2010, (ES) Nr. 376/2014 un Direktīvas 2014/30/ES un 2014/53/ES un atceļ Eiropas Parlamenta un Padomes Regulas (EK) Nr. 552/2004 un (EK) Nr. 216/2008 un Padomes Regulu (EEK) Nr. 3922/91</w:t>
            </w:r>
            <w:r w:rsidR="004866F6">
              <w:rPr>
                <w:rFonts w:eastAsia="Times New Roman"/>
                <w:lang w:eastAsia="lv-LV"/>
              </w:rPr>
              <w:t xml:space="preserve">, </w:t>
            </w:r>
            <w:r w:rsidR="004866F6">
              <w:t xml:space="preserve"> </w:t>
            </w:r>
            <w:r w:rsidR="004866F6" w:rsidRPr="004866F6">
              <w:rPr>
                <w:rFonts w:eastAsia="Times New Roman"/>
                <w:lang w:eastAsia="lv-LV"/>
              </w:rPr>
              <w:t>neatsaucoties uz konkrētu regulas punktu.</w:t>
            </w:r>
          </w:p>
        </w:tc>
      </w:tr>
    </w:tbl>
    <w:p w14:paraId="01E83A1C" w14:textId="77777777" w:rsidR="008C0EDC" w:rsidRPr="008C0EDC" w:rsidRDefault="00A22836" w:rsidP="008C0EDC">
      <w:pPr>
        <w:spacing w:after="0"/>
        <w:rPr>
          <w:rFonts w:eastAsia="Times New Roman"/>
          <w:lang w:eastAsia="lv-LV"/>
        </w:rPr>
      </w:pPr>
      <w:r w:rsidRPr="00EB437C">
        <w:rPr>
          <w:rFonts w:eastAsia="Times New Roman"/>
          <w:lang w:eastAsia="lv-LV"/>
        </w:rPr>
        <w:br w:type="textWrapping" w:clear="all"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3053"/>
        <w:gridCol w:w="5379"/>
      </w:tblGrid>
      <w:tr w:rsidR="008C0EDC" w:rsidRPr="008C0EDC" w14:paraId="2AB649BF" w14:textId="77777777" w:rsidTr="008C0ED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9F985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C0EDC">
              <w:rPr>
                <w:rFonts w:eastAsia="Times New Roman"/>
                <w:b/>
                <w:bCs/>
                <w:lang w:eastAsia="lv-LV"/>
              </w:rPr>
              <w:t>VI. Sabiedrības līdzdalība un komunikācijas aktivitātes</w:t>
            </w:r>
          </w:p>
        </w:tc>
      </w:tr>
      <w:tr w:rsidR="008C0EDC" w:rsidRPr="008C0EDC" w14:paraId="18C8D899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7FA7B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10F36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14BE1" w14:textId="7A13BFF3" w:rsidR="007A720C" w:rsidRPr="008C0EDC" w:rsidRDefault="009B628B" w:rsidP="007A720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9B628B">
              <w:rPr>
                <w:rFonts w:eastAsia="Calibri"/>
              </w:rPr>
              <w:t>Saskaņā ar Ministru kabineta 2009.gada 25.augusta noteikumu Nr. 970 „Sabiedrības līdzdalības kārtība attīstības plānošanas procesā” 7.4.</w:t>
            </w:r>
            <w:r w:rsidRPr="00EC5BAC">
              <w:rPr>
                <w:rFonts w:eastAsia="Calibri"/>
                <w:vertAlign w:val="superscript"/>
              </w:rPr>
              <w:t>1</w:t>
            </w:r>
            <w:r w:rsidRPr="009B628B">
              <w:rPr>
                <w:rFonts w:eastAsia="Calibri"/>
              </w:rPr>
              <w:t xml:space="preserve"> apakšpunktu sabiedrībai tiek dota iespēja rakstiski sniegt viedokli par noteikumu projektu tā saskaņošanas stadijā.</w:t>
            </w:r>
          </w:p>
        </w:tc>
      </w:tr>
      <w:tr w:rsidR="008C0EDC" w:rsidRPr="008C0EDC" w14:paraId="29EC2803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A2199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7D761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Sabiedrības līdzdalība projekta izstrādē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E742F" w14:textId="14F52E4D" w:rsidR="000E42FA" w:rsidRPr="008C0EDC" w:rsidRDefault="00EC5BAC" w:rsidP="007A720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EC5BAC">
              <w:rPr>
                <w:rFonts w:eastAsia="Times New Roman"/>
                <w:lang w:eastAsia="lv-LV"/>
              </w:rPr>
              <w:t>Par noteikumu projekta izstrādi tika informēti sabiedrības pārstāvji, 202</w:t>
            </w:r>
            <w:r w:rsidR="002B444B">
              <w:rPr>
                <w:rFonts w:eastAsia="Times New Roman"/>
                <w:lang w:eastAsia="lv-LV"/>
              </w:rPr>
              <w:t>1</w:t>
            </w:r>
            <w:r w:rsidRPr="00EC5BAC">
              <w:rPr>
                <w:rFonts w:eastAsia="Times New Roman"/>
                <w:lang w:eastAsia="lv-LV"/>
              </w:rPr>
              <w:t xml:space="preserve">.gada </w:t>
            </w:r>
            <w:r w:rsidR="002B444B">
              <w:rPr>
                <w:rFonts w:eastAsia="Times New Roman"/>
                <w:lang w:eastAsia="lv-LV"/>
              </w:rPr>
              <w:t>20</w:t>
            </w:r>
            <w:r w:rsidRPr="00EC5BAC">
              <w:rPr>
                <w:rFonts w:eastAsia="Times New Roman"/>
                <w:lang w:eastAsia="lv-LV"/>
              </w:rPr>
              <w:t>.aprīlī, ievietojot paziņojumu par līdzdalības iespējām tiesību akta izstrādes procesā Satiksmes ministrijas tīmekļa vietnē</w:t>
            </w:r>
            <w:r w:rsidR="002B444B">
              <w:rPr>
                <w:rFonts w:eastAsia="Times New Roman"/>
                <w:lang w:eastAsia="lv-LV"/>
              </w:rPr>
              <w:t>.</w:t>
            </w:r>
          </w:p>
        </w:tc>
      </w:tr>
      <w:tr w:rsidR="008C0EDC" w:rsidRPr="008C0EDC" w14:paraId="19337E5A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7B528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DB6F7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Sabiedrības līdzdalības rezultāti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1101A" w14:textId="77777777" w:rsidR="008C0EDC" w:rsidRPr="008C0EDC" w:rsidRDefault="000E42FA" w:rsidP="007A720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Nekādi priekšlikumi vai iebildumi netika iesniegti.</w:t>
            </w:r>
          </w:p>
        </w:tc>
      </w:tr>
      <w:tr w:rsidR="008C0EDC" w:rsidRPr="008C0EDC" w14:paraId="7DB486E6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3126B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676E7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C4234" w14:textId="77777777" w:rsidR="008C0EDC" w:rsidRPr="008C0EDC" w:rsidRDefault="000E42FA" w:rsidP="007A720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Nav.</w:t>
            </w:r>
          </w:p>
        </w:tc>
      </w:tr>
    </w:tbl>
    <w:p w14:paraId="11A826BC" w14:textId="77777777" w:rsidR="008C0EDC" w:rsidRPr="008C0EDC" w:rsidRDefault="008C0EDC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3053"/>
        <w:gridCol w:w="5379"/>
      </w:tblGrid>
      <w:tr w:rsidR="008C0EDC" w:rsidRPr="008C0EDC" w14:paraId="660BCCC5" w14:textId="77777777" w:rsidTr="008C0ED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2B377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C0EDC">
              <w:rPr>
                <w:rFonts w:eastAsia="Times New Roman"/>
                <w:b/>
                <w:bCs/>
                <w:lang w:eastAsia="lv-LV"/>
              </w:rPr>
              <w:t>VII. Tiesību akta projekta izpildes nodrošināšana un tās ietekme uz institūcijām</w:t>
            </w:r>
          </w:p>
        </w:tc>
      </w:tr>
      <w:tr w:rsidR="008C0EDC" w:rsidRPr="008C0EDC" w14:paraId="00627A5A" w14:textId="77777777" w:rsidTr="000B6C5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B9B2C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CDF9E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Projekta izpildē iesaistītās institūcijas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B9B53" w14:textId="77777777" w:rsidR="008C0EDC" w:rsidRPr="008C0EDC" w:rsidRDefault="00D935AC" w:rsidP="008C0EDC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Civilās aviācijas aģentūra</w:t>
            </w:r>
          </w:p>
        </w:tc>
      </w:tr>
      <w:tr w:rsidR="008C0EDC" w:rsidRPr="008C0EDC" w14:paraId="76513950" w14:textId="77777777" w:rsidTr="000B6C5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C6ED7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50506" w14:textId="27E84F2B" w:rsidR="002B5488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Projekta izpildes ietekme uz pārvaldes funkcijām un institucionālo struktūru.</w:t>
            </w:r>
            <w:r w:rsidRPr="008C0EDC">
              <w:rPr>
                <w:rFonts w:eastAsia="Times New Roman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E9405" w14:textId="77777777" w:rsidR="008C0EDC" w:rsidRPr="008C0EDC" w:rsidRDefault="00D935AC" w:rsidP="00D935A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753198">
              <w:rPr>
                <w:rFonts w:eastAsia="Times New Roman"/>
                <w:lang w:eastAsia="lv-LV"/>
              </w:rPr>
              <w:t>Noteikumu projekta izpilde neietekmēs pārvaldes funkcijas vai institucionālo struktūru, jo tā izpilde tiks nodrošināta jau esošās valsts pārvaldes institucionālās uzbūves ietvaros.</w:t>
            </w:r>
          </w:p>
        </w:tc>
      </w:tr>
      <w:tr w:rsidR="008C0EDC" w:rsidRPr="008C0EDC" w14:paraId="1DFEC0C9" w14:textId="77777777" w:rsidTr="000B6C5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0A66E" w14:textId="77777777" w:rsidR="008C0EDC" w:rsidRPr="008C0EDC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D80E3" w14:textId="77777777" w:rsidR="008C0EDC" w:rsidRPr="008C0EDC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8C0EDC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63D6A" w14:textId="77777777" w:rsidR="008C0EDC" w:rsidRPr="008C0EDC" w:rsidRDefault="00D935AC" w:rsidP="008C0EDC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Nav.</w:t>
            </w:r>
          </w:p>
        </w:tc>
      </w:tr>
    </w:tbl>
    <w:p w14:paraId="5136981D" w14:textId="77777777" w:rsidR="000B6C51" w:rsidRDefault="000B6C51" w:rsidP="000B6C51">
      <w:pPr>
        <w:tabs>
          <w:tab w:val="left" w:pos="6237"/>
        </w:tabs>
        <w:spacing w:after="0"/>
        <w:ind w:firstLine="720"/>
        <w:rPr>
          <w:sz w:val="28"/>
          <w:szCs w:val="28"/>
        </w:rPr>
      </w:pPr>
    </w:p>
    <w:p w14:paraId="36767A1C" w14:textId="77777777" w:rsidR="000B6C51" w:rsidRDefault="000B6C51" w:rsidP="000B6C51">
      <w:pPr>
        <w:tabs>
          <w:tab w:val="left" w:pos="6237"/>
        </w:tabs>
        <w:spacing w:after="0"/>
        <w:ind w:firstLine="720"/>
        <w:rPr>
          <w:sz w:val="28"/>
          <w:szCs w:val="28"/>
        </w:rPr>
      </w:pPr>
    </w:p>
    <w:p w14:paraId="7A375B63" w14:textId="1B47F4F8" w:rsidR="000B6C51" w:rsidRPr="003A4796" w:rsidRDefault="000B6C51" w:rsidP="000B6C51">
      <w:pPr>
        <w:tabs>
          <w:tab w:val="left" w:pos="6237"/>
        </w:tabs>
        <w:spacing w:after="0"/>
        <w:ind w:firstLine="720"/>
        <w:rPr>
          <w:sz w:val="28"/>
          <w:szCs w:val="28"/>
        </w:rPr>
      </w:pPr>
      <w:r w:rsidRPr="003A4796">
        <w:rPr>
          <w:sz w:val="28"/>
          <w:szCs w:val="28"/>
        </w:rPr>
        <w:t>Satiksmes ministrs</w:t>
      </w:r>
      <w:r w:rsidRPr="003A4796">
        <w:rPr>
          <w:sz w:val="28"/>
          <w:szCs w:val="28"/>
        </w:rPr>
        <w:tab/>
      </w:r>
      <w:r w:rsidR="002F07BC">
        <w:rPr>
          <w:sz w:val="28"/>
          <w:szCs w:val="28"/>
        </w:rPr>
        <w:tab/>
      </w:r>
      <w:r w:rsidR="00882D76">
        <w:rPr>
          <w:sz w:val="28"/>
          <w:szCs w:val="28"/>
        </w:rPr>
        <w:t>T.Linkaits</w:t>
      </w:r>
    </w:p>
    <w:p w14:paraId="38B9CF4A" w14:textId="77777777" w:rsidR="000B6C51" w:rsidRPr="003A4796" w:rsidRDefault="000B6C51" w:rsidP="000B6C51">
      <w:pPr>
        <w:tabs>
          <w:tab w:val="left" w:pos="6237"/>
        </w:tabs>
        <w:spacing w:after="0"/>
        <w:ind w:firstLine="720"/>
        <w:rPr>
          <w:sz w:val="28"/>
          <w:szCs w:val="28"/>
        </w:rPr>
      </w:pPr>
    </w:p>
    <w:p w14:paraId="4B521A21" w14:textId="77777777" w:rsidR="00FA2B4D" w:rsidRPr="00FA2B4D" w:rsidRDefault="00FA2B4D" w:rsidP="00FA2B4D">
      <w:pPr>
        <w:spacing w:after="0"/>
        <w:ind w:firstLine="720"/>
        <w:rPr>
          <w:sz w:val="28"/>
          <w:szCs w:val="28"/>
        </w:rPr>
      </w:pPr>
      <w:r w:rsidRPr="00FA2B4D">
        <w:rPr>
          <w:sz w:val="28"/>
          <w:szCs w:val="28"/>
        </w:rPr>
        <w:t xml:space="preserve">Vīza: </w:t>
      </w:r>
    </w:p>
    <w:p w14:paraId="27C1526F" w14:textId="52B6E873" w:rsidR="00FA2B4D" w:rsidRPr="00FA2B4D" w:rsidRDefault="00FA2B4D" w:rsidP="00FA2B4D">
      <w:pPr>
        <w:spacing w:after="0"/>
        <w:ind w:firstLine="720"/>
        <w:rPr>
          <w:sz w:val="28"/>
          <w:szCs w:val="28"/>
        </w:rPr>
      </w:pPr>
      <w:r w:rsidRPr="00FA2B4D">
        <w:rPr>
          <w:sz w:val="28"/>
          <w:szCs w:val="28"/>
        </w:rPr>
        <w:t>Valsts sekretār</w:t>
      </w:r>
      <w:r w:rsidR="00240063">
        <w:rPr>
          <w:sz w:val="28"/>
          <w:szCs w:val="28"/>
        </w:rPr>
        <w:t>e</w:t>
      </w:r>
      <w:r w:rsidR="002D3079">
        <w:rPr>
          <w:sz w:val="28"/>
          <w:szCs w:val="28"/>
        </w:rPr>
        <w:tab/>
      </w:r>
      <w:r w:rsidR="002D3079">
        <w:rPr>
          <w:sz w:val="28"/>
          <w:szCs w:val="28"/>
        </w:rPr>
        <w:tab/>
      </w:r>
      <w:r w:rsidR="002D3079">
        <w:rPr>
          <w:sz w:val="28"/>
          <w:szCs w:val="28"/>
        </w:rPr>
        <w:tab/>
      </w:r>
      <w:r w:rsidR="002D3079">
        <w:rPr>
          <w:sz w:val="28"/>
          <w:szCs w:val="28"/>
        </w:rPr>
        <w:tab/>
      </w:r>
      <w:r w:rsidR="002D3079" w:rsidRPr="002D3079">
        <w:rPr>
          <w:sz w:val="28"/>
          <w:szCs w:val="28"/>
        </w:rPr>
        <w:t xml:space="preserve"> </w:t>
      </w:r>
      <w:r w:rsidR="002F07BC">
        <w:rPr>
          <w:sz w:val="28"/>
          <w:szCs w:val="28"/>
        </w:rPr>
        <w:tab/>
      </w:r>
      <w:r w:rsidR="00240063">
        <w:rPr>
          <w:sz w:val="28"/>
          <w:szCs w:val="28"/>
        </w:rPr>
        <w:tab/>
        <w:t>I.Stepanova</w:t>
      </w:r>
    </w:p>
    <w:p w14:paraId="3E843C20" w14:textId="79967558" w:rsidR="000B6C51" w:rsidRPr="003A4796" w:rsidRDefault="000B6C51" w:rsidP="00FA2B4D">
      <w:pPr>
        <w:spacing w:after="0"/>
        <w:ind w:firstLine="720"/>
        <w:rPr>
          <w:sz w:val="28"/>
          <w:szCs w:val="28"/>
        </w:rPr>
      </w:pPr>
    </w:p>
    <w:p w14:paraId="72035C42" w14:textId="77777777" w:rsidR="000B6C51" w:rsidRPr="003A4796" w:rsidRDefault="000B6C51" w:rsidP="000B6C51">
      <w:pPr>
        <w:tabs>
          <w:tab w:val="left" w:pos="6237"/>
        </w:tabs>
        <w:spacing w:after="0"/>
        <w:ind w:firstLine="720"/>
        <w:rPr>
          <w:sz w:val="28"/>
          <w:szCs w:val="28"/>
        </w:rPr>
      </w:pPr>
    </w:p>
    <w:p w14:paraId="05F73881" w14:textId="77777777" w:rsidR="000B6C51" w:rsidRPr="003A4796" w:rsidRDefault="000B6C51" w:rsidP="000B6C51">
      <w:pPr>
        <w:tabs>
          <w:tab w:val="left" w:pos="6237"/>
        </w:tabs>
        <w:spacing w:after="0"/>
        <w:ind w:firstLine="720"/>
        <w:rPr>
          <w:sz w:val="28"/>
          <w:szCs w:val="28"/>
        </w:rPr>
      </w:pPr>
    </w:p>
    <w:p w14:paraId="783F6F52" w14:textId="77777777" w:rsidR="000B6C51" w:rsidRPr="003A4796" w:rsidRDefault="000B6C51" w:rsidP="000B6C51">
      <w:pPr>
        <w:tabs>
          <w:tab w:val="left" w:pos="6237"/>
        </w:tabs>
        <w:spacing w:after="0"/>
        <w:ind w:firstLine="720"/>
        <w:rPr>
          <w:sz w:val="28"/>
          <w:szCs w:val="28"/>
        </w:rPr>
      </w:pPr>
    </w:p>
    <w:p w14:paraId="7EF4EE5E" w14:textId="77777777" w:rsidR="008C0EDC" w:rsidRPr="001C044F" w:rsidRDefault="000B6C51" w:rsidP="000B6C51">
      <w:pPr>
        <w:tabs>
          <w:tab w:val="left" w:pos="1500"/>
        </w:tabs>
        <w:spacing w:after="0"/>
      </w:pPr>
      <w:r>
        <w:tab/>
      </w:r>
    </w:p>
    <w:sectPr w:rsidR="008C0EDC" w:rsidRPr="001C044F" w:rsidSect="0055695F">
      <w:headerReference w:type="default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55FF" w14:textId="77777777" w:rsidR="0028249D" w:rsidRDefault="0028249D" w:rsidP="0055695F">
      <w:pPr>
        <w:spacing w:after="0"/>
      </w:pPr>
      <w:r>
        <w:separator/>
      </w:r>
    </w:p>
  </w:endnote>
  <w:endnote w:type="continuationSeparator" w:id="0">
    <w:p w14:paraId="1694C81A" w14:textId="77777777" w:rsidR="0028249D" w:rsidRDefault="0028249D" w:rsidP="00556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7783" w14:textId="5533702B" w:rsidR="0055695F" w:rsidRDefault="00E66CDF">
    <w:pPr>
      <w:pStyle w:val="Footer"/>
    </w:pPr>
    <w:r w:rsidRPr="00E66CDF">
      <w:t>SManot_16042</w:t>
    </w:r>
    <w:r w:rsidR="008F0F05">
      <w:t>1</w:t>
    </w:r>
    <w:r w:rsidRPr="00E66CDF">
      <w:t>_SSP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6ECB" w14:textId="3E2D45D7" w:rsidR="0055695F" w:rsidRDefault="00E66CDF" w:rsidP="0055695F">
    <w:pPr>
      <w:pStyle w:val="Footer"/>
    </w:pPr>
    <w:r w:rsidRPr="00E66CDF">
      <w:t>SManot_16042</w:t>
    </w:r>
    <w:r w:rsidR="008F0F05">
      <w:t>1</w:t>
    </w:r>
    <w:r w:rsidRPr="00E66CDF">
      <w:t>_SSP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EE53" w14:textId="77777777" w:rsidR="0028249D" w:rsidRDefault="0028249D" w:rsidP="0055695F">
      <w:pPr>
        <w:spacing w:after="0"/>
      </w:pPr>
      <w:r>
        <w:separator/>
      </w:r>
    </w:p>
  </w:footnote>
  <w:footnote w:type="continuationSeparator" w:id="0">
    <w:p w14:paraId="394ED401" w14:textId="77777777" w:rsidR="0028249D" w:rsidRDefault="0028249D" w:rsidP="005569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3773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522910" w14:textId="7C6602FB" w:rsidR="00D935AC" w:rsidRDefault="00D935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2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FE0BA0" w14:textId="77777777" w:rsidR="00D935AC" w:rsidRDefault="00D935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30"/>
    <w:rsid w:val="00010BC5"/>
    <w:rsid w:val="00011A47"/>
    <w:rsid w:val="00026275"/>
    <w:rsid w:val="000270AD"/>
    <w:rsid w:val="000300A3"/>
    <w:rsid w:val="000356DE"/>
    <w:rsid w:val="000424C2"/>
    <w:rsid w:val="0004615A"/>
    <w:rsid w:val="00097FF3"/>
    <w:rsid w:val="000B3EB7"/>
    <w:rsid w:val="000B6C51"/>
    <w:rsid w:val="000C52BA"/>
    <w:rsid w:val="000D7B5D"/>
    <w:rsid w:val="000E17C5"/>
    <w:rsid w:val="000E221F"/>
    <w:rsid w:val="000E42FA"/>
    <w:rsid w:val="000E60B4"/>
    <w:rsid w:val="001002A5"/>
    <w:rsid w:val="00101073"/>
    <w:rsid w:val="00147E2E"/>
    <w:rsid w:val="00194B63"/>
    <w:rsid w:val="001A01CA"/>
    <w:rsid w:val="001C044F"/>
    <w:rsid w:val="00207CCD"/>
    <w:rsid w:val="00220390"/>
    <w:rsid w:val="00230CEE"/>
    <w:rsid w:val="00240063"/>
    <w:rsid w:val="00256E4D"/>
    <w:rsid w:val="002606F3"/>
    <w:rsid w:val="0028249D"/>
    <w:rsid w:val="00287377"/>
    <w:rsid w:val="00292A01"/>
    <w:rsid w:val="002A2173"/>
    <w:rsid w:val="002A67F6"/>
    <w:rsid w:val="002B444B"/>
    <w:rsid w:val="002B5488"/>
    <w:rsid w:val="002C0921"/>
    <w:rsid w:val="002D3079"/>
    <w:rsid w:val="002E403B"/>
    <w:rsid w:val="002F07BC"/>
    <w:rsid w:val="00303DDC"/>
    <w:rsid w:val="003117E4"/>
    <w:rsid w:val="00326C28"/>
    <w:rsid w:val="003439A7"/>
    <w:rsid w:val="00395F1F"/>
    <w:rsid w:val="003C5D25"/>
    <w:rsid w:val="003D0104"/>
    <w:rsid w:val="003D26D2"/>
    <w:rsid w:val="003E0DDE"/>
    <w:rsid w:val="003E12C3"/>
    <w:rsid w:val="003F3132"/>
    <w:rsid w:val="00433D90"/>
    <w:rsid w:val="004725CB"/>
    <w:rsid w:val="00481ACC"/>
    <w:rsid w:val="004837EA"/>
    <w:rsid w:val="00485DD1"/>
    <w:rsid w:val="004866F6"/>
    <w:rsid w:val="004A5118"/>
    <w:rsid w:val="004E5AB3"/>
    <w:rsid w:val="004F06E2"/>
    <w:rsid w:val="00512165"/>
    <w:rsid w:val="00517085"/>
    <w:rsid w:val="0055695F"/>
    <w:rsid w:val="00556AD9"/>
    <w:rsid w:val="0058246D"/>
    <w:rsid w:val="005C1A57"/>
    <w:rsid w:val="005C5266"/>
    <w:rsid w:val="005E3BD5"/>
    <w:rsid w:val="005E5BFE"/>
    <w:rsid w:val="0061652C"/>
    <w:rsid w:val="00633670"/>
    <w:rsid w:val="0063380F"/>
    <w:rsid w:val="0064375B"/>
    <w:rsid w:val="00643F23"/>
    <w:rsid w:val="0064459D"/>
    <w:rsid w:val="006576CE"/>
    <w:rsid w:val="006611BA"/>
    <w:rsid w:val="00666552"/>
    <w:rsid w:val="00685C8C"/>
    <w:rsid w:val="00691224"/>
    <w:rsid w:val="0069531A"/>
    <w:rsid w:val="006B65DB"/>
    <w:rsid w:val="006C3C2E"/>
    <w:rsid w:val="006D5E10"/>
    <w:rsid w:val="006E2442"/>
    <w:rsid w:val="006F6344"/>
    <w:rsid w:val="00700191"/>
    <w:rsid w:val="007120AC"/>
    <w:rsid w:val="00727A82"/>
    <w:rsid w:val="0073502A"/>
    <w:rsid w:val="00740EC3"/>
    <w:rsid w:val="00742C4D"/>
    <w:rsid w:val="00753198"/>
    <w:rsid w:val="007612F0"/>
    <w:rsid w:val="00766A49"/>
    <w:rsid w:val="007A5ED4"/>
    <w:rsid w:val="007A720C"/>
    <w:rsid w:val="007B475E"/>
    <w:rsid w:val="007D0DAC"/>
    <w:rsid w:val="007D3F68"/>
    <w:rsid w:val="007F3DAB"/>
    <w:rsid w:val="0080213D"/>
    <w:rsid w:val="00805357"/>
    <w:rsid w:val="0082253A"/>
    <w:rsid w:val="008264F2"/>
    <w:rsid w:val="008374B6"/>
    <w:rsid w:val="0085605E"/>
    <w:rsid w:val="00874136"/>
    <w:rsid w:val="00882D76"/>
    <w:rsid w:val="008A3BA3"/>
    <w:rsid w:val="008B35E6"/>
    <w:rsid w:val="008C0EDC"/>
    <w:rsid w:val="008C496D"/>
    <w:rsid w:val="008C738B"/>
    <w:rsid w:val="008F0F05"/>
    <w:rsid w:val="008F5F77"/>
    <w:rsid w:val="009052DD"/>
    <w:rsid w:val="00941234"/>
    <w:rsid w:val="0094386A"/>
    <w:rsid w:val="00961BF9"/>
    <w:rsid w:val="00997BF5"/>
    <w:rsid w:val="009B504C"/>
    <w:rsid w:val="009B628B"/>
    <w:rsid w:val="009C388D"/>
    <w:rsid w:val="009F41E2"/>
    <w:rsid w:val="009F4DF2"/>
    <w:rsid w:val="00A046F2"/>
    <w:rsid w:val="00A103D2"/>
    <w:rsid w:val="00A162DD"/>
    <w:rsid w:val="00A17490"/>
    <w:rsid w:val="00A2109E"/>
    <w:rsid w:val="00A22836"/>
    <w:rsid w:val="00A31A6D"/>
    <w:rsid w:val="00A33D25"/>
    <w:rsid w:val="00A34C95"/>
    <w:rsid w:val="00A423EC"/>
    <w:rsid w:val="00A62B73"/>
    <w:rsid w:val="00A71EBF"/>
    <w:rsid w:val="00A86B21"/>
    <w:rsid w:val="00A87930"/>
    <w:rsid w:val="00AC59E9"/>
    <w:rsid w:val="00AF465C"/>
    <w:rsid w:val="00AF5474"/>
    <w:rsid w:val="00B008D8"/>
    <w:rsid w:val="00B23067"/>
    <w:rsid w:val="00B24EE5"/>
    <w:rsid w:val="00B66034"/>
    <w:rsid w:val="00B66C3D"/>
    <w:rsid w:val="00B7741A"/>
    <w:rsid w:val="00B85FC2"/>
    <w:rsid w:val="00B9211A"/>
    <w:rsid w:val="00BA0797"/>
    <w:rsid w:val="00BB04EB"/>
    <w:rsid w:val="00BE4C08"/>
    <w:rsid w:val="00C040A8"/>
    <w:rsid w:val="00C2265B"/>
    <w:rsid w:val="00C41E24"/>
    <w:rsid w:val="00C4757E"/>
    <w:rsid w:val="00C66F4A"/>
    <w:rsid w:val="00C75107"/>
    <w:rsid w:val="00C764BA"/>
    <w:rsid w:val="00C8112D"/>
    <w:rsid w:val="00CA236E"/>
    <w:rsid w:val="00CA39BD"/>
    <w:rsid w:val="00CD79D2"/>
    <w:rsid w:val="00D048AE"/>
    <w:rsid w:val="00D12846"/>
    <w:rsid w:val="00D21292"/>
    <w:rsid w:val="00D23D81"/>
    <w:rsid w:val="00D24C62"/>
    <w:rsid w:val="00D34773"/>
    <w:rsid w:val="00D47830"/>
    <w:rsid w:val="00D73034"/>
    <w:rsid w:val="00D9344E"/>
    <w:rsid w:val="00D935AC"/>
    <w:rsid w:val="00D97FD7"/>
    <w:rsid w:val="00DC1281"/>
    <w:rsid w:val="00DD1EB6"/>
    <w:rsid w:val="00DD5E08"/>
    <w:rsid w:val="00E31C3C"/>
    <w:rsid w:val="00E43456"/>
    <w:rsid w:val="00E47C0C"/>
    <w:rsid w:val="00E65936"/>
    <w:rsid w:val="00E66CDF"/>
    <w:rsid w:val="00E73854"/>
    <w:rsid w:val="00EB437C"/>
    <w:rsid w:val="00EB5648"/>
    <w:rsid w:val="00EC0683"/>
    <w:rsid w:val="00EC513A"/>
    <w:rsid w:val="00EC5BAC"/>
    <w:rsid w:val="00EE16A0"/>
    <w:rsid w:val="00EE41FE"/>
    <w:rsid w:val="00EF7E42"/>
    <w:rsid w:val="00F010AB"/>
    <w:rsid w:val="00F07836"/>
    <w:rsid w:val="00F17C33"/>
    <w:rsid w:val="00F27F3A"/>
    <w:rsid w:val="00F46CA1"/>
    <w:rsid w:val="00F57965"/>
    <w:rsid w:val="00F73462"/>
    <w:rsid w:val="00F8056C"/>
    <w:rsid w:val="00F91824"/>
    <w:rsid w:val="00FA1AC8"/>
    <w:rsid w:val="00FA2B4D"/>
    <w:rsid w:val="00FA318D"/>
    <w:rsid w:val="00FA57F5"/>
    <w:rsid w:val="00FB0483"/>
    <w:rsid w:val="00FC041E"/>
    <w:rsid w:val="00FD5A6A"/>
    <w:rsid w:val="00FF2C3F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C8D8"/>
  <w15:docId w15:val="{F4F88123-E7AD-4097-8ABC-24F8F2F8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EDC"/>
    <w:pPr>
      <w:spacing w:before="100" w:beforeAutospacing="1" w:after="100" w:afterAutospacing="1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5695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695F"/>
  </w:style>
  <w:style w:type="paragraph" w:styleId="Footer">
    <w:name w:val="footer"/>
    <w:basedOn w:val="Normal"/>
    <w:link w:val="FooterChar"/>
    <w:uiPriority w:val="99"/>
    <w:unhideWhenUsed/>
    <w:rsid w:val="0055695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695F"/>
  </w:style>
  <w:style w:type="character" w:styleId="Hyperlink">
    <w:name w:val="Hyperlink"/>
    <w:uiPriority w:val="99"/>
    <w:rsid w:val="000B6C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9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9D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D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5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0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5974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Civilās aviācijas aģentūra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Anotācija</dc:subject>
  <dc:creator>Dace Reviore</dc:creator>
  <dc:description>dace.revizore@caa.gov.lv, 67830954</dc:description>
  <cp:lastModifiedBy>Līga Vernera</cp:lastModifiedBy>
  <cp:revision>2</cp:revision>
  <cp:lastPrinted>2019-07-31T12:16:00Z</cp:lastPrinted>
  <dcterms:created xsi:type="dcterms:W3CDTF">2021-04-20T06:13:00Z</dcterms:created>
  <dcterms:modified xsi:type="dcterms:W3CDTF">2021-04-20T06:13:00Z</dcterms:modified>
</cp:coreProperties>
</file>