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57B8" w14:textId="77777777" w:rsidR="00BD050B" w:rsidRDefault="0017564E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06A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Ministru kabineta noteikumu</w:t>
      </w:r>
      <w:r w:rsidR="00894C55" w:rsidRPr="00F06A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projekta</w:t>
      </w:r>
    </w:p>
    <w:p w14:paraId="2C8E7BE0" w14:textId="77777777" w:rsidR="00BD050B" w:rsidRDefault="002278B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78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"Grozījumi M</w:t>
      </w:r>
      <w:r w:rsidR="00504B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inistru kabineta 2020. gada 11. </w:t>
      </w:r>
      <w:r w:rsidRPr="002278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februāra noteikumos Nr. 92 "Starptautiskās kravu loģistikas un ostu informācijas sistēmas noteikumi""</w:t>
      </w:r>
    </w:p>
    <w:p w14:paraId="04BD305F" w14:textId="713310EC" w:rsidR="00E5323B" w:rsidRDefault="00894C55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06A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28A75337" w14:textId="77777777" w:rsidR="00BD050B" w:rsidRPr="00F06ACD" w:rsidRDefault="00BD050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0"/>
        <w:gridCol w:w="6098"/>
      </w:tblGrid>
      <w:tr w:rsidR="00F05270" w:rsidRPr="00E6249A" w14:paraId="287BBE11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6049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E5323B" w:rsidRPr="00E6249A" w14:paraId="5AE9D4B9" w14:textId="77777777" w:rsidTr="007F6154">
        <w:trPr>
          <w:tblCellSpacing w:w="15" w:type="dxa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5B15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E045B" w14:textId="0300B69C" w:rsidR="00E5323B" w:rsidRPr="00E6249A" w:rsidRDefault="002278BB" w:rsidP="00D1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278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7CAF74D0" w14:textId="68EBFAA8" w:rsidR="00327E1E" w:rsidRPr="00E6249A" w:rsidRDefault="00327E1E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2451"/>
        <w:gridCol w:w="739"/>
        <w:gridCol w:w="5430"/>
      </w:tblGrid>
      <w:tr w:rsidR="00F05270" w:rsidRPr="00E6249A" w14:paraId="5E6ED3DA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F892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F05270" w:rsidRPr="00E6249A" w14:paraId="0A71EF31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31BA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9D1D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E8376" w14:textId="00025210" w:rsidR="002278BB" w:rsidRDefault="002D4C9F" w:rsidP="0022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4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Ministru kabineta noteikumu projekt</w:t>
            </w:r>
            <w:r w:rsid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Pr="002D4C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"Grozījumi Ministru kabineta 2020. gada 11. februāra noteikumos Nr. 92 "Starptautiskās kravu loģistikas un ostu informācijas sistēmas noteikumi""</w:t>
            </w:r>
            <w:r w:rsid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(turpmāk – projekts) </w:t>
            </w:r>
            <w:r w:rsidR="002278BB" w:rsidRPr="00D85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izstrādes nepieciešamība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pamatā </w:t>
            </w:r>
            <w:r w:rsidR="002278BB" w:rsidRPr="00D85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izriet no 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Ministru kabineta </w:t>
            </w:r>
            <w:r w:rsidR="002278BB" w:rsidRPr="00D85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2020. gada 11. august</w:t>
            </w:r>
            <w:r w:rsidR="00C430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323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noteikumiem Nr.</w:t>
            </w:r>
            <w:r w:rsid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503</w:t>
            </w:r>
            <w:r w:rsidR="00323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C4304E" w:rsidRP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Muitošanas kārtība kuģa un gaisa kuģa apgādē</w:t>
            </w:r>
            <w:r w:rsidR="00C4304E" w:rsidRP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kuri nosaka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ka no </w:t>
            </w:r>
            <w:r w:rsidR="00C4304E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2021. gada 1. februāra </w:t>
            </w:r>
            <w:r w:rsidR="002278BB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kuģa apgādes </w:t>
            </w:r>
            <w:r w:rsidR="00D854B0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procesa muitas formalitāšu kārtošan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D854B0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veicama </w:t>
            </w:r>
            <w:r w:rsidR="00235C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Starptautiskajā</w:t>
            </w:r>
            <w:r w:rsidR="00D854B0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kravu loģistikas un ostu informācijas sistēm</w:t>
            </w:r>
            <w:r w:rsidR="00235C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</w:t>
            </w:r>
            <w:r w:rsid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(turpmāk –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235C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istēma</w:t>
            </w:r>
            <w:r w:rsid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)</w:t>
            </w:r>
            <w:r w:rsidR="00D854B0" w:rsidRPr="00D85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6D8E85A5" w14:textId="05CFA458" w:rsidR="002D4C9F" w:rsidRPr="00D854B0" w:rsidRDefault="002D4C9F" w:rsidP="00227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Vienlaikus projekts satur grozījumus, lai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atbilstoši praksē konstatētajam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konkretizētu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papildinātu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esošo regulējumu,  kā arī ieviestu redakcionālu</w:t>
            </w:r>
            <w:r w:rsid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precizējumu</w:t>
            </w:r>
            <w:r w:rsid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</w:p>
          <w:p w14:paraId="496A34A1" w14:textId="514736B5" w:rsidR="00E5323B" w:rsidRPr="00D854B0" w:rsidRDefault="002D4C9F" w:rsidP="0032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4C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stāsies spēkā Oficiālo publikāciju un tiesiskās informācijas likuma 7. panta otrajā daļā noteiktajā kārtībā, proti, nākamajā dienā pēc tā izsludināšanas.</w:t>
            </w:r>
          </w:p>
        </w:tc>
      </w:tr>
      <w:tr w:rsidR="00F05270" w:rsidRPr="00E6249A" w14:paraId="507F70F2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D117" w14:textId="11DC8200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F323B" w14:textId="77777777" w:rsidR="00A90AEF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1566B0DE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9BE74D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0546B8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  <w:p w14:paraId="5476E133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AA51FE" w14:textId="1FF23134" w:rsidR="00332A1C" w:rsidRPr="00E6249A" w:rsidRDefault="00332A1C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C2F5D59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BD2E8D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39104E3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AC2BF0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2023927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17E06C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F20A8C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330441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9D6268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1BCA40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564B98" w14:textId="74D4F72F" w:rsidR="00E5323B" w:rsidRPr="00E6249A" w:rsidRDefault="00E5323B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286C2" w14:textId="0A9D69D1" w:rsidR="0057149E" w:rsidRDefault="00BD050B" w:rsidP="0023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 xml:space="preserve">   </w:t>
            </w:r>
            <w:r w:rsidR="0057149E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Lai nodrošinātu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Ministru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kabineta 2020. gada 11. augusta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noteikumos Nr.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503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C4304E" w:rsidRP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Muitošanas kārtība kuģa un gaisa kuģa apgādē</w:t>
            </w:r>
            <w:r w:rsidR="00C4304E" w:rsidRP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</w:t>
            </w:r>
            <w:r w:rsidR="0057149E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teikto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kuģa apgādes mu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itošanas kārtošanu, izmantojot S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istēmu, Ministru kabineta 20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20. gada 11. februāra noteikumi</w:t>
            </w:r>
            <w:r w:rsidR="00235C99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Nr. 92 "Starptautiskās kravu loģistikas un ostu informācijas sistēmas noteikumi" </w:t>
            </w:r>
            <w:r w:rsidR="00AC39C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(turpmāk – 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noteikumi</w:t>
            </w:r>
            <w:r w:rsidR="00AC39C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) 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tiek</w:t>
            </w:r>
            <w:r w:rsidR="00186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papildināt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</w:t>
            </w:r>
            <w:r w:rsidR="00186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ar</w:t>
            </w:r>
            <w:r w:rsidR="0057149E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:</w:t>
            </w:r>
          </w:p>
          <w:p w14:paraId="7DF7C8C1" w14:textId="64CD6D41" w:rsidR="00235C99" w:rsidRDefault="00323EBE" w:rsidP="0023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1)</w:t>
            </w:r>
            <w:r w:rsidR="00186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jaunu S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istēmā iekļaujamo informāciju </w:t>
            </w:r>
            <w:r w:rsidR="0057149E" w:rsidRP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(projekta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57149E" w:rsidRP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punkts)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;</w:t>
            </w:r>
          </w:p>
          <w:p w14:paraId="50BBF998" w14:textId="502C93A3" w:rsidR="00ED4066" w:rsidRDefault="00323EBE" w:rsidP="00ED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2) jaunu S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istēmas lietotāju </w:t>
            </w:r>
            <w:r w:rsidR="00F663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–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57149E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komersant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57149E" w:rsidRP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kas sniedz 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kuģa apgādes pakalpojumu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5714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</w:t>
            </w:r>
            <w:r w:rsidR="0057149E" w:rsidRP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5. </w:t>
            </w:r>
            <w:r w:rsidR="0057149E" w:rsidRP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punkts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(noteikumu nākotnes redakcijas </w:t>
            </w:r>
            <w:r w:rsidR="00381D92" w:rsidRP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14.5.7.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apakšpunkts)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);</w:t>
            </w:r>
          </w:p>
          <w:p w14:paraId="51057B88" w14:textId="49456E2A" w:rsidR="00F03ABF" w:rsidRDefault="00323EBE" w:rsidP="00ED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3) S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istēmas lietotāju piekļuves tiesīb</w:t>
            </w:r>
            <w:r w:rsidR="00C43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ām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jauna</w:t>
            </w:r>
            <w:r w:rsidR="00167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ja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 S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istēmā </w:t>
            </w:r>
            <w:r w:rsidR="00ED4066" w:rsidRP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iekļaujam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ajai informācijai (projekta </w:t>
            </w:r>
            <w:r w:rsidR="00B17C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9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punkts, kā arī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B17C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15</w:t>
            </w:r>
            <w:r w:rsidR="00ED4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punkts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</w:t>
            </w:r>
            <w:r w:rsidR="00381D92" w:rsidRP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(noteikumu 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1. pielikuma </w:t>
            </w:r>
            <w:r w:rsidR="00381D92" w:rsidRP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nākotnes redakcijas 2.22. </w:t>
            </w:r>
            <w:r w:rsidR="00381D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apakšpunkts)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), kas</w:t>
            </w:r>
            <w:r w:rsidR="00F03ABF" w:rsidRPr="00F03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F03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attiecīgi 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ļauj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komersantam izpildīt </w:t>
            </w:r>
            <w:r w:rsidRP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kuģa apgādes procesa muitas formalitā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tes</w:t>
            </w:r>
            <w:r w:rsidRPr="00323E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F03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kompetentajai muitas iestāde 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veikt </w:t>
            </w:r>
            <w:r w:rsidR="00F03ABF" w:rsidRPr="00F03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kuģa apgādes proces</w:t>
            </w:r>
            <w:r w:rsidR="00FD7C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 kontroli</w:t>
            </w:r>
            <w:r w:rsidR="00F03A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54BF5057" w14:textId="793C024E" w:rsidR="003D5196" w:rsidRPr="00AC39C6" w:rsidRDefault="00BD050B" w:rsidP="00F0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F03AB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Projekta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</w:t>
            </w:r>
            <w:r w:rsidR="00F03AB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punkts konkretizē valodu, kādā var iesniegt </w:t>
            </w:r>
            <w:r w:rsidR="00FD7C75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informāciju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F03AB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istēmā. </w:t>
            </w:r>
            <w:r w:rsidR="0056358A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Papildus latviešu valodai 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tiek </w:t>
            </w:r>
            <w:r w:rsidR="0056358A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atļaut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56358A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angļu 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valoda, kas ir vispāratzīta jūrlietu jomā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tiek izmantota kā 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starptautisk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ajos reisos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iesaistīto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kuģ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 dokumentu vešanas 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>valoda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tiek izmantota arī informācijas apmaiņā starp S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istēmu un Eiropas Savienības sistēmu apmaiņai ar kuģošanas informāciju (Eiropas Savienības 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sistēma).</w:t>
            </w:r>
          </w:p>
          <w:p w14:paraId="5D0847C6" w14:textId="5E4B8324" w:rsidR="003D5196" w:rsidRPr="00AC39C6" w:rsidRDefault="00BD050B" w:rsidP="003D5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Projekta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 punkts redakcionāli preciz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ē aizsardzības informācijas deklarācijas nosaukumu, lai tas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atbilstu Ministru kabineta 2012. gada 15. maijā 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noteikumos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Nr.339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"</w:t>
            </w:r>
            <w:r w:rsidR="003D519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Noteikumi par ostu formalitātēm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 lietotajam.</w:t>
            </w:r>
          </w:p>
          <w:p w14:paraId="1831E419" w14:textId="2C5E8609" w:rsidR="00227F8F" w:rsidRPr="00AC39C6" w:rsidRDefault="00BD050B" w:rsidP="00227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Projekta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punkts redakcionāli precizē </w:t>
            </w:r>
            <w:r w:rsidR="005B1470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kapitālsabiedrības </w:t>
            </w:r>
            <w:r w:rsidR="006D184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Latvijas Jūras administrācijas</w:t>
            </w:r>
            <w:r w:rsidR="006D184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6D184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veidu. </w:t>
            </w:r>
            <w:r w:rsidR="005B1470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Atbilstoši komercreģistra ierakstam n</w:t>
            </w:r>
            <w:r w:rsidR="006D184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o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2020. gada </w:t>
            </w:r>
            <w:r w:rsidR="006D1846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24. decembra "Latvijas Jūras administrācija" ir </w:t>
            </w:r>
            <w:r w:rsidR="00227F8F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valsts sabiedrība </w:t>
            </w:r>
            <w:r w:rsidR="005B1470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ar ierobežotu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atbildību</w:t>
            </w:r>
            <w:r w:rsidR="005B1470" w:rsidRP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1F1268CE" w14:textId="76326DEE" w:rsidR="000D4681" w:rsidRDefault="00BD050B" w:rsidP="00AC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Papildu iepriekš minētajam, projekta 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5.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punkts 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(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noteikumu nākotnes redakcijas 14.5.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8</w:t>
            </w:r>
            <w:r w:rsidR="003935BB" w:rsidRP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 apakšpunkts)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nosaka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jaunu S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istēmas lietotāju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–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komersant</w:t>
            </w:r>
            <w:r w:rsidR="00393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s, kas sniedz kuģ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būves </w:t>
            </w:r>
            <w:r w:rsid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vai</w:t>
            </w:r>
            <w:r w:rsidR="005B1470" w:rsidRP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remonta pakalpojumus.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Kuģ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būves </w:t>
            </w:r>
            <w:r w:rsid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vai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remonta pakalpojumi tiek uz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kaitīti starp Latvijas ostās pieejamajiem servisiem (pakalpojumiem)</w:t>
            </w:r>
            <w:r w:rsidR="005B1470">
              <w:rPr>
                <w:rStyle w:val="FootnoteReference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footnoteReference w:id="1"/>
            </w:r>
            <w:r w:rsidR="005B14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Kuģ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būves vai</w:t>
            </w:r>
            <w:r w:rsid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remonta pakalpojumus sniedzošā komersanta 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īpašumā vai valdījumā 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esošajā </w:t>
            </w:r>
            <w:r w:rsid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termināl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ī</w:t>
            </w:r>
            <w:r w:rsid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var 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būt ostas iekārta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kur notiek kuģa un ostas mijiedarbība un ko atbilstoši aizsardzības novērtējumam 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tādu 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ir noteikusi valsts 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sabiedrības ar ierobežotu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atbildību </w:t>
            </w:r>
            <w:r w:rsidR="009D7E8B" w:rsidRPr="009D7E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"Latvijas Jūras administrācija" Kuģu un ostu aizsardzības inspekcija. 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Atbilstoši Ministru kabineta 2015. gada 22. decembra 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noteikumiem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Nr. 746 "Noteikumi par kuģu, kuģošanas kompāniju, ostu un ostas iekārtu aizsardzības funkciju sadalījumu, izpildi un uzraudzību"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ostas iekārtas 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īpašniek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am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vai valdītāj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am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kā arī </w:t>
            </w:r>
            <w:r w:rsidR="00002264" w:rsidRP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ostas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iekārtas aizsardzības virsniek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am ir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noteikti pienākumi un atbildība </w:t>
            </w:r>
            <w:r w:rsidR="00915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</w:t>
            </w:r>
            <w:r w:rsidR="00002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ostas iekārtas aizsardzīb</w:t>
            </w:r>
            <w:r w:rsidR="00915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as nodrošināšanu, kuģa un ostas mijiedarbību, kā arī noteiktas informācijas iekļaušanu 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istēmā</w:t>
            </w:r>
            <w:r w:rsidR="00915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Ar projekta </w:t>
            </w:r>
            <w:r w:rsidR="00B17C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15</w:t>
            </w:r>
            <w:r w:rsidR="00E15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</w:t>
            </w:r>
            <w:r w:rsidR="00B17C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16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E15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punktu tiek noteikts k</w:t>
            </w:r>
            <w:r w:rsidR="00E15C74" w:rsidRPr="00E15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uģ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E15C74" w:rsidRPr="00E15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būves vai remonta pakalpojumus sniedzošā komersanta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piekļuves tiesību apjoms S</w:t>
            </w:r>
            <w:r w:rsidR="00E15C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istēmā iekļautajai informācijai</w:t>
            </w:r>
            <w:r w:rsidR="008F03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kurš 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būt</w:t>
            </w:r>
            <w:r w:rsidR="008F03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nepieciešams ostas </w:t>
            </w:r>
            <w:r w:rsidR="00E263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iekārtas aizsardzības</w:t>
            </w:r>
            <w:r w:rsidR="00AC39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funkcijām.</w:t>
            </w:r>
          </w:p>
          <w:p w14:paraId="3170ED6C" w14:textId="32F31FAF" w:rsidR="00B17CBE" w:rsidRDefault="00B17CBE" w:rsidP="00AC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  Ar projekta 6., 7., 8., 10., 11., 12., 13. un 14. punktu tiek 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tehniski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precizētas kompetento institūciju 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piekļuves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tiesības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paziņojumā par personām, kas atrodas uz pasažieru kuģa, ietverto personas datu aizsardzībai nepieciešam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o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atzīm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ju 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apskatei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un izdarīšanai par to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ka institūcija ir uzsākusi ar ārkārtas situāciju vai negadījumu saistītu izmeklēšanu 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ka institūcija ir pabeigusi ar ārkārtas situāciju vai 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negadījumu saistītu izmeklēšanu. Šādu atzīmju izdarīšanas tiesības vai pienākums ir nostiprināts 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Ministru kabineta 2012. gada 15. maijā noteikumos Nr.339 "Noteikumi par ostu formalitātēm"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110.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lv-LV"/>
              </w:rPr>
              <w:t>8 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2.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un 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110.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lv-LV"/>
              </w:rPr>
              <w:t>8 </w:t>
            </w:r>
            <w:r w:rsidR="00910653" w:rsidRP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3.</w:t>
            </w:r>
            <w:r w:rsidR="0091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apakšpunktā.</w:t>
            </w:r>
          </w:p>
          <w:p w14:paraId="56748E2E" w14:textId="39E56C1A" w:rsidR="00E73FBC" w:rsidRPr="00186FE1" w:rsidRDefault="00E73FBC" w:rsidP="00B1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 xml:space="preserve">   Ar projekta </w:t>
            </w:r>
            <w:r w:rsidR="00B17C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punktu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noteikumu 2. pielikums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tiek izteikts jaunā re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dakcijā, papildinot pieteikumu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istēmas lietošanas līguma noslēgšanai ar</w:t>
            </w:r>
            <w:r w:rsidR="00810A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iepriekš minētajiem jaunajiem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istēmas lietotājiem </w:t>
            </w:r>
            <w:r w:rsidR="00046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E73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komersant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Pr="00E73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kas sniedz kuģa apgādes pakalpojumus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un </w:t>
            </w:r>
            <w:r w:rsidRPr="00E73F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komersants, kas sniedz kuģa būves vai remonta pakalpojumus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F05270" w:rsidRPr="00E6249A" w14:paraId="738BE9A8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E5E1" w14:textId="4DC19B44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CD25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9C735" w14:textId="4769DD10" w:rsidR="00E5323B" w:rsidRPr="00E6249A" w:rsidRDefault="007F6154" w:rsidP="00AC3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 sadarbībā ar </w:t>
            </w:r>
            <w:r w:rsidR="00206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valsts sabiedrību </w:t>
            </w:r>
            <w:r w:rsidR="00AC3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ierobežotu atbildību </w:t>
            </w:r>
            <w:r w:rsidR="00206B33" w:rsidRP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Latvijas Jūras administrācija</w:t>
            </w:r>
            <w:r w:rsidR="00206B33" w:rsidRP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F002B3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E6249A" w14:paraId="7549885D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D514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54A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81B3" w14:textId="4BCD499C" w:rsidR="00740B4A" w:rsidRPr="00E6249A" w:rsidRDefault="00F002B3" w:rsidP="00740B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  <w:tr w:rsidR="00F05270" w:rsidRPr="00E6249A" w14:paraId="5C5BD89F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C6C84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F05270" w:rsidRPr="00E6249A" w14:paraId="5B1701F7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2F5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F05CE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2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8A93" w14:textId="644392B9" w:rsidR="00AC39C6" w:rsidRPr="00754A4E" w:rsidRDefault="00810AF4" w:rsidP="00D2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Anotācijas </w:t>
            </w:r>
            <w:r w:rsidRPr="00810A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 sadaļas 2. punkts</w:t>
            </w:r>
            <w:r w:rsidR="00AC39C6" w:rsidRPr="00AC3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D206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minētie S</w:t>
            </w:r>
            <w:r w:rsidR="00AC39C6" w:rsidRPr="00AC39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istēmas lietotāji.</w:t>
            </w:r>
          </w:p>
        </w:tc>
      </w:tr>
      <w:tr w:rsidR="00F05270" w:rsidRPr="00E6249A" w14:paraId="267D990B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35565" w14:textId="71208D8A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D66A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1685C" w14:textId="71CFFCFD" w:rsidR="008F6DB1" w:rsidRPr="009C55B8" w:rsidRDefault="00754A4E" w:rsidP="0020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54A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2D3B7C43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50C25" w14:textId="4CA091DF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FB66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2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EB94" w14:textId="30B40FA0" w:rsidR="00E5323B" w:rsidRPr="00E6249A" w:rsidRDefault="00F002B3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188E91E2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AD49B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B15FA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6DF3A" w14:textId="641C674E" w:rsidR="00E5323B" w:rsidRPr="00E6249A" w:rsidRDefault="00F002B3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70BB7F79" w14:textId="77777777" w:rsidTr="00E73FBC">
        <w:trPr>
          <w:tblCellSpacing w:w="15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F4E7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1EA06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BA3E6" w14:textId="74B07039" w:rsidR="00E5323B" w:rsidRPr="00E6249A" w:rsidRDefault="00BD050B" w:rsidP="0085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7F3D815" w14:textId="40513693" w:rsidR="00C864E4" w:rsidRDefault="00E5323B" w:rsidP="00E73FB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  <w:r w:rsidR="00E73FB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1"/>
        <w:gridCol w:w="960"/>
        <w:gridCol w:w="1073"/>
        <w:gridCol w:w="909"/>
        <w:gridCol w:w="1073"/>
        <w:gridCol w:w="911"/>
        <w:gridCol w:w="1073"/>
        <w:gridCol w:w="1268"/>
      </w:tblGrid>
      <w:tr w:rsidR="002B0124" w:rsidRPr="002B0124" w14:paraId="663197C4" w14:textId="77777777" w:rsidTr="002B0124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B521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2B0124" w:rsidRPr="002B0124" w14:paraId="2DF8B7DA" w14:textId="77777777" w:rsidTr="002B0124">
        <w:trPr>
          <w:tblCellSpacing w:w="15" w:type="dxa"/>
        </w:trPr>
        <w:tc>
          <w:tcPr>
            <w:tcW w:w="10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1FE2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Rādītāji</w:t>
            </w:r>
          </w:p>
        </w:tc>
        <w:tc>
          <w:tcPr>
            <w:tcW w:w="108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E73C" w14:textId="6337902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21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  <w:tc>
          <w:tcPr>
            <w:tcW w:w="280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2C33C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Turpmākie trīs gadi (</w:t>
            </w:r>
            <w:r w:rsidRPr="002B01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2B0124" w:rsidRPr="002B0124" w14:paraId="66EE430D" w14:textId="77777777" w:rsidTr="002B01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04FB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E267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85BA" w14:textId="719D188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  <w:tc>
          <w:tcPr>
            <w:tcW w:w="10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F13C" w14:textId="06EA4BA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5B44" w14:textId="0D91C33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gads</w:t>
            </w:r>
          </w:p>
        </w:tc>
      </w:tr>
      <w:tr w:rsidR="002B0124" w:rsidRPr="002B0124" w14:paraId="430B6976" w14:textId="77777777" w:rsidTr="002B012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3398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414F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valsts budžetu kārtējam gadam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54D89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78CE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5060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izmaiņas, salīdzinot ar vidēja termiņa budžeta ietvaru n+1 gadam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4F09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F625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izmaiņas, salīdzinot ar vidēja termiņa budžeta ietvaru n+2 gadam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B62B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izmaiņas, salīdzinot ar vidēja termiņa budžeta ietvaru n+2 gadam</w:t>
            </w:r>
          </w:p>
        </w:tc>
      </w:tr>
      <w:tr w:rsidR="002B0124" w:rsidRPr="002B0124" w14:paraId="0CBFED98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A58A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7885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C7AE9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E208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3F3E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34EB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FDE8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5B4A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</w:t>
            </w:r>
          </w:p>
        </w:tc>
      </w:tr>
      <w:tr w:rsidR="002B0124" w:rsidRPr="002B0124" w14:paraId="5A76A069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98AE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Budžeta ieņēmumi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0CBC" w14:textId="725D4B7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6F67" w14:textId="0025D06F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737E" w14:textId="45B9D384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A801" w14:textId="04F45AB5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F254" w14:textId="2D4874E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2A52" w14:textId="4FB9564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99A1" w14:textId="14308B0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7F6406A9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4BDC7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1.1. valsts pamatbudžets, tai skaitā ieņēmumi no maksas 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pakalpojumiem un citi pašu ieņēmumi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48C5" w14:textId="2552A18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805D" w14:textId="6E0C6A6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3E9D" w14:textId="6D5BA705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C3CE" w14:textId="70235955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AD93" w14:textId="17270F1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9E11" w14:textId="507A868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DED2" w14:textId="0788949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08606F37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08292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1.2. valsts speciālais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FA94" w14:textId="1DB9DFC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2A394" w14:textId="7ECB2E4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5E3B" w14:textId="53BB818E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A705" w14:textId="5B66191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3D63" w14:textId="76DDBF3A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DF40" w14:textId="33FE0A8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5D63" w14:textId="33E6E3F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437C2490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7590F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1.3. pašvaldību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8A9D" w14:textId="3BC53FE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6DBE" w14:textId="19320080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0184" w14:textId="2E49F815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0996" w14:textId="66BEFF5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870CC" w14:textId="485691E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0984" w14:textId="3C28614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EAC4" w14:textId="74298FA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23FB126D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38D78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Budžeta izdevumi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F051" w14:textId="7978DAD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FDFD" w14:textId="2C70A74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8CFA" w14:textId="78CF012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4A42" w14:textId="386CEAC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38DFB" w14:textId="4577761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C561" w14:textId="12FA00C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E2FD" w14:textId="1BFBF95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6A0069B1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EA5A7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2.1. valsts pamatbudžets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5F180" w14:textId="2C99DA9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EA2D4" w14:textId="2563DE7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6500" w14:textId="0359A47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47D81" w14:textId="2107360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F82CC" w14:textId="2CB0B1B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AA24" w14:textId="119E870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25B6" w14:textId="09AF17A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4E1D7514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9C72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2.2. valsts speciālais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7F88" w14:textId="1D2BEC3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4E24" w14:textId="3910CAF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645D" w14:textId="54469A20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20D8" w14:textId="3393B34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EF3D" w14:textId="4450F1E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B8DF" w14:textId="705DC9BE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2851" w14:textId="5911642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69204030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16F4F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2.3. pašvaldību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0AE2" w14:textId="0B3BF5D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4A22" w14:textId="1652685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BF82" w14:textId="7279660F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D12B" w14:textId="364D3DD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2A86" w14:textId="4C4A4CA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3099" w14:textId="596A8910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0FDB" w14:textId="67191D13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1F3BAD46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B668E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Finansiālā ietekme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0565" w14:textId="497D622E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A2D1" w14:textId="6A2C575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35CC" w14:textId="421FECF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8EF9" w14:textId="5DD28E54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1EBAF" w14:textId="71AB1B1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4A8E" w14:textId="4C3BDEE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7E2FD" w14:textId="2FE34D1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70C1E238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31418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3.1. valsts pamatbudžets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C95E" w14:textId="3E121B6A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7DD2A" w14:textId="57B28F1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48B6" w14:textId="7828608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E274A" w14:textId="400C594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0C11" w14:textId="34CA268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994E8" w14:textId="4A35D1AE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72FB" w14:textId="0DB9CD9E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7AA3BD6D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72C8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3.2. speciālais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6FC" w14:textId="2C11CBD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013B3" w14:textId="41C6B03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B848" w14:textId="7E63A43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7E8B" w14:textId="4F9EE70F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72EA" w14:textId="1E12FCA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3B60" w14:textId="597329BF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8679" w14:textId="32155C2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4AAC7C46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6E6E5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3.3. pašvaldību budžets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D965" w14:textId="787C2C5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01C8" w14:textId="4EBEC57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4CDF" w14:textId="07AA9D22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BBA30" w14:textId="375AE39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9F99" w14:textId="34D9E13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9A75" w14:textId="25A1A7CA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473C" w14:textId="45AEBBB0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2FA292DB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85B1A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CDD5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58F8" w14:textId="40E8CFD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EDD9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69CF" w14:textId="3E796D60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20B14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F927" w14:textId="5B631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FC73" w14:textId="038829D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59712BC0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8B58D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 Precizēta finansiālā ietekme</w:t>
            </w:r>
          </w:p>
        </w:tc>
        <w:tc>
          <w:tcPr>
            <w:tcW w:w="5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1F84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E29F" w14:textId="2F424CF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03E4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FCB8" w14:textId="6DDC016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8386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0811A" w14:textId="152CD8E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789E" w14:textId="1BC8B2D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369036E1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8433C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5.1. valsts pamatbudžets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3083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9D1A8" w14:textId="6114277D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D920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68DB" w14:textId="35B00782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774A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5B01" w14:textId="648FDE6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F86D" w14:textId="72A440A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66727434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621F0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5.2. speciālais 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E9F9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E3F9" w14:textId="5D3BC844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C4AA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753D" w14:textId="140F88EB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89F0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A1CB" w14:textId="7BD6BA88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A7E9" w14:textId="1953DB46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4501F914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0D192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5.3. pašvaldību budžets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B057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05CC" w14:textId="597EBB15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3741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91C7" w14:textId="46899069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5EFB" w14:textId="77777777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274F0" w14:textId="7435722C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E60B" w14:textId="17DCAF71" w:rsidR="002B0124" w:rsidRPr="002B0124" w:rsidRDefault="002B0124" w:rsidP="002B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</w:t>
            </w:r>
          </w:p>
        </w:tc>
      </w:tr>
      <w:tr w:rsidR="002B0124" w:rsidRPr="002B0124" w14:paraId="27D5E89E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603C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6. Detalizēts ieņēmumu un izdevumu aprēķins (ja </w:t>
            </w: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nepieciešams, detalizētu ieņēmumu un izdevumu aprēķinu var pievienot anotācijas pielikumā)</w:t>
            </w:r>
          </w:p>
        </w:tc>
        <w:tc>
          <w:tcPr>
            <w:tcW w:w="3904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E007" w14:textId="6A045048" w:rsidR="002B0124" w:rsidRPr="00BD050B" w:rsidRDefault="002B0124" w:rsidP="00BD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 Projekts šo jomu neskar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2B0124" w:rsidRPr="002B0124" w14:paraId="1EFE575D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9AB32" w14:textId="654A3F6E" w:rsidR="00BD050B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6.1. detalizēts ieņēmumu aprēķins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9870A" w14:textId="77777777" w:rsidR="002B0124" w:rsidRPr="002B0124" w:rsidRDefault="002B0124" w:rsidP="002B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2B0124" w:rsidRPr="002B0124" w14:paraId="6A33E67A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A3E43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6.2. detalizēts izdevumu aprēķins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36202" w14:textId="77777777" w:rsidR="002B0124" w:rsidRPr="002B0124" w:rsidRDefault="002B0124" w:rsidP="002B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2B0124" w:rsidRPr="002B0124" w14:paraId="4E4136EC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DCAFB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7. Amata vietu skaita izmaiņas</w:t>
            </w:r>
          </w:p>
        </w:tc>
        <w:tc>
          <w:tcPr>
            <w:tcW w:w="39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0F844" w14:textId="0D2120A7" w:rsidR="002B0124" w:rsidRPr="002B0124" w:rsidRDefault="002B0124" w:rsidP="002B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2B0124" w:rsidRPr="002B0124" w14:paraId="3E15B778" w14:textId="77777777" w:rsidTr="002B0124">
        <w:trPr>
          <w:tblCellSpacing w:w="15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DCFE" w14:textId="77777777" w:rsidR="002B0124" w:rsidRPr="002B0124" w:rsidRDefault="002B0124" w:rsidP="002B01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8. Cita informācija</w:t>
            </w:r>
          </w:p>
        </w:tc>
        <w:tc>
          <w:tcPr>
            <w:tcW w:w="39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ECD46" w14:textId="5FB91DEF" w:rsidR="002B0124" w:rsidRPr="002B0124" w:rsidRDefault="002B0124" w:rsidP="002B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B01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īstenošanas izmaksas tiks segtas Satiksmes ministrijas budžeta programmas 05.00.00 “Starptautiskās kravu loģistikas un ostu informācijas sistēmas uzturēšana” finansējuma ietvaros.</w:t>
            </w:r>
          </w:p>
        </w:tc>
      </w:tr>
    </w:tbl>
    <w:p w14:paraId="294C1C0A" w14:textId="3F1E5189" w:rsidR="002E028E" w:rsidRPr="00E6249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8"/>
      </w:tblGrid>
      <w:tr w:rsidR="00F05270" w:rsidRPr="00E6249A" w14:paraId="38B87067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C99C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F002B3" w:rsidRPr="00E6249A" w14:paraId="5A4E115F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64191" w14:textId="735DCF30" w:rsidR="00F002B3" w:rsidRPr="00E6249A" w:rsidRDefault="00F002B3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F7B5880" w14:textId="77777777" w:rsidR="00042C09" w:rsidRPr="00F06ACD" w:rsidRDefault="00042C09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8"/>
      </w:tblGrid>
      <w:tr w:rsidR="00F05270" w:rsidRPr="00E6249A" w14:paraId="4512632A" w14:textId="77777777" w:rsidTr="00D6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D7AF2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165D4C" w:rsidRPr="00E6249A" w14:paraId="36B9ECF9" w14:textId="77777777" w:rsidTr="00D6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6990B" w14:textId="21E227E9" w:rsidR="00165D4C" w:rsidRPr="00E6249A" w:rsidRDefault="00165D4C" w:rsidP="0016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65D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24CA775" w14:textId="77C6BCD0" w:rsidR="00E5323B" w:rsidRPr="00E6249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949"/>
        <w:gridCol w:w="5696"/>
      </w:tblGrid>
      <w:tr w:rsidR="00F05270" w:rsidRPr="00E6249A" w14:paraId="1543C4FD" w14:textId="77777777" w:rsidTr="00642D9F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0759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F05270" w:rsidRPr="00E6249A" w14:paraId="4355A770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8E7DD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3EDD6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821CF" w14:textId="4E516AE1" w:rsidR="00E5323B" w:rsidRPr="00E6249A" w:rsidRDefault="00B6399E" w:rsidP="0015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Atbilstoši Ministru kabineta 2009.</w:t>
            </w:r>
            <w:r w:rsidR="00F205C8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gada 25.</w:t>
            </w:r>
            <w:r w:rsidR="00F205C8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augusta noteikumu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970 </w:t>
            </w:r>
            <w:r w:rsidR="00131060" w:rsidRPr="00131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kārtība attīstības plānošanas procesā</w:t>
            </w:r>
            <w:r w:rsidR="00131060" w:rsidRPr="00131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7.4.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lv-LV"/>
              </w:rPr>
              <w:t>1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apakšpunktam sabiedrībai tika dota iespēja rakstiski sniegt viedokli par</w:t>
            </w:r>
            <w:r w:rsidR="00165D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projektu tā izstrādes stadijā.</w:t>
            </w:r>
          </w:p>
        </w:tc>
      </w:tr>
      <w:tr w:rsidR="00F05270" w:rsidRPr="00E6249A" w14:paraId="6E2663D3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5581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1537C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247C" w14:textId="3C7016BE" w:rsidR="00F7565A" w:rsidRPr="00E6249A" w:rsidRDefault="00B6399E" w:rsidP="00F7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projekta izstrādi tika informēti sabiedrības pārstāvji, </w:t>
            </w:r>
            <w:r w:rsidR="00FF78AE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7565A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D0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F78AE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 gada </w:t>
            </w:r>
            <w:r w:rsidR="00BD05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februārī</w:t>
            </w:r>
            <w:r w:rsidR="0059583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ievietojot paziņojumu</w:t>
            </w:r>
            <w:r w:rsidR="0059583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Satiksmes ministrijas tīmekļa vietnē, sadaļā “Sabiedrības līdzdalība”</w:t>
            </w:r>
            <w:r w:rsidR="00573E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050B" w:rsidRPr="00BD050B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https://www.sam.gov.lv/lv/izstrade-esosie-attistibas-planosanas-dokumenti-un-tiesibu-akti</w:t>
            </w:r>
            <w:r w:rsidR="00F7565A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3BC6975" w14:textId="251C75C1" w:rsidR="00E5323B" w:rsidRPr="00E6249A" w:rsidRDefault="00595834" w:rsidP="00F7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Tādējādi savus priekšlikumus par projektu varēja izteikt ikviena ieintere</w:t>
            </w:r>
            <w:r w:rsidR="00642D9F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sētā persona.</w:t>
            </w:r>
          </w:p>
        </w:tc>
      </w:tr>
      <w:tr w:rsidR="00F05270" w:rsidRPr="00E6249A" w14:paraId="1F6E70A4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89F1" w14:textId="182A8BCE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B8C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62036" w14:textId="32D8181D" w:rsidR="00940037" w:rsidRPr="00E6249A" w:rsidRDefault="00165D4C" w:rsidP="0085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65D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[Tiks aizpildīts</w:t>
            </w:r>
            <w:r w:rsidR="008553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, noslēdzoties</w:t>
            </w:r>
            <w:r w:rsidRPr="00165D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 sabiedrības līdzdalības procesa</w:t>
            </w:r>
            <w:r w:rsidR="008553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m</w:t>
            </w:r>
            <w:r w:rsidRPr="00165D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]</w:t>
            </w:r>
            <w:r w:rsidR="008553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E6249A" w14:paraId="50118678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3FFD1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F6A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4227" w14:textId="38C9DAB5" w:rsidR="00E5323B" w:rsidRPr="00E6249A" w:rsidRDefault="00642D9F" w:rsidP="00DA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6A7179F5" w14:textId="4542FEA0" w:rsidR="00624947" w:rsidRPr="00E6249A" w:rsidRDefault="00624947" w:rsidP="001062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113"/>
        <w:gridCol w:w="5626"/>
      </w:tblGrid>
      <w:tr w:rsidR="00F05270" w:rsidRPr="00E6249A" w14:paraId="1E34320E" w14:textId="77777777" w:rsidTr="00CC1232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E0EC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  <w:p w14:paraId="4F62D939" w14:textId="5ED2D561" w:rsidR="00F05270" w:rsidRPr="00E6249A" w:rsidRDefault="00F05270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F05270" w:rsidRPr="00E6249A" w14:paraId="4CCA7D18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0E7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BAB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C670E" w14:textId="17166333" w:rsidR="00E5323B" w:rsidRPr="00E6249A" w:rsidRDefault="00165D4C" w:rsidP="00D2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Satiksmes ministrija</w:t>
            </w:r>
            <w:r w:rsid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D5679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E8247A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valsts sabiedrīb</w:t>
            </w:r>
            <w:r w:rsid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E8247A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BD0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ar ierobežotu atbildību </w:t>
            </w:r>
            <w:r w:rsidR="00E8247A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"Latvijas Jūras administrācija"</w:t>
            </w:r>
            <w:r w:rsidR="00BD0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8E5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E5344" w:rsidRPr="00165D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Valsts ieņēmumu dienest</w:t>
            </w:r>
            <w:r w:rsidR="00BD0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 un ost</w:t>
            </w:r>
            <w:r w:rsidR="00D2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BD0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pārvaldes</w:t>
            </w:r>
            <w:r w:rsidR="00D2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F05270" w:rsidRPr="00E6249A" w14:paraId="721FA1F7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DE90C" w14:textId="465889E9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3757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F779" w14:textId="2F47B440" w:rsidR="00E5323B" w:rsidRPr="00E6249A" w:rsidRDefault="006B585C" w:rsidP="006B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iesaistīto institūciju funkcijas nepaplašinās un nesašaurinās. Saistībā ar projekta izpildi p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apildu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cilvēkresursi nav nepieciešami. Nav nepieciešams arī veidot jaunas institūcijas vai likvidēt vai reorganizēt esošās.</w:t>
            </w:r>
          </w:p>
        </w:tc>
      </w:tr>
      <w:tr w:rsidR="00E5323B" w:rsidRPr="00E6249A" w14:paraId="3B9ABED0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65BC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CB17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01536" w14:textId="2465C38B" w:rsidR="00E5323B" w:rsidRPr="00E6249A" w:rsidRDefault="006B585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19CFFBA" w14:textId="00823190" w:rsidR="002C1719" w:rsidRDefault="002C1719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DB41FCE" w14:textId="77777777" w:rsidR="001457C3" w:rsidRDefault="001457C3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5AFBA6B" w14:textId="5919629C" w:rsidR="006B585C" w:rsidRPr="00E6249A" w:rsidRDefault="006B585C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249A">
        <w:rPr>
          <w:rFonts w:ascii="Times New Roman" w:hAnsi="Times New Roman" w:cs="Times New Roman"/>
          <w:sz w:val="24"/>
          <w:szCs w:val="24"/>
        </w:rPr>
        <w:t>Satiksmes ministrs</w:t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  <w:t>T. Linkaits</w:t>
      </w:r>
    </w:p>
    <w:p w14:paraId="1D88C6E4" w14:textId="77777777" w:rsidR="00304568" w:rsidRDefault="00304568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B891F" w14:textId="77777777" w:rsidR="00EA10EC" w:rsidRPr="00E6249A" w:rsidRDefault="00EA10EC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57960" w14:textId="2FE5D98A" w:rsidR="00E6249A" w:rsidRPr="00E6249A" w:rsidRDefault="006B585C" w:rsidP="00E6249A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249A">
        <w:rPr>
          <w:rFonts w:ascii="Times New Roman" w:hAnsi="Times New Roman" w:cs="Times New Roman"/>
          <w:sz w:val="24"/>
          <w:szCs w:val="24"/>
        </w:rPr>
        <w:t>Vīza: valsts sekretār</w:t>
      </w:r>
      <w:r w:rsidR="00E6249A" w:rsidRPr="00E6249A">
        <w:rPr>
          <w:rFonts w:ascii="Times New Roman" w:hAnsi="Times New Roman" w:cs="Times New Roman"/>
          <w:sz w:val="24"/>
          <w:szCs w:val="24"/>
        </w:rPr>
        <w:t>e</w:t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="00E6249A" w:rsidRPr="00E6249A">
        <w:rPr>
          <w:rFonts w:ascii="Times New Roman" w:hAnsi="Times New Roman" w:cs="Times New Roman"/>
          <w:bCs/>
          <w:sz w:val="24"/>
          <w:szCs w:val="24"/>
        </w:rPr>
        <w:t>I. Stepanova</w:t>
      </w:r>
    </w:p>
    <w:sectPr w:rsidR="00E6249A" w:rsidRPr="00E6249A" w:rsidSect="00046FD8">
      <w:headerReference w:type="default" r:id="rId8"/>
      <w:footerReference w:type="default" r:id="rId9"/>
      <w:footerReference w:type="first" r:id="rId10"/>
      <w:pgSz w:w="11906" w:h="16838"/>
      <w:pgMar w:top="1560" w:right="991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0B33" w16cex:dateUtc="2020-11-25T14:56:00Z"/>
  <w16cex:commentExtensible w16cex:durableId="23690EB5" w16cex:dateUtc="2020-11-25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B8CC1C" w16cid:durableId="23690B33"/>
  <w16cid:commentId w16cid:paraId="1B9EA02C" w16cid:durableId="23690E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30DE0" w14:textId="77777777" w:rsidR="00B17CBE" w:rsidRDefault="00B17CBE" w:rsidP="00894C55">
      <w:pPr>
        <w:spacing w:after="0" w:line="240" w:lineRule="auto"/>
      </w:pPr>
      <w:r>
        <w:separator/>
      </w:r>
    </w:p>
  </w:endnote>
  <w:endnote w:type="continuationSeparator" w:id="0">
    <w:p w14:paraId="17AD586C" w14:textId="77777777" w:rsidR="00B17CBE" w:rsidRDefault="00B17CBE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023C9" w14:textId="3FFC43F1" w:rsidR="00B17CBE" w:rsidRPr="00894C55" w:rsidRDefault="00B17CB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SManot_</w:t>
    </w:r>
    <w:r w:rsidR="00910653">
      <w:rPr>
        <w:rFonts w:ascii="Times New Roman" w:hAnsi="Times New Roman" w:cs="Times New Roman"/>
        <w:sz w:val="20"/>
        <w:szCs w:val="20"/>
      </w:rPr>
      <w:t>23</w:t>
    </w:r>
    <w:r>
      <w:rPr>
        <w:rFonts w:ascii="Times New Roman" w:hAnsi="Times New Roman" w:cs="Times New Roman"/>
        <w:sz w:val="20"/>
        <w:szCs w:val="20"/>
      </w:rPr>
      <w:t>0221_GrozMK92(SKLOIS)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D19E" w14:textId="37BB2824" w:rsidR="00B17CBE" w:rsidRPr="00BD050B" w:rsidRDefault="00B17CBE" w:rsidP="00BD050B">
    <w:pPr>
      <w:pStyle w:val="Footer"/>
      <w:rPr>
        <w:rFonts w:ascii="Times New Roman" w:hAnsi="Times New Roman" w:cs="Times New Roman"/>
        <w:sz w:val="20"/>
        <w:szCs w:val="20"/>
      </w:rPr>
    </w:pPr>
    <w:r w:rsidRPr="00BD050B">
      <w:rPr>
        <w:rFonts w:ascii="Times New Roman" w:hAnsi="Times New Roman" w:cs="Times New Roman"/>
        <w:sz w:val="20"/>
        <w:szCs w:val="20"/>
      </w:rPr>
      <w:t>SManot_</w:t>
    </w:r>
    <w:r w:rsidR="00910653">
      <w:rPr>
        <w:rFonts w:ascii="Times New Roman" w:hAnsi="Times New Roman" w:cs="Times New Roman"/>
        <w:sz w:val="20"/>
        <w:szCs w:val="20"/>
      </w:rPr>
      <w:t>23</w:t>
    </w:r>
    <w:r w:rsidRPr="00BD050B">
      <w:rPr>
        <w:rFonts w:ascii="Times New Roman" w:hAnsi="Times New Roman" w:cs="Times New Roman"/>
        <w:sz w:val="20"/>
        <w:szCs w:val="20"/>
      </w:rPr>
      <w:t>0221_GrozMK92(SKLOIS)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DF6E" w14:textId="77777777" w:rsidR="00B17CBE" w:rsidRDefault="00B17CBE" w:rsidP="00894C55">
      <w:pPr>
        <w:spacing w:after="0" w:line="240" w:lineRule="auto"/>
      </w:pPr>
      <w:r>
        <w:separator/>
      </w:r>
    </w:p>
  </w:footnote>
  <w:footnote w:type="continuationSeparator" w:id="0">
    <w:p w14:paraId="3A2D103A" w14:textId="77777777" w:rsidR="00B17CBE" w:rsidRDefault="00B17CBE" w:rsidP="00894C55">
      <w:pPr>
        <w:spacing w:after="0" w:line="240" w:lineRule="auto"/>
      </w:pPr>
      <w:r>
        <w:continuationSeparator/>
      </w:r>
    </w:p>
  </w:footnote>
  <w:footnote w:id="1">
    <w:p w14:paraId="326EF01B" w14:textId="3C0DB50A" w:rsidR="00B17CBE" w:rsidRDefault="00B17C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8197E">
          <w:rPr>
            <w:rStyle w:val="Hyperlink"/>
          </w:rPr>
          <w:t>https://rop.lv/lv/services</w:t>
        </w:r>
      </w:hyperlink>
    </w:p>
    <w:p w14:paraId="623E2B52" w14:textId="010C1C2B" w:rsidR="00B17CBE" w:rsidRDefault="00B17CBE">
      <w:pPr>
        <w:pStyle w:val="FootnoteText"/>
      </w:pPr>
      <w:hyperlink r:id="rId2" w:history="1">
        <w:r w:rsidRPr="0018197E">
          <w:rPr>
            <w:rStyle w:val="Hyperlink"/>
          </w:rPr>
          <w:t>https://liepaja-sez.lv/lv/port/kugu-buve-un-remonts</w:t>
        </w:r>
      </w:hyperlink>
    </w:p>
    <w:p w14:paraId="05C92A6E" w14:textId="444E606D" w:rsidR="00B17CBE" w:rsidRDefault="00B17CBE">
      <w:pPr>
        <w:pStyle w:val="FootnoteText"/>
      </w:pPr>
      <w:hyperlink r:id="rId3" w:history="1">
        <w:r w:rsidRPr="0018197E">
          <w:rPr>
            <w:rStyle w:val="Hyperlink"/>
          </w:rPr>
          <w:t>https://www.portofventspils.lv/lv/pakalpojumi-osta/kugu-remonts/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249375A" w14:textId="77777777" w:rsidR="00B17CBE" w:rsidRPr="00C25B49" w:rsidRDefault="00B17CBE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10653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38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550"/>
    <w:multiLevelType w:val="hybridMultilevel"/>
    <w:tmpl w:val="E346A1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F2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027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F0C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3180"/>
    <w:multiLevelType w:val="hybridMultilevel"/>
    <w:tmpl w:val="72049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30E2"/>
    <w:multiLevelType w:val="hybridMultilevel"/>
    <w:tmpl w:val="32F41B8E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44E"/>
    <w:multiLevelType w:val="hybridMultilevel"/>
    <w:tmpl w:val="BF7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7758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3179"/>
    <w:multiLevelType w:val="hybridMultilevel"/>
    <w:tmpl w:val="E346A1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0825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6BFB"/>
    <w:multiLevelType w:val="hybridMultilevel"/>
    <w:tmpl w:val="671059AA"/>
    <w:lvl w:ilvl="0" w:tplc="29642D9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6B42481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5D64"/>
    <w:multiLevelType w:val="hybridMultilevel"/>
    <w:tmpl w:val="D6B8E5BA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107EE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7787E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453CF"/>
    <w:multiLevelType w:val="hybridMultilevel"/>
    <w:tmpl w:val="FB1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59A7"/>
    <w:multiLevelType w:val="hybridMultilevel"/>
    <w:tmpl w:val="4FFE2F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E0685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78B4"/>
    <w:multiLevelType w:val="hybridMultilevel"/>
    <w:tmpl w:val="FDDA2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36A3C"/>
    <w:multiLevelType w:val="hybridMultilevel"/>
    <w:tmpl w:val="9AB21F08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1624"/>
    <w:multiLevelType w:val="hybridMultilevel"/>
    <w:tmpl w:val="60B8D24C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F6A06FE"/>
    <w:multiLevelType w:val="hybridMultilevel"/>
    <w:tmpl w:val="922C14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38A"/>
    <w:multiLevelType w:val="hybridMultilevel"/>
    <w:tmpl w:val="4EDCACB4"/>
    <w:lvl w:ilvl="0" w:tplc="B5ECAB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14790"/>
    <w:multiLevelType w:val="hybridMultilevel"/>
    <w:tmpl w:val="7F44C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B79AE"/>
    <w:multiLevelType w:val="hybridMultilevel"/>
    <w:tmpl w:val="3C945E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80D09"/>
    <w:multiLevelType w:val="hybridMultilevel"/>
    <w:tmpl w:val="5448C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19"/>
  </w:num>
  <w:num w:numId="5">
    <w:abstractNumId w:val="10"/>
  </w:num>
  <w:num w:numId="6">
    <w:abstractNumId w:val="8"/>
  </w:num>
  <w:num w:numId="7">
    <w:abstractNumId w:val="24"/>
  </w:num>
  <w:num w:numId="8">
    <w:abstractNumId w:val="21"/>
  </w:num>
  <w:num w:numId="9">
    <w:abstractNumId w:val="6"/>
  </w:num>
  <w:num w:numId="10">
    <w:abstractNumId w:val="20"/>
  </w:num>
  <w:num w:numId="11">
    <w:abstractNumId w:val="7"/>
  </w:num>
  <w:num w:numId="12">
    <w:abstractNumId w:val="18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9"/>
  </w:num>
  <w:num w:numId="18">
    <w:abstractNumId w:val="25"/>
  </w:num>
  <w:num w:numId="19">
    <w:abstractNumId w:val="2"/>
  </w:num>
  <w:num w:numId="20">
    <w:abstractNumId w:val="0"/>
  </w:num>
  <w:num w:numId="21">
    <w:abstractNumId w:val="3"/>
  </w:num>
  <w:num w:numId="22">
    <w:abstractNumId w:val="22"/>
  </w:num>
  <w:num w:numId="23">
    <w:abstractNumId w:val="13"/>
  </w:num>
  <w:num w:numId="24">
    <w:abstractNumId w:val="17"/>
  </w:num>
  <w:num w:numId="25">
    <w:abstractNumId w:val="23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5"/>
    <w:rsid w:val="00002264"/>
    <w:rsid w:val="00003A01"/>
    <w:rsid w:val="00015B92"/>
    <w:rsid w:val="000218D4"/>
    <w:rsid w:val="000248C7"/>
    <w:rsid w:val="00031C85"/>
    <w:rsid w:val="0003330D"/>
    <w:rsid w:val="00042C09"/>
    <w:rsid w:val="00043B7C"/>
    <w:rsid w:val="00046C89"/>
    <w:rsid w:val="00046FD8"/>
    <w:rsid w:val="000501DD"/>
    <w:rsid w:val="00054887"/>
    <w:rsid w:val="00064BA2"/>
    <w:rsid w:val="00085487"/>
    <w:rsid w:val="000952F1"/>
    <w:rsid w:val="0009554D"/>
    <w:rsid w:val="00096CAB"/>
    <w:rsid w:val="000A2EF6"/>
    <w:rsid w:val="000B2559"/>
    <w:rsid w:val="000B4A54"/>
    <w:rsid w:val="000C526B"/>
    <w:rsid w:val="000C7E27"/>
    <w:rsid w:val="000D452C"/>
    <w:rsid w:val="000D4681"/>
    <w:rsid w:val="000E69F8"/>
    <w:rsid w:val="000F214B"/>
    <w:rsid w:val="00102543"/>
    <w:rsid w:val="001041E4"/>
    <w:rsid w:val="00106281"/>
    <w:rsid w:val="00113289"/>
    <w:rsid w:val="00116BAF"/>
    <w:rsid w:val="00124734"/>
    <w:rsid w:val="00131060"/>
    <w:rsid w:val="0013439C"/>
    <w:rsid w:val="001412DB"/>
    <w:rsid w:val="001427BE"/>
    <w:rsid w:val="00144113"/>
    <w:rsid w:val="001457C3"/>
    <w:rsid w:val="00147174"/>
    <w:rsid w:val="00151526"/>
    <w:rsid w:val="00154594"/>
    <w:rsid w:val="00161C09"/>
    <w:rsid w:val="00165D4C"/>
    <w:rsid w:val="0016768D"/>
    <w:rsid w:val="00173EF8"/>
    <w:rsid w:val="0017564E"/>
    <w:rsid w:val="00186FE1"/>
    <w:rsid w:val="001903FF"/>
    <w:rsid w:val="0019743F"/>
    <w:rsid w:val="0019752D"/>
    <w:rsid w:val="001A3244"/>
    <w:rsid w:val="001B5A7C"/>
    <w:rsid w:val="001C077A"/>
    <w:rsid w:val="001D0958"/>
    <w:rsid w:val="001D3245"/>
    <w:rsid w:val="001F2FDB"/>
    <w:rsid w:val="001F5921"/>
    <w:rsid w:val="001F6A83"/>
    <w:rsid w:val="001F6DE5"/>
    <w:rsid w:val="002013D1"/>
    <w:rsid w:val="00202809"/>
    <w:rsid w:val="00206B33"/>
    <w:rsid w:val="002278BB"/>
    <w:rsid w:val="00227F8F"/>
    <w:rsid w:val="00230951"/>
    <w:rsid w:val="00231044"/>
    <w:rsid w:val="002332D9"/>
    <w:rsid w:val="00235C99"/>
    <w:rsid w:val="002427E9"/>
    <w:rsid w:val="00243426"/>
    <w:rsid w:val="00245D76"/>
    <w:rsid w:val="00250778"/>
    <w:rsid w:val="00267288"/>
    <w:rsid w:val="00270109"/>
    <w:rsid w:val="002709A0"/>
    <w:rsid w:val="002716BB"/>
    <w:rsid w:val="002839B8"/>
    <w:rsid w:val="00287FD0"/>
    <w:rsid w:val="002A1895"/>
    <w:rsid w:val="002A3A48"/>
    <w:rsid w:val="002A4DDD"/>
    <w:rsid w:val="002A5D65"/>
    <w:rsid w:val="002B0124"/>
    <w:rsid w:val="002B01A6"/>
    <w:rsid w:val="002B031F"/>
    <w:rsid w:val="002B1077"/>
    <w:rsid w:val="002B4808"/>
    <w:rsid w:val="002C1719"/>
    <w:rsid w:val="002C2540"/>
    <w:rsid w:val="002C5C29"/>
    <w:rsid w:val="002D298D"/>
    <w:rsid w:val="002D4C9F"/>
    <w:rsid w:val="002E028E"/>
    <w:rsid w:val="002E1C05"/>
    <w:rsid w:val="002E3009"/>
    <w:rsid w:val="002F3F2A"/>
    <w:rsid w:val="002F56C7"/>
    <w:rsid w:val="003028B7"/>
    <w:rsid w:val="00304568"/>
    <w:rsid w:val="0031741B"/>
    <w:rsid w:val="00323EBE"/>
    <w:rsid w:val="003271F1"/>
    <w:rsid w:val="00327E1E"/>
    <w:rsid w:val="00332A1C"/>
    <w:rsid w:val="00342568"/>
    <w:rsid w:val="00356968"/>
    <w:rsid w:val="00367120"/>
    <w:rsid w:val="00375224"/>
    <w:rsid w:val="00375657"/>
    <w:rsid w:val="00381876"/>
    <w:rsid w:val="00381D92"/>
    <w:rsid w:val="003935BB"/>
    <w:rsid w:val="00397B1C"/>
    <w:rsid w:val="003B0BF9"/>
    <w:rsid w:val="003B3D37"/>
    <w:rsid w:val="003C5ED6"/>
    <w:rsid w:val="003C710F"/>
    <w:rsid w:val="003D5196"/>
    <w:rsid w:val="003D7258"/>
    <w:rsid w:val="003E0791"/>
    <w:rsid w:val="003E3868"/>
    <w:rsid w:val="003F28AC"/>
    <w:rsid w:val="003F5417"/>
    <w:rsid w:val="00401DB5"/>
    <w:rsid w:val="00401F03"/>
    <w:rsid w:val="0040233E"/>
    <w:rsid w:val="004032BB"/>
    <w:rsid w:val="00407D1D"/>
    <w:rsid w:val="0041080E"/>
    <w:rsid w:val="00413D9B"/>
    <w:rsid w:val="00431A0A"/>
    <w:rsid w:val="004454FE"/>
    <w:rsid w:val="00446179"/>
    <w:rsid w:val="00450A92"/>
    <w:rsid w:val="00452AC6"/>
    <w:rsid w:val="00453393"/>
    <w:rsid w:val="004568CE"/>
    <w:rsid w:val="00456E40"/>
    <w:rsid w:val="004614C6"/>
    <w:rsid w:val="00471F27"/>
    <w:rsid w:val="00471FBC"/>
    <w:rsid w:val="00472EE7"/>
    <w:rsid w:val="00481397"/>
    <w:rsid w:val="004A122C"/>
    <w:rsid w:val="004B0744"/>
    <w:rsid w:val="004B38FB"/>
    <w:rsid w:val="004B4989"/>
    <w:rsid w:val="004D60A6"/>
    <w:rsid w:val="004F0920"/>
    <w:rsid w:val="004F2DA7"/>
    <w:rsid w:val="004F3D3D"/>
    <w:rsid w:val="005005D1"/>
    <w:rsid w:val="0050178F"/>
    <w:rsid w:val="00504BD0"/>
    <w:rsid w:val="005052F1"/>
    <w:rsid w:val="00505D35"/>
    <w:rsid w:val="00513F0C"/>
    <w:rsid w:val="005252BB"/>
    <w:rsid w:val="005328D0"/>
    <w:rsid w:val="00536F40"/>
    <w:rsid w:val="0054019D"/>
    <w:rsid w:val="00547879"/>
    <w:rsid w:val="0055064C"/>
    <w:rsid w:val="00553684"/>
    <w:rsid w:val="0056114D"/>
    <w:rsid w:val="0056358A"/>
    <w:rsid w:val="00566DE3"/>
    <w:rsid w:val="0057149E"/>
    <w:rsid w:val="00573EAC"/>
    <w:rsid w:val="00573EEF"/>
    <w:rsid w:val="00581FF0"/>
    <w:rsid w:val="00595834"/>
    <w:rsid w:val="005B1470"/>
    <w:rsid w:val="005D0DB3"/>
    <w:rsid w:val="005D67AA"/>
    <w:rsid w:val="005D7BAA"/>
    <w:rsid w:val="005E707B"/>
    <w:rsid w:val="005F1650"/>
    <w:rsid w:val="006153F1"/>
    <w:rsid w:val="00616D4A"/>
    <w:rsid w:val="0062020B"/>
    <w:rsid w:val="00624947"/>
    <w:rsid w:val="006252E2"/>
    <w:rsid w:val="00626D84"/>
    <w:rsid w:val="00633F21"/>
    <w:rsid w:val="0063697F"/>
    <w:rsid w:val="00641988"/>
    <w:rsid w:val="00642D9F"/>
    <w:rsid w:val="00646F70"/>
    <w:rsid w:val="00655F2C"/>
    <w:rsid w:val="006572D2"/>
    <w:rsid w:val="006623CF"/>
    <w:rsid w:val="00673060"/>
    <w:rsid w:val="00676196"/>
    <w:rsid w:val="006A3554"/>
    <w:rsid w:val="006A3BD4"/>
    <w:rsid w:val="006B3D51"/>
    <w:rsid w:val="006B585C"/>
    <w:rsid w:val="006B72CD"/>
    <w:rsid w:val="006C1A5F"/>
    <w:rsid w:val="006C4FEB"/>
    <w:rsid w:val="006C58FC"/>
    <w:rsid w:val="006D00A3"/>
    <w:rsid w:val="006D1846"/>
    <w:rsid w:val="006D4A21"/>
    <w:rsid w:val="006D59B7"/>
    <w:rsid w:val="006E1081"/>
    <w:rsid w:val="006F4326"/>
    <w:rsid w:val="006F78AF"/>
    <w:rsid w:val="00702506"/>
    <w:rsid w:val="00714945"/>
    <w:rsid w:val="00720585"/>
    <w:rsid w:val="007308D8"/>
    <w:rsid w:val="00740B4A"/>
    <w:rsid w:val="0074281D"/>
    <w:rsid w:val="007449E0"/>
    <w:rsid w:val="00754A4E"/>
    <w:rsid w:val="00761902"/>
    <w:rsid w:val="00772203"/>
    <w:rsid w:val="00773AF6"/>
    <w:rsid w:val="007809FD"/>
    <w:rsid w:val="00783097"/>
    <w:rsid w:val="007848D9"/>
    <w:rsid w:val="00795F71"/>
    <w:rsid w:val="00796A88"/>
    <w:rsid w:val="00797E36"/>
    <w:rsid w:val="007C52A5"/>
    <w:rsid w:val="007D3FCB"/>
    <w:rsid w:val="007E5F7A"/>
    <w:rsid w:val="007E6040"/>
    <w:rsid w:val="007E73AB"/>
    <w:rsid w:val="007F1F4E"/>
    <w:rsid w:val="007F6154"/>
    <w:rsid w:val="007F75DD"/>
    <w:rsid w:val="00802B11"/>
    <w:rsid w:val="00810AF4"/>
    <w:rsid w:val="00816C11"/>
    <w:rsid w:val="0082760A"/>
    <w:rsid w:val="008553FD"/>
    <w:rsid w:val="0086261F"/>
    <w:rsid w:val="00864F96"/>
    <w:rsid w:val="00867C0B"/>
    <w:rsid w:val="008714F0"/>
    <w:rsid w:val="00873E30"/>
    <w:rsid w:val="00877731"/>
    <w:rsid w:val="00894C55"/>
    <w:rsid w:val="00894FFE"/>
    <w:rsid w:val="008B28A7"/>
    <w:rsid w:val="008D4DCD"/>
    <w:rsid w:val="008E19D9"/>
    <w:rsid w:val="008E3BDD"/>
    <w:rsid w:val="008E5344"/>
    <w:rsid w:val="008E60E1"/>
    <w:rsid w:val="008F03F5"/>
    <w:rsid w:val="008F10E2"/>
    <w:rsid w:val="008F3315"/>
    <w:rsid w:val="008F676F"/>
    <w:rsid w:val="008F6DB1"/>
    <w:rsid w:val="009057EB"/>
    <w:rsid w:val="00907A93"/>
    <w:rsid w:val="00910653"/>
    <w:rsid w:val="00911880"/>
    <w:rsid w:val="009120B2"/>
    <w:rsid w:val="0091247E"/>
    <w:rsid w:val="00913FF3"/>
    <w:rsid w:val="0091521D"/>
    <w:rsid w:val="00936DDE"/>
    <w:rsid w:val="00937ADD"/>
    <w:rsid w:val="00940037"/>
    <w:rsid w:val="00942984"/>
    <w:rsid w:val="009447F1"/>
    <w:rsid w:val="00953F65"/>
    <w:rsid w:val="00956300"/>
    <w:rsid w:val="00956A3C"/>
    <w:rsid w:val="009621AC"/>
    <w:rsid w:val="00971038"/>
    <w:rsid w:val="009725D2"/>
    <w:rsid w:val="0097305D"/>
    <w:rsid w:val="00982611"/>
    <w:rsid w:val="00985C3E"/>
    <w:rsid w:val="009906B9"/>
    <w:rsid w:val="009A2654"/>
    <w:rsid w:val="009A332B"/>
    <w:rsid w:val="009B22B5"/>
    <w:rsid w:val="009B59DF"/>
    <w:rsid w:val="009C55B8"/>
    <w:rsid w:val="009C635D"/>
    <w:rsid w:val="009D7E8B"/>
    <w:rsid w:val="009E1625"/>
    <w:rsid w:val="009E29B5"/>
    <w:rsid w:val="009E479B"/>
    <w:rsid w:val="009E6F2E"/>
    <w:rsid w:val="009E73C9"/>
    <w:rsid w:val="00A00FF6"/>
    <w:rsid w:val="00A106FC"/>
    <w:rsid w:val="00A10FC3"/>
    <w:rsid w:val="00A12AF7"/>
    <w:rsid w:val="00A1780A"/>
    <w:rsid w:val="00A267BA"/>
    <w:rsid w:val="00A270CF"/>
    <w:rsid w:val="00A337C4"/>
    <w:rsid w:val="00A37138"/>
    <w:rsid w:val="00A407C6"/>
    <w:rsid w:val="00A5499E"/>
    <w:rsid w:val="00A55D18"/>
    <w:rsid w:val="00A56AEA"/>
    <w:rsid w:val="00A6073E"/>
    <w:rsid w:val="00A60B12"/>
    <w:rsid w:val="00A61452"/>
    <w:rsid w:val="00A657F8"/>
    <w:rsid w:val="00A663CC"/>
    <w:rsid w:val="00A66D83"/>
    <w:rsid w:val="00A70017"/>
    <w:rsid w:val="00A7003A"/>
    <w:rsid w:val="00A7489E"/>
    <w:rsid w:val="00A80AD7"/>
    <w:rsid w:val="00A90AEF"/>
    <w:rsid w:val="00A92403"/>
    <w:rsid w:val="00A9648E"/>
    <w:rsid w:val="00AA267C"/>
    <w:rsid w:val="00AB40B0"/>
    <w:rsid w:val="00AC3858"/>
    <w:rsid w:val="00AC39C6"/>
    <w:rsid w:val="00AC67CD"/>
    <w:rsid w:val="00AD7607"/>
    <w:rsid w:val="00AE4951"/>
    <w:rsid w:val="00AE5567"/>
    <w:rsid w:val="00AF1239"/>
    <w:rsid w:val="00AF4CF5"/>
    <w:rsid w:val="00AF632F"/>
    <w:rsid w:val="00AF6DA1"/>
    <w:rsid w:val="00AF7580"/>
    <w:rsid w:val="00B018AB"/>
    <w:rsid w:val="00B02F55"/>
    <w:rsid w:val="00B038FF"/>
    <w:rsid w:val="00B10748"/>
    <w:rsid w:val="00B1584C"/>
    <w:rsid w:val="00B16480"/>
    <w:rsid w:val="00B17CBE"/>
    <w:rsid w:val="00B2084D"/>
    <w:rsid w:val="00B2165C"/>
    <w:rsid w:val="00B22FE7"/>
    <w:rsid w:val="00B26533"/>
    <w:rsid w:val="00B3227C"/>
    <w:rsid w:val="00B560AA"/>
    <w:rsid w:val="00B6399E"/>
    <w:rsid w:val="00B70AF2"/>
    <w:rsid w:val="00B83C4E"/>
    <w:rsid w:val="00B97E6A"/>
    <w:rsid w:val="00BA20AA"/>
    <w:rsid w:val="00BB3FFD"/>
    <w:rsid w:val="00BB59DE"/>
    <w:rsid w:val="00BC09AB"/>
    <w:rsid w:val="00BC31DA"/>
    <w:rsid w:val="00BD050B"/>
    <w:rsid w:val="00BD0CC7"/>
    <w:rsid w:val="00BD43DE"/>
    <w:rsid w:val="00BD4425"/>
    <w:rsid w:val="00BE09F0"/>
    <w:rsid w:val="00BE19A9"/>
    <w:rsid w:val="00BE3B41"/>
    <w:rsid w:val="00BE4B93"/>
    <w:rsid w:val="00BF75B0"/>
    <w:rsid w:val="00C00872"/>
    <w:rsid w:val="00C019E5"/>
    <w:rsid w:val="00C11A7D"/>
    <w:rsid w:val="00C12488"/>
    <w:rsid w:val="00C24288"/>
    <w:rsid w:val="00C25B49"/>
    <w:rsid w:val="00C34CB4"/>
    <w:rsid w:val="00C4304E"/>
    <w:rsid w:val="00C63479"/>
    <w:rsid w:val="00C72EF2"/>
    <w:rsid w:val="00C73278"/>
    <w:rsid w:val="00C83443"/>
    <w:rsid w:val="00C864E4"/>
    <w:rsid w:val="00CA4C43"/>
    <w:rsid w:val="00CB04A8"/>
    <w:rsid w:val="00CB0E5A"/>
    <w:rsid w:val="00CB1A2F"/>
    <w:rsid w:val="00CB2E36"/>
    <w:rsid w:val="00CB33B3"/>
    <w:rsid w:val="00CC0D2D"/>
    <w:rsid w:val="00CC1232"/>
    <w:rsid w:val="00CD0493"/>
    <w:rsid w:val="00CE5657"/>
    <w:rsid w:val="00CF643F"/>
    <w:rsid w:val="00D0583F"/>
    <w:rsid w:val="00D05972"/>
    <w:rsid w:val="00D133F8"/>
    <w:rsid w:val="00D14A3E"/>
    <w:rsid w:val="00D169B2"/>
    <w:rsid w:val="00D20695"/>
    <w:rsid w:val="00D2416B"/>
    <w:rsid w:val="00D27139"/>
    <w:rsid w:val="00D45D27"/>
    <w:rsid w:val="00D5018F"/>
    <w:rsid w:val="00D5138D"/>
    <w:rsid w:val="00D52DB9"/>
    <w:rsid w:val="00D56790"/>
    <w:rsid w:val="00D62228"/>
    <w:rsid w:val="00D64BC8"/>
    <w:rsid w:val="00D70B0F"/>
    <w:rsid w:val="00D854B0"/>
    <w:rsid w:val="00DA2BF7"/>
    <w:rsid w:val="00DA6BD7"/>
    <w:rsid w:val="00DB3775"/>
    <w:rsid w:val="00DE244C"/>
    <w:rsid w:val="00DE49CB"/>
    <w:rsid w:val="00E13150"/>
    <w:rsid w:val="00E15C74"/>
    <w:rsid w:val="00E21122"/>
    <w:rsid w:val="00E2638C"/>
    <w:rsid w:val="00E31081"/>
    <w:rsid w:val="00E34D25"/>
    <w:rsid w:val="00E3716B"/>
    <w:rsid w:val="00E40822"/>
    <w:rsid w:val="00E45FB9"/>
    <w:rsid w:val="00E50CEF"/>
    <w:rsid w:val="00E5323B"/>
    <w:rsid w:val="00E5659B"/>
    <w:rsid w:val="00E6249A"/>
    <w:rsid w:val="00E627D1"/>
    <w:rsid w:val="00E62D72"/>
    <w:rsid w:val="00E73FBC"/>
    <w:rsid w:val="00E741F6"/>
    <w:rsid w:val="00E74C95"/>
    <w:rsid w:val="00E7759F"/>
    <w:rsid w:val="00E8247A"/>
    <w:rsid w:val="00E8749E"/>
    <w:rsid w:val="00E90C01"/>
    <w:rsid w:val="00E916B3"/>
    <w:rsid w:val="00EA10EC"/>
    <w:rsid w:val="00EA43CF"/>
    <w:rsid w:val="00EA486E"/>
    <w:rsid w:val="00EA5E60"/>
    <w:rsid w:val="00EA6EAC"/>
    <w:rsid w:val="00EC1D73"/>
    <w:rsid w:val="00EC2466"/>
    <w:rsid w:val="00EC355A"/>
    <w:rsid w:val="00EC3D33"/>
    <w:rsid w:val="00ED025D"/>
    <w:rsid w:val="00ED4066"/>
    <w:rsid w:val="00ED5A2C"/>
    <w:rsid w:val="00EE64C3"/>
    <w:rsid w:val="00F002B3"/>
    <w:rsid w:val="00F03ABF"/>
    <w:rsid w:val="00F05270"/>
    <w:rsid w:val="00F06ACD"/>
    <w:rsid w:val="00F205C8"/>
    <w:rsid w:val="00F21EE4"/>
    <w:rsid w:val="00F30A1D"/>
    <w:rsid w:val="00F317A4"/>
    <w:rsid w:val="00F511ED"/>
    <w:rsid w:val="00F54702"/>
    <w:rsid w:val="00F57B0C"/>
    <w:rsid w:val="00F663D7"/>
    <w:rsid w:val="00F71C96"/>
    <w:rsid w:val="00F7565A"/>
    <w:rsid w:val="00F8155E"/>
    <w:rsid w:val="00F85E80"/>
    <w:rsid w:val="00F877D2"/>
    <w:rsid w:val="00F91903"/>
    <w:rsid w:val="00FB5E3C"/>
    <w:rsid w:val="00FC3FDA"/>
    <w:rsid w:val="00FC6F94"/>
    <w:rsid w:val="00FD3E2E"/>
    <w:rsid w:val="00FD7C75"/>
    <w:rsid w:val="00FE1038"/>
    <w:rsid w:val="00FE6AD2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16B67A"/>
  <w15:docId w15:val="{D62DCA8E-7E1B-409D-98BC-D81E26E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6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F94"/>
    <w:rPr>
      <w:vertAlign w:val="superscript"/>
    </w:rPr>
  </w:style>
  <w:style w:type="paragraph" w:customStyle="1" w:styleId="title-doc-first">
    <w:name w:val="title-doc-first"/>
    <w:basedOn w:val="Normal"/>
    <w:rsid w:val="005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0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25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460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06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82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5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8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5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7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5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7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97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7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4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7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2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rtofventspils.lv/lv/pakalpojumi-osta/kugu-remonts/" TargetMode="External"/><Relationship Id="rId2" Type="http://schemas.openxmlformats.org/officeDocument/2006/relationships/hyperlink" Target="https://liepaja-sez.lv/lv/port/kugu-buve-un-remonts" TargetMode="External"/><Relationship Id="rId1" Type="http://schemas.openxmlformats.org/officeDocument/2006/relationships/hyperlink" Target="https://rop.lv/lv/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0BF6-2D5F-4BD1-92ED-E50F331C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80302AB4</Template>
  <TotalTime>1</TotalTime>
  <Pages>6</Pages>
  <Words>6424</Words>
  <Characters>3663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2020. gada 11. februāra noteikumos Nr. 92 "Starptautiskās kravu loģistikas un ostu informācijas sistēmas noteikumi"</vt:lpstr>
    </vt:vector>
  </TitlesOfParts>
  <Manager/>
  <Company>Satiksmes ministrija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2020. gada 11. februāra noteikumos Nr. 92 "Starptautiskās kravu loģistikas un ostu informācijas sistēmas noteikumi"</dc:title>
  <dc:subject>Anotācija</dc:subject>
  <dc:creator>viesturs.rusko@lja.lv</dc:creator>
  <dc:description>67062127, viesturs.rusko@lja.lv</dc:description>
  <cp:lastModifiedBy>Viesturs Ruško</cp:lastModifiedBy>
  <cp:revision>2</cp:revision>
  <cp:lastPrinted>2019-10-10T14:23:00Z</cp:lastPrinted>
  <dcterms:created xsi:type="dcterms:W3CDTF">2021-02-22T22:50:00Z</dcterms:created>
  <dcterms:modified xsi:type="dcterms:W3CDTF">2021-02-22T22:50:00Z</dcterms:modified>
</cp:coreProperties>
</file>