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DA277" w14:textId="5DBF0F27" w:rsidR="00EA47CD" w:rsidRPr="00FC5C35" w:rsidRDefault="005E49C4" w:rsidP="00FC5C35">
      <w:pPr>
        <w:spacing w:after="0"/>
        <w:jc w:val="right"/>
        <w:rPr>
          <w:rFonts w:ascii="Times New Roman" w:hAnsi="Times New Roman"/>
        </w:rPr>
      </w:pPr>
      <w:r>
        <w:rPr>
          <w:rFonts w:ascii="Times New Roman" w:hAnsi="Times New Roman"/>
        </w:rPr>
        <w:t>4</w:t>
      </w:r>
      <w:r w:rsidR="007A1DEA" w:rsidRPr="00FC5C35">
        <w:rPr>
          <w:rFonts w:ascii="Times New Roman" w:hAnsi="Times New Roman"/>
        </w:rPr>
        <w:t>.pielikums</w:t>
      </w:r>
    </w:p>
    <w:p w14:paraId="2C47900C" w14:textId="44EB0996" w:rsidR="00FC5C35" w:rsidRPr="00FC5C35" w:rsidRDefault="00944E34" w:rsidP="00EA47CD">
      <w:pPr>
        <w:jc w:val="right"/>
        <w:rPr>
          <w:rFonts w:ascii="Times New Roman" w:hAnsi="Times New Roman"/>
        </w:rPr>
      </w:pPr>
      <w:r>
        <w:rPr>
          <w:rFonts w:ascii="Times New Roman" w:hAnsi="Times New Roman"/>
        </w:rPr>
        <w:t>projekta iesniegumam</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0"/>
        <w:gridCol w:w="1417"/>
        <w:gridCol w:w="1984"/>
        <w:gridCol w:w="1985"/>
        <w:gridCol w:w="1985"/>
      </w:tblGrid>
      <w:tr w:rsidR="00EA47CD" w:rsidRPr="00205328" w14:paraId="168BDE7B" w14:textId="77777777" w:rsidTr="00FB0DD8">
        <w:trPr>
          <w:trHeight w:val="586"/>
        </w:trPr>
        <w:tc>
          <w:tcPr>
            <w:tcW w:w="9491" w:type="dxa"/>
            <w:gridSpan w:val="5"/>
            <w:tcBorders>
              <w:top w:val="single" w:sz="4" w:space="0" w:color="auto"/>
              <w:left w:val="single" w:sz="4" w:space="0" w:color="auto"/>
              <w:bottom w:val="single" w:sz="4" w:space="0" w:color="auto"/>
              <w:right w:val="single" w:sz="4" w:space="0" w:color="auto"/>
            </w:tcBorders>
            <w:vAlign w:val="center"/>
            <w:hideMark/>
          </w:tcPr>
          <w:p w14:paraId="51BE8F4A" w14:textId="12F44651" w:rsidR="00EA47CD" w:rsidRPr="00EA47CD" w:rsidRDefault="00EA47CD" w:rsidP="00FB0DD8">
            <w:pPr>
              <w:jc w:val="center"/>
              <w:rPr>
                <w:rFonts w:ascii="Times New Roman" w:hAnsi="Times New Roman"/>
                <w:b/>
                <w:bCs/>
                <w:sz w:val="24"/>
                <w:szCs w:val="24"/>
              </w:rPr>
            </w:pPr>
            <w:bookmarkStart w:id="0" w:name="_Toc48571154"/>
            <w:bookmarkStart w:id="1" w:name="_Toc428218247"/>
            <w:r w:rsidRPr="00EA47CD">
              <w:rPr>
                <w:rStyle w:val="Heading2Char"/>
                <w:rFonts w:ascii="Times New Roman" w:eastAsia="Calibri" w:hAnsi="Times New Roman"/>
                <w:b/>
                <w:bCs/>
                <w:color w:val="000000" w:themeColor="text1"/>
                <w:sz w:val="24"/>
                <w:szCs w:val="24"/>
              </w:rPr>
              <w:t xml:space="preserve">Projekta risku </w:t>
            </w:r>
            <w:proofErr w:type="spellStart"/>
            <w:r w:rsidRPr="00EA47CD">
              <w:rPr>
                <w:rStyle w:val="Heading2Char"/>
                <w:rFonts w:ascii="Times New Roman" w:eastAsia="Calibri" w:hAnsi="Times New Roman"/>
                <w:b/>
                <w:bCs/>
                <w:color w:val="000000" w:themeColor="text1"/>
                <w:sz w:val="24"/>
                <w:szCs w:val="24"/>
              </w:rPr>
              <w:t>izvērtējums</w:t>
            </w:r>
            <w:bookmarkEnd w:id="0"/>
            <w:bookmarkEnd w:id="1"/>
            <w:proofErr w:type="spellEnd"/>
          </w:p>
        </w:tc>
      </w:tr>
      <w:tr w:rsidR="00EA47CD" w:rsidRPr="00205328" w14:paraId="0D161DCC" w14:textId="77777777" w:rsidTr="00CE41EE">
        <w:tc>
          <w:tcPr>
            <w:tcW w:w="2120" w:type="dxa"/>
            <w:tcBorders>
              <w:top w:val="single" w:sz="4" w:space="0" w:color="auto"/>
              <w:left w:val="single" w:sz="4" w:space="0" w:color="auto"/>
              <w:bottom w:val="single" w:sz="4" w:space="0" w:color="auto"/>
              <w:right w:val="single" w:sz="4" w:space="0" w:color="auto"/>
            </w:tcBorders>
            <w:vAlign w:val="center"/>
            <w:hideMark/>
          </w:tcPr>
          <w:p w14:paraId="0EE2CAEF"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8FF9C8"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Riska apraksts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76E4806"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Riska ietekme</w:t>
            </w:r>
          </w:p>
          <w:p w14:paraId="2CCDC3E8" w14:textId="77777777" w:rsidR="00EA47CD" w:rsidRPr="00205328" w:rsidRDefault="00EA47CD" w:rsidP="00FB0DD8">
            <w:pPr>
              <w:jc w:val="center"/>
              <w:rPr>
                <w:rFonts w:ascii="Times New Roman" w:hAnsi="Times New Roman"/>
                <w:sz w:val="24"/>
                <w:szCs w:val="24"/>
              </w:rPr>
            </w:pPr>
            <w:r w:rsidRPr="00205328">
              <w:rPr>
                <w:rFonts w:ascii="Times New Roman" w:hAnsi="Times New Roman"/>
                <w:sz w:val="24"/>
                <w:szCs w:val="24"/>
              </w:rPr>
              <w:t>(augsta, vidēja, zema)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E157D2"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Iestāšanas varbūtība</w:t>
            </w:r>
          </w:p>
          <w:p w14:paraId="1BF30A81" w14:textId="77777777" w:rsidR="00EA47CD" w:rsidRPr="00205328" w:rsidRDefault="00EA47CD" w:rsidP="00FB0DD8">
            <w:pPr>
              <w:jc w:val="center"/>
              <w:rPr>
                <w:rFonts w:ascii="Times New Roman" w:hAnsi="Times New Roman"/>
                <w:sz w:val="24"/>
                <w:szCs w:val="24"/>
              </w:rPr>
            </w:pPr>
            <w:r w:rsidRPr="00205328">
              <w:rPr>
                <w:rFonts w:ascii="Times New Roman" w:hAnsi="Times New Roman"/>
                <w:sz w:val="24"/>
                <w:szCs w:val="24"/>
              </w:rPr>
              <w:t>(augsta, vidēja, zema)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5E6AA0A"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Riska novēršanas/ mazināšanas pasākumi</w:t>
            </w:r>
          </w:p>
        </w:tc>
      </w:tr>
      <w:tr w:rsidR="00EA47CD" w:rsidRPr="00205328" w14:paraId="73A0B5F2" w14:textId="77777777" w:rsidTr="00CE41EE">
        <w:tc>
          <w:tcPr>
            <w:tcW w:w="2120" w:type="dxa"/>
            <w:tcBorders>
              <w:top w:val="single" w:sz="4" w:space="0" w:color="auto"/>
              <w:left w:val="single" w:sz="4" w:space="0" w:color="auto"/>
              <w:bottom w:val="single" w:sz="4" w:space="0" w:color="auto"/>
              <w:right w:val="single" w:sz="4" w:space="0" w:color="auto"/>
            </w:tcBorders>
            <w:hideMark/>
          </w:tcPr>
          <w:p w14:paraId="2481DE9F"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Finanšu</w:t>
            </w:r>
          </w:p>
        </w:tc>
        <w:tc>
          <w:tcPr>
            <w:tcW w:w="1417" w:type="dxa"/>
            <w:tcBorders>
              <w:top w:val="single" w:sz="4" w:space="0" w:color="auto"/>
              <w:left w:val="single" w:sz="4" w:space="0" w:color="auto"/>
              <w:bottom w:val="single" w:sz="4" w:space="0" w:color="auto"/>
              <w:right w:val="single" w:sz="4" w:space="0" w:color="auto"/>
            </w:tcBorders>
            <w:hideMark/>
          </w:tcPr>
          <w:p w14:paraId="2546467E"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140B0341" w14:textId="77777777" w:rsidR="00EA47CD" w:rsidRPr="00205328" w:rsidRDefault="00EA47CD" w:rsidP="00EA47CD">
            <w:pPr>
              <w:pStyle w:val="ListParagraph"/>
              <w:numPr>
                <w:ilvl w:val="0"/>
                <w:numId w:val="2"/>
              </w:numPr>
              <w:spacing w:after="0" w:line="240" w:lineRule="auto"/>
              <w:ind w:left="175" w:hanging="142"/>
              <w:contextualSpacing w:val="0"/>
              <w:jc w:val="both"/>
              <w:rPr>
                <w:rFonts w:ascii="Times New Roman" w:hAnsi="Times New Roman"/>
                <w:color w:val="0000FF"/>
                <w:sz w:val="24"/>
                <w:szCs w:val="24"/>
              </w:rPr>
            </w:pPr>
            <w:r>
              <w:rPr>
                <w:rFonts w:ascii="Times New Roman" w:hAnsi="Times New Roman"/>
                <w:i/>
                <w:iCs/>
                <w:color w:val="0000FF"/>
                <w:sz w:val="20"/>
                <w:szCs w:val="20"/>
              </w:rPr>
              <w:t>Nepareizi saplānota finanšu plūsma;</w:t>
            </w:r>
          </w:p>
        </w:tc>
        <w:tc>
          <w:tcPr>
            <w:tcW w:w="1984" w:type="dxa"/>
            <w:tcBorders>
              <w:top w:val="single" w:sz="4" w:space="0" w:color="auto"/>
              <w:left w:val="single" w:sz="4" w:space="0" w:color="auto"/>
              <w:bottom w:val="single" w:sz="4" w:space="0" w:color="auto"/>
              <w:right w:val="single" w:sz="4" w:space="0" w:color="auto"/>
            </w:tcBorders>
          </w:tcPr>
          <w:p w14:paraId="05887FED"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0A05A1F"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2AE4BDB" w14:textId="77777777" w:rsidR="00EA47CD" w:rsidRPr="00205328" w:rsidRDefault="00EA47CD" w:rsidP="00FB0DD8">
            <w:pPr>
              <w:rPr>
                <w:rFonts w:ascii="Times New Roman" w:hAnsi="Times New Roman"/>
                <w:sz w:val="24"/>
                <w:szCs w:val="24"/>
              </w:rPr>
            </w:pPr>
          </w:p>
        </w:tc>
      </w:tr>
      <w:tr w:rsidR="00EA47CD" w:rsidRPr="00205328" w14:paraId="02D35693" w14:textId="77777777" w:rsidTr="00CE41EE">
        <w:tc>
          <w:tcPr>
            <w:tcW w:w="2120" w:type="dxa"/>
            <w:tcBorders>
              <w:top w:val="single" w:sz="4" w:space="0" w:color="auto"/>
              <w:left w:val="single" w:sz="4" w:space="0" w:color="auto"/>
              <w:bottom w:val="single" w:sz="4" w:space="0" w:color="auto"/>
              <w:right w:val="single" w:sz="4" w:space="0" w:color="auto"/>
            </w:tcBorders>
            <w:hideMark/>
          </w:tcPr>
          <w:p w14:paraId="7770F741"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 xml:space="preserve">Īstenošanas </w:t>
            </w:r>
          </w:p>
        </w:tc>
        <w:tc>
          <w:tcPr>
            <w:tcW w:w="1417" w:type="dxa"/>
            <w:tcBorders>
              <w:top w:val="single" w:sz="4" w:space="0" w:color="auto"/>
              <w:left w:val="single" w:sz="4" w:space="0" w:color="auto"/>
              <w:bottom w:val="single" w:sz="4" w:space="0" w:color="auto"/>
              <w:right w:val="single" w:sz="4" w:space="0" w:color="auto"/>
            </w:tcBorders>
            <w:hideMark/>
          </w:tcPr>
          <w:p w14:paraId="43CA7093"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484D89E6" w14:textId="77777777" w:rsidR="00EA47CD" w:rsidRDefault="00EA47CD" w:rsidP="00EA47CD">
            <w:pPr>
              <w:pStyle w:val="ListParagraph"/>
              <w:numPr>
                <w:ilvl w:val="0"/>
                <w:numId w:val="2"/>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Neprecīza darbību plānošana;</w:t>
            </w:r>
          </w:p>
          <w:p w14:paraId="61B015DE" w14:textId="77777777" w:rsidR="00EA47CD" w:rsidRPr="00D23187" w:rsidRDefault="00EA47CD" w:rsidP="00EA47CD">
            <w:pPr>
              <w:pStyle w:val="ListParagraph"/>
              <w:numPr>
                <w:ilvl w:val="0"/>
                <w:numId w:val="2"/>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Iepirkumu procedūras norises aizkavēšanas</w:t>
            </w:r>
          </w:p>
        </w:tc>
        <w:tc>
          <w:tcPr>
            <w:tcW w:w="1984" w:type="dxa"/>
            <w:tcBorders>
              <w:top w:val="single" w:sz="4" w:space="0" w:color="auto"/>
              <w:left w:val="single" w:sz="4" w:space="0" w:color="auto"/>
              <w:bottom w:val="single" w:sz="4" w:space="0" w:color="auto"/>
              <w:right w:val="single" w:sz="4" w:space="0" w:color="auto"/>
            </w:tcBorders>
          </w:tcPr>
          <w:p w14:paraId="3B43D345"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40CCDF1"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A456227" w14:textId="77777777" w:rsidR="00EA47CD" w:rsidRPr="00205328" w:rsidRDefault="00EA47CD" w:rsidP="00FB0DD8">
            <w:pPr>
              <w:rPr>
                <w:rFonts w:ascii="Times New Roman" w:hAnsi="Times New Roman"/>
                <w:sz w:val="24"/>
                <w:szCs w:val="24"/>
              </w:rPr>
            </w:pPr>
          </w:p>
        </w:tc>
      </w:tr>
      <w:tr w:rsidR="00EA47CD" w:rsidRPr="00205328" w14:paraId="64C7E467" w14:textId="77777777" w:rsidTr="00CE41EE">
        <w:tc>
          <w:tcPr>
            <w:tcW w:w="2120" w:type="dxa"/>
            <w:tcBorders>
              <w:top w:val="single" w:sz="4" w:space="0" w:color="auto"/>
              <w:left w:val="single" w:sz="4" w:space="0" w:color="auto"/>
              <w:bottom w:val="single" w:sz="4" w:space="0" w:color="auto"/>
              <w:right w:val="single" w:sz="4" w:space="0" w:color="auto"/>
            </w:tcBorders>
            <w:hideMark/>
          </w:tcPr>
          <w:p w14:paraId="00AD082B"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Rezultātu un uzraudzības rādītāju sasniegšanas</w:t>
            </w:r>
          </w:p>
        </w:tc>
        <w:tc>
          <w:tcPr>
            <w:tcW w:w="1417" w:type="dxa"/>
            <w:tcBorders>
              <w:top w:val="single" w:sz="4" w:space="0" w:color="auto"/>
              <w:left w:val="single" w:sz="4" w:space="0" w:color="auto"/>
              <w:bottom w:val="single" w:sz="4" w:space="0" w:color="auto"/>
              <w:right w:val="single" w:sz="4" w:space="0" w:color="auto"/>
            </w:tcBorders>
            <w:hideMark/>
          </w:tcPr>
          <w:p w14:paraId="091F0709"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065D8B3B" w14:textId="77777777" w:rsidR="00EA47CD" w:rsidRPr="00D23187" w:rsidRDefault="00EA47CD" w:rsidP="00EA47CD">
            <w:pPr>
              <w:pStyle w:val="ListParagraph"/>
              <w:numPr>
                <w:ilvl w:val="0"/>
                <w:numId w:val="3"/>
              </w:numPr>
              <w:spacing w:after="0" w:line="240" w:lineRule="auto"/>
              <w:ind w:left="175" w:hanging="175"/>
              <w:contextualSpacing w:val="0"/>
              <w:jc w:val="both"/>
              <w:rPr>
                <w:rFonts w:ascii="Times New Roman" w:hAnsi="Times New Roman"/>
                <w:color w:val="0000FF"/>
                <w:sz w:val="20"/>
                <w:szCs w:val="20"/>
              </w:rPr>
            </w:pPr>
            <w:r>
              <w:rPr>
                <w:rFonts w:ascii="Times New Roman" w:hAnsi="Times New Roman"/>
                <w:i/>
                <w:iCs/>
                <w:color w:val="0000FF"/>
                <w:sz w:val="20"/>
                <w:szCs w:val="20"/>
              </w:rPr>
              <w:t>Nesasniegti projekta darbību rezultāti un rādītāji;</w:t>
            </w:r>
          </w:p>
        </w:tc>
        <w:tc>
          <w:tcPr>
            <w:tcW w:w="1984" w:type="dxa"/>
            <w:tcBorders>
              <w:top w:val="single" w:sz="4" w:space="0" w:color="auto"/>
              <w:left w:val="single" w:sz="4" w:space="0" w:color="auto"/>
              <w:bottom w:val="single" w:sz="4" w:space="0" w:color="auto"/>
              <w:right w:val="single" w:sz="4" w:space="0" w:color="auto"/>
            </w:tcBorders>
          </w:tcPr>
          <w:p w14:paraId="4DB3082B"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4D2C52"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3AA3BE0" w14:textId="77777777" w:rsidR="00EA47CD" w:rsidRPr="00205328" w:rsidRDefault="00EA47CD" w:rsidP="00FB0DD8">
            <w:pPr>
              <w:rPr>
                <w:rFonts w:ascii="Times New Roman" w:hAnsi="Times New Roman"/>
                <w:sz w:val="24"/>
                <w:szCs w:val="24"/>
              </w:rPr>
            </w:pPr>
          </w:p>
        </w:tc>
      </w:tr>
      <w:tr w:rsidR="00EA47CD" w:rsidRPr="00205328" w14:paraId="390301D0" w14:textId="77777777" w:rsidTr="00CE41EE">
        <w:tc>
          <w:tcPr>
            <w:tcW w:w="2120" w:type="dxa"/>
            <w:tcBorders>
              <w:top w:val="single" w:sz="4" w:space="0" w:color="auto"/>
              <w:left w:val="single" w:sz="4" w:space="0" w:color="auto"/>
              <w:bottom w:val="single" w:sz="4" w:space="0" w:color="auto"/>
              <w:right w:val="single" w:sz="4" w:space="0" w:color="auto"/>
            </w:tcBorders>
            <w:hideMark/>
          </w:tcPr>
          <w:p w14:paraId="63923023"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shd w:val="clear" w:color="auto" w:fill="FFFFFF"/>
              </w:rPr>
              <w:t>Administrēšanas</w:t>
            </w:r>
          </w:p>
        </w:tc>
        <w:tc>
          <w:tcPr>
            <w:tcW w:w="1417" w:type="dxa"/>
            <w:tcBorders>
              <w:top w:val="single" w:sz="4" w:space="0" w:color="auto"/>
              <w:left w:val="single" w:sz="4" w:space="0" w:color="auto"/>
              <w:bottom w:val="single" w:sz="4" w:space="0" w:color="auto"/>
              <w:right w:val="single" w:sz="4" w:space="0" w:color="auto"/>
            </w:tcBorders>
            <w:hideMark/>
          </w:tcPr>
          <w:p w14:paraId="7A4D9E0E"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0EB57C25" w14:textId="77777777" w:rsidR="00EA47CD" w:rsidRDefault="00EA47CD" w:rsidP="00EA47CD">
            <w:pPr>
              <w:pStyle w:val="ListParagraph"/>
              <w:numPr>
                <w:ilvl w:val="0"/>
                <w:numId w:val="4"/>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 xml:space="preserve">Vadības komandas nespēja sastrādāties; </w:t>
            </w:r>
          </w:p>
          <w:p w14:paraId="6368510F" w14:textId="77777777" w:rsidR="00EA47CD" w:rsidRPr="00205328" w:rsidRDefault="00EA47CD" w:rsidP="00FB0DD8">
            <w:pPr>
              <w:rPr>
                <w:rFonts w:ascii="Times New Roman" w:hAnsi="Times New Roman"/>
                <w:color w:val="0000FF"/>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3FAA070"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0E9C96C"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3E0FAD2" w14:textId="77777777" w:rsidR="00EA47CD" w:rsidRPr="00205328" w:rsidRDefault="00EA47CD" w:rsidP="00FB0DD8">
            <w:pPr>
              <w:rPr>
                <w:rFonts w:ascii="Times New Roman" w:hAnsi="Times New Roman"/>
                <w:sz w:val="24"/>
                <w:szCs w:val="24"/>
              </w:rPr>
            </w:pPr>
          </w:p>
        </w:tc>
      </w:tr>
      <w:tr w:rsidR="00EA47CD" w:rsidRPr="00205328" w14:paraId="67C635C5" w14:textId="77777777" w:rsidTr="00CE41EE">
        <w:tc>
          <w:tcPr>
            <w:tcW w:w="2120" w:type="dxa"/>
            <w:tcBorders>
              <w:top w:val="single" w:sz="4" w:space="0" w:color="auto"/>
              <w:left w:val="single" w:sz="4" w:space="0" w:color="auto"/>
              <w:bottom w:val="single" w:sz="4" w:space="0" w:color="auto"/>
              <w:right w:val="single" w:sz="4" w:space="0" w:color="auto"/>
            </w:tcBorders>
            <w:hideMark/>
          </w:tcPr>
          <w:p w14:paraId="436952E4"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Cits</w:t>
            </w:r>
          </w:p>
        </w:tc>
        <w:tc>
          <w:tcPr>
            <w:tcW w:w="1417" w:type="dxa"/>
            <w:tcBorders>
              <w:top w:val="single" w:sz="4" w:space="0" w:color="auto"/>
              <w:left w:val="single" w:sz="4" w:space="0" w:color="auto"/>
              <w:bottom w:val="single" w:sz="4" w:space="0" w:color="auto"/>
              <w:right w:val="single" w:sz="4" w:space="0" w:color="auto"/>
            </w:tcBorders>
            <w:hideMark/>
          </w:tcPr>
          <w:p w14:paraId="3A9DD5DC"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54223B60" w14:textId="4925A39B" w:rsidR="00EA47CD" w:rsidRDefault="00EA47CD" w:rsidP="00EA47CD">
            <w:pPr>
              <w:pStyle w:val="ListParagraph"/>
              <w:numPr>
                <w:ilvl w:val="0"/>
                <w:numId w:val="4"/>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Vadības komandas nespēja sastrādāties</w:t>
            </w:r>
          </w:p>
          <w:p w14:paraId="404CC5A4" w14:textId="77777777" w:rsidR="00EA47CD" w:rsidRPr="00205328" w:rsidRDefault="00EA47CD" w:rsidP="00FB0DD8">
            <w:pPr>
              <w:rPr>
                <w:rFonts w:ascii="Times New Roman" w:hAnsi="Times New Roman"/>
                <w:color w:val="0000FF"/>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C46F067"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88198BB"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ECCF456" w14:textId="77777777" w:rsidR="00EA47CD" w:rsidRPr="00205328" w:rsidRDefault="00EA47CD" w:rsidP="00FB0DD8">
            <w:pPr>
              <w:rPr>
                <w:rFonts w:ascii="Times New Roman" w:hAnsi="Times New Roman"/>
                <w:sz w:val="24"/>
                <w:szCs w:val="24"/>
              </w:rPr>
            </w:pPr>
          </w:p>
        </w:tc>
      </w:tr>
    </w:tbl>
    <w:p w14:paraId="66E773CF" w14:textId="05F78BBC" w:rsidR="00EA47CD" w:rsidRDefault="006B4637" w:rsidP="00D110AA">
      <w:pPr>
        <w:spacing w:before="120" w:after="120" w:line="240" w:lineRule="auto"/>
        <w:jc w:val="both"/>
        <w:rPr>
          <w:rFonts w:ascii="Times New Roman" w:hAnsi="Times New Roman"/>
          <w:i/>
          <w:iCs/>
          <w:color w:val="0000FF"/>
        </w:rPr>
      </w:pPr>
      <w:r>
        <w:rPr>
          <w:rFonts w:ascii="Times New Roman" w:hAnsi="Times New Roman"/>
          <w:i/>
          <w:iCs/>
          <w:color w:val="0000FF"/>
        </w:rPr>
        <w:t>Tabulā n</w:t>
      </w:r>
      <w:r w:rsidR="00EA47CD">
        <w:rPr>
          <w:rFonts w:ascii="Times New Roman" w:hAnsi="Times New Roman"/>
          <w:i/>
          <w:iCs/>
          <w:color w:val="0000FF"/>
        </w:rPr>
        <w:t>orāda iespējamos riskus, kas var nelabvēlīgi ietekmēt, traucēt vai kavēt projekta īstenošanas gaitu, sasniegt projekta mērķi un rezultātus.</w:t>
      </w:r>
      <w:r w:rsidR="00EA47CD">
        <w:rPr>
          <w:rFonts w:ascii="Times New Roman" w:hAnsi="Times New Roman"/>
          <w:i/>
          <w:iCs/>
          <w:color w:val="0070C0"/>
        </w:rPr>
        <w:t xml:space="preserve"> </w:t>
      </w:r>
      <w:r w:rsidR="00EA47CD">
        <w:rPr>
          <w:rFonts w:ascii="Times New Roman" w:hAnsi="Times New Roman"/>
          <w:i/>
          <w:iCs/>
          <w:color w:val="0000FF"/>
        </w:rPr>
        <w:t>Projekta iesniedzējs riskus identificē pret projekta darbībām vai projekta posmiem, uz kuriem minētie riski varētu attiekties, novērtē riska ietekmi uz projekta ieviešanu un mērķa sasniegšanu un riska iestāšanās varbūtību, un izstrādā pasākumu plānu risku mazināšanai vai novēršanai.</w:t>
      </w:r>
    </w:p>
    <w:p w14:paraId="79B23185" w14:textId="77777777"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 xml:space="preserve">Projekta īstenošanas riskus apraksta, klasificējot tos pa risku grupām: </w:t>
      </w:r>
    </w:p>
    <w:p w14:paraId="4422BA05" w14:textId="77777777"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 xml:space="preserve">finanšu riski – riski, kas saistīti ar projekta finansējumu, piemēram, </w:t>
      </w:r>
      <w:proofErr w:type="spellStart"/>
      <w:r>
        <w:rPr>
          <w:rFonts w:ascii="Times New Roman" w:hAnsi="Times New Roman"/>
          <w:i/>
          <w:iCs/>
          <w:color w:val="0000FF"/>
        </w:rPr>
        <w:t>priekšfinansējuma</w:t>
      </w:r>
      <w:proofErr w:type="spellEnd"/>
      <w:r>
        <w:rPr>
          <w:rFonts w:ascii="Times New Roman" w:hAnsi="Times New Roman"/>
          <w:i/>
          <w:iCs/>
          <w:color w:val="0000FF"/>
        </w:rPr>
        <w:t xml:space="preserve"> trūkums, tirgus cenu nepārzināšana, nepareizi saplānota finanšu plūsma, sadārdzinājumi un inflācija, kuras dēļ, uzsākot projekta īstenošanu, plānotās izmaksas var būtiski atšķirties no reālajām, izmaiņas likumdošanā, kas ietekmē projekta finanšu plūsmu, kā arī dubultā finansējuma risks, ja iestāde īsteno vairākus projektus vienlaicīgi, neatbilstoši veikto izdevumu riski. </w:t>
      </w:r>
    </w:p>
    <w:p w14:paraId="034731A7" w14:textId="77777777"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 xml:space="preserve">īstenošanas riski – riski, kas rodas, ja procesi vai procedūras darbojas kļūdaini vai nedarbojas vispār, kā rezultātā tiek būtiski traucēta vai kavēta projekta īstenošana, piemēram, </w:t>
      </w:r>
      <w:r>
        <w:rPr>
          <w:rFonts w:ascii="Times New Roman" w:hAnsi="Times New Roman"/>
          <w:i/>
          <w:iCs/>
          <w:color w:val="0000FF"/>
        </w:rPr>
        <w:lastRenderedPageBreak/>
        <w:t>neprecīza/neloģiska darbību plānošana, nepilnīga/neatbilstoša organizatoriskā struktūra, īstenoto darbību neatbilstība plānotajam, u.c. riski, kas attiecas uz projekta īstenošanā iesaistīto personālu, piemēram, tā nepietiekamās zināšanas vai prasmes, personāla mainība, cilvēkresursu nepietiekamība institūcijā vai to neefektīvs sadalījums, lai veiktu projektā paredzētās darbības.</w:t>
      </w:r>
    </w:p>
    <w:p w14:paraId="5D48935B" w14:textId="77777777"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rezultātu un uzraudzības rādītāju sasniegšanas riski – riski, kas saistīti ar projekta darbību rezultātu un uzraudzības rādītāju sasniegšanu.</w:t>
      </w:r>
    </w:p>
    <w:p w14:paraId="4449F309" w14:textId="77777777"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 xml:space="preserve">administrēšanas riski – riski, kas saistīti ar projekta vadību un iestādes administrācijas darbu saistībā ar projektu ieviešanu, kā arī projektā ieplānotā laika grafika izmaiņas, kas var radīt citu risku iespējamību. Piemēram, projekta vadības pieredzes trūkums, vadības komandas nespēja sastrādāties, vadības maiņa. </w:t>
      </w:r>
    </w:p>
    <w:p w14:paraId="0EB550AD" w14:textId="3E563AF8" w:rsidR="00EA47CD" w:rsidRPr="00D110AA"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 xml:space="preserve">citi </w:t>
      </w:r>
      <w:r w:rsidRPr="006B4637">
        <w:rPr>
          <w:rFonts w:ascii="Times New Roman" w:hAnsi="Times New Roman"/>
          <w:i/>
          <w:iCs/>
          <w:color w:val="0000FF"/>
        </w:rPr>
        <w:t xml:space="preserve">riski - riski, kas attiecas uz spēkā esošo normatīvo aktu izmaiņām vai to prasību neievērošanu, t.sk. </w:t>
      </w:r>
      <w:r w:rsidR="006B4637" w:rsidRPr="006B4637">
        <w:rPr>
          <w:rFonts w:ascii="Times New Roman" w:hAnsi="Times New Roman"/>
          <w:i/>
          <w:iCs/>
          <w:color w:val="0000FF"/>
        </w:rPr>
        <w:t xml:space="preserve">Publisko </w:t>
      </w:r>
      <w:r w:rsidRPr="006B4637">
        <w:rPr>
          <w:rFonts w:ascii="Times New Roman" w:hAnsi="Times New Roman"/>
          <w:i/>
          <w:iCs/>
          <w:color w:val="0000FF"/>
        </w:rPr>
        <w:t>iepirkumu likuma</w:t>
      </w:r>
      <w:r w:rsidR="006B4637">
        <w:rPr>
          <w:rFonts w:ascii="Times New Roman" w:hAnsi="Times New Roman"/>
          <w:i/>
          <w:iCs/>
          <w:color w:val="0000FF"/>
        </w:rPr>
        <w:t xml:space="preserve"> </w:t>
      </w:r>
      <w:r w:rsidRPr="006B4637">
        <w:rPr>
          <w:rFonts w:ascii="Times New Roman" w:hAnsi="Times New Roman"/>
          <w:i/>
          <w:iCs/>
          <w:color w:val="0000FF"/>
        </w:rPr>
        <w:t>un</w:t>
      </w:r>
      <w:r w:rsidR="006B4637">
        <w:rPr>
          <w:rFonts w:ascii="Times New Roman" w:hAnsi="Times New Roman"/>
          <w:i/>
          <w:iCs/>
          <w:color w:val="0000FF"/>
        </w:rPr>
        <w:t xml:space="preserve"> </w:t>
      </w:r>
      <w:r w:rsidRPr="006B4637">
        <w:rPr>
          <w:rFonts w:ascii="Times New Roman" w:hAnsi="Times New Roman"/>
          <w:i/>
          <w:iCs/>
          <w:color w:val="0000FF"/>
        </w:rPr>
        <w:t>Darba likuma normu neievērošanu, līgumsaistību neievērošanu un citiem juridiskiem aspektiem.</w:t>
      </w:r>
    </w:p>
    <w:p w14:paraId="4A870642" w14:textId="0D2122AD"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Kolonnā “</w:t>
      </w:r>
      <w:r>
        <w:rPr>
          <w:rFonts w:ascii="Times New Roman" w:hAnsi="Times New Roman"/>
          <w:b/>
          <w:bCs/>
          <w:i/>
          <w:iCs/>
          <w:color w:val="0000FF"/>
        </w:rPr>
        <w:t>Riska apraksts”</w:t>
      </w:r>
      <w:r>
        <w:rPr>
          <w:rFonts w:ascii="Times New Roman" w:hAnsi="Times New Roman"/>
          <w:i/>
          <w:iCs/>
          <w:color w:val="0000FF"/>
        </w:rPr>
        <w:t xml:space="preserve"> sniedz konkrēto risku īsu aprakstu, kas konkretizē riska būtību vai raksturo tā iestāšanās apstākļus. </w:t>
      </w:r>
    </w:p>
    <w:p w14:paraId="3907EA51" w14:textId="77777777"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Kolonnā “</w:t>
      </w:r>
      <w:r>
        <w:rPr>
          <w:rFonts w:ascii="Times New Roman" w:hAnsi="Times New Roman"/>
          <w:b/>
          <w:bCs/>
          <w:i/>
          <w:iCs/>
          <w:color w:val="0000FF"/>
        </w:rPr>
        <w:t>Riska ietekme (augsta, vidēja, zema)”</w:t>
      </w:r>
      <w:r>
        <w:rPr>
          <w:rFonts w:ascii="Times New Roman" w:hAnsi="Times New Roman"/>
          <w:i/>
          <w:iCs/>
          <w:color w:val="0000FF"/>
        </w:rPr>
        <w:t xml:space="preserve">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 piemēram:</w:t>
      </w:r>
    </w:p>
    <w:p w14:paraId="7FB5052E" w14:textId="77777777" w:rsidR="00EA47CD" w:rsidRPr="006B4637" w:rsidRDefault="00EA47CD" w:rsidP="00D110AA">
      <w:pPr>
        <w:pStyle w:val="ListParagraph"/>
        <w:numPr>
          <w:ilvl w:val="0"/>
          <w:numId w:val="6"/>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Riska ietekme ir</w:t>
      </w:r>
      <w:r w:rsidRPr="006B4637">
        <w:rPr>
          <w:rFonts w:ascii="Times New Roman" w:hAnsi="Times New Roman"/>
          <w:i/>
          <w:iCs/>
          <w:color w:val="0000FF"/>
        </w:rPr>
        <w:t xml:space="preserve"> </w:t>
      </w:r>
      <w:r w:rsidRPr="006B4637">
        <w:rPr>
          <w:rFonts w:ascii="Times New Roman" w:hAnsi="Times New Roman"/>
          <w:b/>
          <w:bCs/>
          <w:i/>
          <w:iCs/>
          <w:color w:val="0000FF"/>
        </w:rPr>
        <w:t>augsta</w:t>
      </w:r>
      <w:r w:rsidRPr="006B4637">
        <w:rPr>
          <w:rFonts w:ascii="Times New Roman" w:hAnsi="Times New Roman"/>
          <w:i/>
          <w:iCs/>
          <w:color w:val="0000FF"/>
        </w:rPr>
        <w:t>, ja riska iestāšanās gadījumā tam ir ļoti būtiska ietekme un ir būtiski apdraudēta projekta ieviešana, mērķu un rādītāju sasniegšana, būtiski jāpalielina finansējums vai  rodas apjomīgi zaudējumi.</w:t>
      </w:r>
    </w:p>
    <w:p w14:paraId="5E94BB28" w14:textId="77777777" w:rsidR="00EA47CD" w:rsidRPr="006B4637" w:rsidRDefault="00EA47CD" w:rsidP="00D110AA">
      <w:pPr>
        <w:pStyle w:val="ListParagraph"/>
        <w:numPr>
          <w:ilvl w:val="0"/>
          <w:numId w:val="6"/>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Riska ietekme ir vidēja</w:t>
      </w:r>
      <w:r w:rsidRPr="006B4637">
        <w:rPr>
          <w:rFonts w:ascii="Times New Roman" w:hAnsi="Times New Roman"/>
          <w:i/>
          <w:iCs/>
          <w:color w:val="0000FF"/>
        </w:rPr>
        <w:t>, ja riska iestāšanās gadījumā, tas var ietekmēt projekta īstenošanu, kavēt projekta sekmīgu ieviešanu un mērķu sasniegšanu.</w:t>
      </w:r>
    </w:p>
    <w:p w14:paraId="55BEF7D1" w14:textId="194CB350" w:rsidR="00EA47CD" w:rsidRPr="00D110AA" w:rsidRDefault="00EA47CD" w:rsidP="00D110AA">
      <w:pPr>
        <w:pStyle w:val="ListParagraph"/>
        <w:numPr>
          <w:ilvl w:val="0"/>
          <w:numId w:val="6"/>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Riska ietekme ir zema</w:t>
      </w:r>
      <w:r w:rsidRPr="006B4637">
        <w:rPr>
          <w:rFonts w:ascii="Times New Roman" w:hAnsi="Times New Roman"/>
          <w:i/>
          <w:iCs/>
          <w:color w:val="0000FF"/>
        </w:rPr>
        <w:t>, ja riska iestāšanās gadījumā  tam nav būtiskas ietekmes  un  tas  neietekmē projekta ieviešanu.</w:t>
      </w:r>
    </w:p>
    <w:p w14:paraId="1A35F142" w14:textId="77777777"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 xml:space="preserve">Kolonnā </w:t>
      </w:r>
      <w:r>
        <w:rPr>
          <w:rFonts w:ascii="Times New Roman" w:hAnsi="Times New Roman"/>
          <w:b/>
          <w:bCs/>
          <w:i/>
          <w:iCs/>
          <w:color w:val="0000FF"/>
        </w:rPr>
        <w:t>“Iestāšanās varbūtība (augsta, vidēja, zema)”</w:t>
      </w:r>
      <w:r>
        <w:rPr>
          <w:rFonts w:ascii="Times New Roman" w:hAnsi="Times New Roman"/>
          <w:i/>
          <w:iCs/>
          <w:color w:val="0000FF"/>
        </w:rPr>
        <w:t xml:space="preserve">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14:paraId="22752CC5" w14:textId="77777777" w:rsidR="00EA47CD" w:rsidRPr="006B4637" w:rsidRDefault="00EA47CD" w:rsidP="00D110AA">
      <w:pPr>
        <w:pStyle w:val="ListParagraph"/>
        <w:numPr>
          <w:ilvl w:val="0"/>
          <w:numId w:val="7"/>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Iestāšanās varbūtība ir augsta</w:t>
      </w:r>
      <w:r w:rsidRPr="006B4637">
        <w:rPr>
          <w:rFonts w:ascii="Times New Roman" w:hAnsi="Times New Roman"/>
          <w:i/>
          <w:iCs/>
          <w:color w:val="0000FF"/>
        </w:rPr>
        <w:t>, ja ir droši vai gandrīz droši, ka risks iestāsies, piemēram, reizi gadā;</w:t>
      </w:r>
    </w:p>
    <w:p w14:paraId="04435976" w14:textId="77777777" w:rsidR="00EA47CD" w:rsidRPr="006B4637" w:rsidRDefault="00EA47CD" w:rsidP="00D110AA">
      <w:pPr>
        <w:pStyle w:val="ListParagraph"/>
        <w:numPr>
          <w:ilvl w:val="0"/>
          <w:numId w:val="7"/>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Iestāšanās varbūtība ir vidēja</w:t>
      </w:r>
      <w:r w:rsidRPr="006B4637">
        <w:rPr>
          <w:rFonts w:ascii="Times New Roman" w:hAnsi="Times New Roman"/>
          <w:i/>
          <w:iCs/>
          <w:color w:val="0000FF"/>
        </w:rPr>
        <w:t>, ja ir iespējams (diezgan iespējams), ka risks iestāsies, piemēram, vienu reizi projekta laikā;</w:t>
      </w:r>
    </w:p>
    <w:p w14:paraId="70A4585F" w14:textId="3D75331F" w:rsidR="00EA47CD" w:rsidRPr="00D110AA" w:rsidRDefault="00EA47CD" w:rsidP="00D110AA">
      <w:pPr>
        <w:pStyle w:val="ListParagraph"/>
        <w:numPr>
          <w:ilvl w:val="0"/>
          <w:numId w:val="7"/>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Iestāšanās varbūtība ir zema</w:t>
      </w:r>
      <w:r w:rsidRPr="006B4637">
        <w:rPr>
          <w:rFonts w:ascii="Times New Roman" w:hAnsi="Times New Roman"/>
          <w:i/>
          <w:iCs/>
          <w:color w:val="0000FF"/>
        </w:rPr>
        <w:t>,</w:t>
      </w:r>
      <w:r w:rsidRPr="006B4637">
        <w:rPr>
          <w:rFonts w:ascii="Times New Roman" w:hAnsi="Times New Roman"/>
          <w:b/>
          <w:bCs/>
          <w:i/>
          <w:iCs/>
          <w:color w:val="0000FF"/>
        </w:rPr>
        <w:t xml:space="preserve"> </w:t>
      </w:r>
      <w:r w:rsidRPr="006B4637">
        <w:rPr>
          <w:rFonts w:ascii="Times New Roman" w:hAnsi="Times New Roman"/>
          <w:i/>
          <w:iCs/>
          <w:color w:val="0000FF"/>
        </w:rPr>
        <w:t>ja mazticams, ka risks iestāsies, var notikt tikai ārkārtas gadījumos.</w:t>
      </w:r>
    </w:p>
    <w:p w14:paraId="6BDF1F5B" w14:textId="77777777"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 xml:space="preserve">Kolonnā </w:t>
      </w:r>
      <w:r>
        <w:rPr>
          <w:rFonts w:ascii="Times New Roman" w:hAnsi="Times New Roman"/>
          <w:b/>
          <w:bCs/>
          <w:i/>
          <w:iCs/>
          <w:color w:val="0000FF"/>
        </w:rPr>
        <w:t>“Riska novēršanas/mazināšanas pasākumi”</w:t>
      </w:r>
      <w:r>
        <w:rPr>
          <w:rFonts w:ascii="Times New Roman" w:hAnsi="Times New Roman"/>
          <w:i/>
          <w:iCs/>
          <w:color w:val="0000FF"/>
        </w:rPr>
        <w:t xml:space="preserve"> norāda projekta iesniedzēja plānotos un ieviešanas procesā esošos pasākumus, kas mazina riska ietekmes līmeni vai mazina iestāšanās varbūtību.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0BC1084" w14:textId="239D2B54" w:rsidR="00205C1E" w:rsidRDefault="006B4637" w:rsidP="00D110AA">
      <w:pPr>
        <w:spacing w:before="120" w:after="120" w:line="240" w:lineRule="auto"/>
        <w:jc w:val="both"/>
      </w:pPr>
      <w:r>
        <w:rPr>
          <w:rFonts w:ascii="Times New Roman" w:hAnsi="Times New Roman"/>
          <w:i/>
          <w:iCs/>
          <w:color w:val="0000FF"/>
        </w:rPr>
        <w:t>R</w:t>
      </w:r>
      <w:r w:rsidR="00EA47CD">
        <w:rPr>
          <w:rFonts w:ascii="Times New Roman" w:hAnsi="Times New Roman"/>
          <w:i/>
          <w:iCs/>
          <w:color w:val="0000FF"/>
        </w:rPr>
        <w:t>isku klasifikācija atbilstoši projekta informācijā norādītajām grupām, kā arī piedāvātās skalas riska novērtēšanai ir informatīvas, un projekta iesniedzējs pēc analoģijas var izmantot organizācijā izmantoto risku ietekmes novērtēšanas skalu.</w:t>
      </w:r>
    </w:p>
    <w:sectPr w:rsidR="00205C1E" w:rsidSect="00004C6A">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68C61" w14:textId="77777777" w:rsidR="00802187" w:rsidRDefault="00802187" w:rsidP="00004C6A">
      <w:pPr>
        <w:spacing w:after="0" w:line="240" w:lineRule="auto"/>
      </w:pPr>
      <w:r>
        <w:separator/>
      </w:r>
    </w:p>
  </w:endnote>
  <w:endnote w:type="continuationSeparator" w:id="0">
    <w:p w14:paraId="382BE2AA" w14:textId="77777777" w:rsidR="00802187" w:rsidRDefault="00802187" w:rsidP="0000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654121"/>
      <w:docPartObj>
        <w:docPartGallery w:val="Page Numbers (Bottom of Page)"/>
        <w:docPartUnique/>
      </w:docPartObj>
    </w:sdtPr>
    <w:sdtEndPr/>
    <w:sdtContent>
      <w:p w14:paraId="5CEA26C4" w14:textId="5F5470F1" w:rsidR="00004C6A" w:rsidRDefault="00004C6A">
        <w:pPr>
          <w:pStyle w:val="Footer"/>
          <w:jc w:val="center"/>
        </w:pPr>
        <w:r>
          <w:fldChar w:fldCharType="begin"/>
        </w:r>
        <w:r>
          <w:instrText>PAGE   \* MERGEFORMAT</w:instrText>
        </w:r>
        <w:r>
          <w:fldChar w:fldCharType="separate"/>
        </w:r>
        <w:r>
          <w:t>2</w:t>
        </w:r>
        <w:r>
          <w:fldChar w:fldCharType="end"/>
        </w:r>
      </w:p>
    </w:sdtContent>
  </w:sdt>
  <w:p w14:paraId="65C4A1D6" w14:textId="77777777" w:rsidR="00004C6A" w:rsidRDefault="0000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6A530" w14:textId="77777777" w:rsidR="00802187" w:rsidRDefault="00802187" w:rsidP="00004C6A">
      <w:pPr>
        <w:spacing w:after="0" w:line="240" w:lineRule="auto"/>
      </w:pPr>
      <w:r>
        <w:separator/>
      </w:r>
    </w:p>
  </w:footnote>
  <w:footnote w:type="continuationSeparator" w:id="0">
    <w:p w14:paraId="0566DF88" w14:textId="77777777" w:rsidR="00802187" w:rsidRDefault="00802187" w:rsidP="00004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3B8A6DB7"/>
    <w:multiLevelType w:val="hybridMultilevel"/>
    <w:tmpl w:val="9DD69C7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7744521"/>
    <w:multiLevelType w:val="hybridMultilevel"/>
    <w:tmpl w:val="70F61F6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65F3697D"/>
    <w:multiLevelType w:val="hybridMultilevel"/>
    <w:tmpl w:val="FCB67B72"/>
    <w:lvl w:ilvl="0" w:tplc="0426000F">
      <w:start w:val="1"/>
      <w:numFmt w:val="decimal"/>
      <w:lvlText w:val="%1."/>
      <w:lvlJc w:val="left"/>
      <w:pPr>
        <w:ind w:left="3763" w:hanging="360"/>
      </w:p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num w:numId="1" w16cid:durableId="255675315">
    <w:abstractNumId w:val="5"/>
    <w:lvlOverride w:ilvl="0">
      <w:startOverride w:val="1"/>
    </w:lvlOverride>
    <w:lvlOverride w:ilvl="1"/>
    <w:lvlOverride w:ilvl="2"/>
    <w:lvlOverride w:ilvl="3"/>
    <w:lvlOverride w:ilvl="4"/>
    <w:lvlOverride w:ilvl="5"/>
    <w:lvlOverride w:ilvl="6"/>
    <w:lvlOverride w:ilvl="7"/>
    <w:lvlOverride w:ilvl="8"/>
  </w:num>
  <w:num w:numId="2" w16cid:durableId="770861010">
    <w:abstractNumId w:val="0"/>
  </w:num>
  <w:num w:numId="3" w16cid:durableId="879129527">
    <w:abstractNumId w:val="3"/>
  </w:num>
  <w:num w:numId="4" w16cid:durableId="361631335">
    <w:abstractNumId w:val="1"/>
  </w:num>
  <w:num w:numId="5" w16cid:durableId="1478691288">
    <w:abstractNumId w:val="5"/>
  </w:num>
  <w:num w:numId="6" w16cid:durableId="682633463">
    <w:abstractNumId w:val="4"/>
  </w:num>
  <w:num w:numId="7" w16cid:durableId="765687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6C"/>
    <w:rsid w:val="00004C6A"/>
    <w:rsid w:val="001361BD"/>
    <w:rsid w:val="00205C1E"/>
    <w:rsid w:val="002B2AF8"/>
    <w:rsid w:val="00326536"/>
    <w:rsid w:val="005E49C4"/>
    <w:rsid w:val="00614207"/>
    <w:rsid w:val="006B4637"/>
    <w:rsid w:val="007A1DEA"/>
    <w:rsid w:val="00802187"/>
    <w:rsid w:val="0088711E"/>
    <w:rsid w:val="008D71F1"/>
    <w:rsid w:val="00900EF7"/>
    <w:rsid w:val="00944E34"/>
    <w:rsid w:val="009B1F78"/>
    <w:rsid w:val="00C1533A"/>
    <w:rsid w:val="00CE41EE"/>
    <w:rsid w:val="00D110AA"/>
    <w:rsid w:val="00D1566C"/>
    <w:rsid w:val="00E2758E"/>
    <w:rsid w:val="00EA47CD"/>
    <w:rsid w:val="00FC5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EB8C"/>
  <w15:chartTrackingRefBased/>
  <w15:docId w15:val="{3E23309B-5942-4051-843D-3130B3DF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7CD"/>
    <w:rPr>
      <w:rFonts w:ascii="Calibri" w:eastAsia="Calibri" w:hAnsi="Calibri" w:cs="Times New Roman"/>
    </w:rPr>
  </w:style>
  <w:style w:type="paragraph" w:styleId="Heading2">
    <w:name w:val="heading 2"/>
    <w:basedOn w:val="Normal"/>
    <w:next w:val="Normal"/>
    <w:link w:val="Heading2Char"/>
    <w:uiPriority w:val="9"/>
    <w:qFormat/>
    <w:rsid w:val="00EA47CD"/>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7CD"/>
    <w:rPr>
      <w:rFonts w:ascii="Calibri Light" w:eastAsia="Times New Roman" w:hAnsi="Calibri Light" w:cs="Times New Roman"/>
      <w:color w:val="2E74B5"/>
      <w:sz w:val="26"/>
      <w:szCs w:val="26"/>
    </w:rPr>
  </w:style>
  <w:style w:type="paragraph" w:styleId="ListParagraph">
    <w:name w:val="List Paragraph"/>
    <w:aliases w:val="H&amp;P List Paragraph,2,Strip,Colorful List - Accent 12,List Paragraph1,List1,Akapit z listą BS,Saraksta rindkopa1,Normal bullet 2,Bullet list,List Paragraph11"/>
    <w:basedOn w:val="Normal"/>
    <w:link w:val="ListParagraphChar"/>
    <w:qFormat/>
    <w:rsid w:val="00EA47CD"/>
    <w:pPr>
      <w:ind w:left="720"/>
      <w:contextualSpacing/>
    </w:p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List Paragraph11 Char"/>
    <w:link w:val="ListParagraph"/>
    <w:qFormat/>
    <w:locked/>
    <w:rsid w:val="00EA47CD"/>
    <w:rPr>
      <w:rFonts w:ascii="Calibri" w:eastAsia="Calibri" w:hAnsi="Calibri" w:cs="Times New Roman"/>
    </w:rPr>
  </w:style>
  <w:style w:type="character" w:styleId="Hyperlink">
    <w:name w:val="Hyperlink"/>
    <w:basedOn w:val="DefaultParagraphFont"/>
    <w:uiPriority w:val="99"/>
    <w:rsid w:val="00EA47CD"/>
    <w:rPr>
      <w:rFonts w:cs="Times New Roman"/>
      <w:color w:val="0563C1"/>
      <w:u w:val="single"/>
    </w:rPr>
  </w:style>
  <w:style w:type="paragraph" w:styleId="Header">
    <w:name w:val="header"/>
    <w:basedOn w:val="Normal"/>
    <w:link w:val="HeaderChar"/>
    <w:uiPriority w:val="99"/>
    <w:unhideWhenUsed/>
    <w:rsid w:val="00004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C6A"/>
    <w:rPr>
      <w:rFonts w:ascii="Calibri" w:eastAsia="Calibri" w:hAnsi="Calibri" w:cs="Times New Roman"/>
    </w:rPr>
  </w:style>
  <w:style w:type="paragraph" w:styleId="Footer">
    <w:name w:val="footer"/>
    <w:basedOn w:val="Normal"/>
    <w:link w:val="FooterChar"/>
    <w:uiPriority w:val="99"/>
    <w:unhideWhenUsed/>
    <w:rsid w:val="00004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C6A"/>
    <w:rPr>
      <w:rFonts w:ascii="Calibri" w:eastAsia="Calibri" w:hAnsi="Calibri" w:cs="Times New Roman"/>
    </w:rPr>
  </w:style>
  <w:style w:type="paragraph" w:styleId="Revision">
    <w:name w:val="Revision"/>
    <w:hidden/>
    <w:uiPriority w:val="99"/>
    <w:semiHidden/>
    <w:rsid w:val="001361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80D605BD0867418EA218D70DC5828C" ma:contentTypeVersion="18" ma:contentTypeDescription="Izveidot jaunu dokumentu." ma:contentTypeScope="" ma:versionID="988f9c958fce0525e88f48b8e4c409a9">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c47592d85fda3c072fdd30bc25c4576f"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F87CE-1C30-41A0-AAE5-D394BD5C6A43}">
  <ds:schemaRefs>
    <ds:schemaRef ds:uri="http://schemas.microsoft.com/sharepoint/v3/contenttype/forms"/>
  </ds:schemaRefs>
</ds:datastoreItem>
</file>

<file path=customXml/itemProps2.xml><?xml version="1.0" encoding="utf-8"?>
<ds:datastoreItem xmlns:ds="http://schemas.openxmlformats.org/officeDocument/2006/customXml" ds:itemID="{000E5F22-E37F-4547-9E7D-2CAD67D5D9A8}">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3.xml><?xml version="1.0" encoding="utf-8"?>
<ds:datastoreItem xmlns:ds="http://schemas.openxmlformats.org/officeDocument/2006/customXml" ds:itemID="{8B13525F-C7AF-4231-8A44-CEC09D79C793}"/>
</file>

<file path=docProps/app.xml><?xml version="1.0" encoding="utf-8"?>
<Properties xmlns="http://schemas.openxmlformats.org/officeDocument/2006/extended-properties" xmlns:vt="http://schemas.openxmlformats.org/officeDocument/2006/docPropsVTypes">
  <Template>Normal</Template>
  <TotalTime>2</TotalTime>
  <Pages>2</Pages>
  <Words>3329</Words>
  <Characters>1898</Characters>
  <Application>Microsoft Office Word</Application>
  <DocSecurity>0</DocSecurity>
  <Lines>15</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Šlihta</dc:creator>
  <cp:keywords/>
  <dc:description/>
  <cp:lastModifiedBy>Laura Muižniece</cp:lastModifiedBy>
  <cp:revision>3</cp:revision>
  <dcterms:created xsi:type="dcterms:W3CDTF">2025-01-06T13:41:00Z</dcterms:created>
  <dcterms:modified xsi:type="dcterms:W3CDTF">2025-02-26T08:15:00Z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