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3143" w14:textId="2A3D8466" w:rsidR="003C131E" w:rsidRPr="00D42F45" w:rsidRDefault="003C131E" w:rsidP="003C131E">
      <w:pPr>
        <w:spacing w:before="240" w:after="0" w:line="240" w:lineRule="auto"/>
        <w:jc w:val="both"/>
        <w:rPr>
          <w:rFonts w:cs="Times New Roman"/>
          <w:b/>
          <w:sz w:val="24"/>
          <w:szCs w:val="24"/>
        </w:rPr>
      </w:pPr>
      <w:r w:rsidRPr="00D42F45">
        <w:rPr>
          <w:rFonts w:cs="Times New Roman"/>
          <w:b/>
          <w:sz w:val="24"/>
          <w:szCs w:val="24"/>
        </w:rPr>
        <w:t xml:space="preserve">Deklasifikācijas datums: </w:t>
      </w:r>
      <w:r>
        <w:rPr>
          <w:rFonts w:cs="Times New Roman"/>
          <w:b/>
          <w:sz w:val="24"/>
          <w:szCs w:val="24"/>
        </w:rPr>
        <w:t>2</w:t>
      </w:r>
      <w:r w:rsidR="001F1E4C">
        <w:rPr>
          <w:rFonts w:cs="Times New Roman"/>
          <w:b/>
          <w:sz w:val="24"/>
          <w:szCs w:val="24"/>
        </w:rPr>
        <w:t>7</w:t>
      </w:r>
      <w:r w:rsidRPr="00D42F45">
        <w:rPr>
          <w:rFonts w:cs="Times New Roman"/>
          <w:b/>
          <w:sz w:val="24"/>
          <w:szCs w:val="24"/>
        </w:rPr>
        <w:t>.0</w:t>
      </w:r>
      <w:r>
        <w:rPr>
          <w:rFonts w:cs="Times New Roman"/>
          <w:b/>
          <w:sz w:val="24"/>
          <w:szCs w:val="24"/>
        </w:rPr>
        <w:t>9</w:t>
      </w:r>
      <w:r w:rsidRPr="00D42F45">
        <w:rPr>
          <w:rFonts w:cs="Times New Roman"/>
          <w:b/>
          <w:sz w:val="24"/>
          <w:szCs w:val="24"/>
        </w:rPr>
        <w:t>.2024.</w:t>
      </w:r>
    </w:p>
    <w:p w14:paraId="293FD825" w14:textId="5822A411" w:rsidR="003C131E" w:rsidRPr="00D42F45" w:rsidRDefault="003C131E" w:rsidP="003C131E">
      <w:pPr>
        <w:pStyle w:val="Header"/>
        <w:rPr>
          <w:b/>
          <w:sz w:val="24"/>
          <w:szCs w:val="20"/>
        </w:rPr>
      </w:pPr>
      <w:r w:rsidRPr="00D42F45">
        <w:rPr>
          <w:b/>
          <w:sz w:val="24"/>
          <w:szCs w:val="20"/>
        </w:rPr>
        <w:t xml:space="preserve">Deklasifikācijas pamatojums: </w:t>
      </w:r>
      <w:r>
        <w:rPr>
          <w:b/>
          <w:sz w:val="24"/>
          <w:szCs w:val="20"/>
        </w:rPr>
        <w:t>zudis</w:t>
      </w:r>
      <w:r w:rsidRPr="00D42F45">
        <w:rPr>
          <w:b/>
          <w:sz w:val="24"/>
          <w:szCs w:val="20"/>
        </w:rPr>
        <w:t xml:space="preserve"> ierobežotas pieejamības statusa noteikšanas pamats</w:t>
      </w:r>
    </w:p>
    <w:p w14:paraId="541CE189" w14:textId="77777777" w:rsidR="003C131E" w:rsidRDefault="003C131E" w:rsidP="003C131E">
      <w:pPr>
        <w:spacing w:after="0" w:line="240" w:lineRule="auto"/>
        <w:contextualSpacing/>
        <w:jc w:val="both"/>
        <w:rPr>
          <w:rFonts w:cs="Times New Roman"/>
          <w:b/>
          <w:sz w:val="24"/>
          <w:szCs w:val="24"/>
        </w:rPr>
      </w:pPr>
    </w:p>
    <w:p w14:paraId="4287B053" w14:textId="1914F58D" w:rsidR="00B95B0A" w:rsidRPr="00660EB3" w:rsidRDefault="002F17B7" w:rsidP="00056AFE">
      <w:pPr>
        <w:spacing w:after="0" w:line="240" w:lineRule="auto"/>
        <w:contextualSpacing/>
        <w:jc w:val="center"/>
        <w:rPr>
          <w:rFonts w:cs="Times New Roman"/>
          <w:b/>
          <w:sz w:val="24"/>
          <w:szCs w:val="24"/>
        </w:rPr>
      </w:pPr>
      <w:r w:rsidRPr="00660EB3">
        <w:rPr>
          <w:rFonts w:cs="Times New Roman"/>
          <w:b/>
          <w:sz w:val="24"/>
          <w:szCs w:val="24"/>
        </w:rPr>
        <w:t>I</w:t>
      </w:r>
      <w:r w:rsidR="00B95B0A" w:rsidRPr="00660EB3">
        <w:rPr>
          <w:rFonts w:cs="Times New Roman"/>
          <w:b/>
          <w:sz w:val="24"/>
          <w:szCs w:val="24"/>
        </w:rPr>
        <w:t>NFORMATĪVAIS ZIŅOJUMS</w:t>
      </w:r>
    </w:p>
    <w:p w14:paraId="76FB4349" w14:textId="77777777" w:rsidR="00351D56" w:rsidRPr="00660EB3" w:rsidRDefault="00351D56" w:rsidP="00056AFE">
      <w:pPr>
        <w:spacing w:after="0" w:line="240" w:lineRule="auto"/>
        <w:contextualSpacing/>
        <w:jc w:val="center"/>
        <w:rPr>
          <w:rFonts w:cs="Times New Roman"/>
          <w:b/>
          <w:sz w:val="24"/>
          <w:szCs w:val="24"/>
        </w:rPr>
      </w:pPr>
    </w:p>
    <w:p w14:paraId="7AC2D4F0" w14:textId="3F07CB13" w:rsidR="00E07EB7" w:rsidRPr="00660EB3" w:rsidRDefault="00351D56" w:rsidP="00056AFE">
      <w:pPr>
        <w:spacing w:after="0" w:line="240" w:lineRule="auto"/>
        <w:contextualSpacing/>
        <w:jc w:val="center"/>
        <w:rPr>
          <w:rFonts w:eastAsiaTheme="minorEastAsia" w:cs="Times New Roman"/>
          <w:b/>
          <w:szCs w:val="28"/>
          <w:lang w:eastAsia="lv-LV"/>
        </w:rPr>
      </w:pPr>
      <w:bookmarkStart w:id="0" w:name="_Hlk32315205"/>
      <w:r w:rsidRPr="00660EB3">
        <w:rPr>
          <w:rFonts w:eastAsiaTheme="minorEastAsia" w:cs="Times New Roman"/>
          <w:b/>
          <w:szCs w:val="28"/>
          <w:lang w:eastAsia="lv-LV"/>
        </w:rPr>
        <w:t xml:space="preserve">Par Rail Baltica projekta </w:t>
      </w:r>
      <w:bookmarkEnd w:id="0"/>
      <w:r w:rsidRPr="00660EB3">
        <w:rPr>
          <w:rFonts w:eastAsiaTheme="minorEastAsia" w:cs="Times New Roman"/>
          <w:b/>
          <w:szCs w:val="28"/>
          <w:lang w:eastAsia="lv-LV"/>
        </w:rPr>
        <w:t>pamattrases būvniecības iepirkumu</w:t>
      </w:r>
    </w:p>
    <w:p w14:paraId="6A135DDE" w14:textId="77777777" w:rsidR="00B20802" w:rsidRPr="00660EB3" w:rsidRDefault="00B20802" w:rsidP="00056AFE">
      <w:pPr>
        <w:spacing w:after="0" w:line="240" w:lineRule="auto"/>
        <w:contextualSpacing/>
        <w:jc w:val="center"/>
        <w:rPr>
          <w:rFonts w:eastAsiaTheme="minorEastAsia" w:cs="Times New Roman"/>
          <w:b/>
          <w:szCs w:val="28"/>
          <w:lang w:eastAsia="lv-LV"/>
        </w:rPr>
      </w:pPr>
    </w:p>
    <w:p w14:paraId="3E022C38" w14:textId="2814DE38" w:rsidR="001B51B9" w:rsidRPr="00660EB3" w:rsidRDefault="001B51B9" w:rsidP="00911792">
      <w:pPr>
        <w:pStyle w:val="ListParagraph"/>
        <w:numPr>
          <w:ilvl w:val="0"/>
          <w:numId w:val="25"/>
        </w:numPr>
        <w:ind w:left="357" w:hanging="357"/>
        <w:jc w:val="center"/>
        <w:rPr>
          <w:rFonts w:eastAsiaTheme="minorEastAsia" w:cs="Times New Roman"/>
          <w:b/>
          <w:szCs w:val="28"/>
          <w:lang w:eastAsia="lv-LV"/>
        </w:rPr>
      </w:pPr>
      <w:r w:rsidRPr="00660EB3">
        <w:rPr>
          <w:rFonts w:eastAsiaTheme="minorEastAsia" w:cs="Times New Roman"/>
          <w:b/>
          <w:szCs w:val="28"/>
          <w:lang w:eastAsia="lv-LV"/>
        </w:rPr>
        <w:t>Par Rail Baltica projektu</w:t>
      </w:r>
    </w:p>
    <w:p w14:paraId="56590237" w14:textId="31BA3FB9" w:rsidR="00351D56" w:rsidRPr="00660EB3" w:rsidRDefault="00351D56"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 xml:space="preserve">Rail Baltica projekts ir Eiropas standarta platuma dzelzceļa transporta Eiropas transporta tīkla (turpmāk – TEN-T tīkla) Ziemeļjūras – Baltijas koridora transporta sistēmas elements, kas aptver četras Eiropas Savienības dalībvalstis – Poliju, Lietuvu, Latviju un Igauniju, un netieši arī Somiju, tālākā nākotnē paredzot maršruta pagarinājumu ar savienojumu Tallina – Helsinki (turpmāk – </w:t>
      </w:r>
      <w:r w:rsidR="00103997">
        <w:rPr>
          <w:rFonts w:eastAsiaTheme="minorEastAsia" w:cs="Times New Roman"/>
          <w:sz w:val="24"/>
          <w:szCs w:val="24"/>
          <w:lang w:eastAsia="lv-LV"/>
        </w:rPr>
        <w:t>Rail Baltica p</w:t>
      </w:r>
      <w:r w:rsidRPr="00660EB3">
        <w:rPr>
          <w:rFonts w:eastAsiaTheme="minorEastAsia" w:cs="Times New Roman"/>
          <w:sz w:val="24"/>
          <w:szCs w:val="24"/>
          <w:lang w:eastAsia="lv-LV"/>
        </w:rPr>
        <w:t xml:space="preserve">rojekts). </w:t>
      </w:r>
      <w:r w:rsidR="008037B7">
        <w:rPr>
          <w:rFonts w:eastAsiaTheme="minorEastAsia" w:cs="Times New Roman"/>
          <w:sz w:val="24"/>
          <w:szCs w:val="24"/>
          <w:lang w:eastAsia="lv-LV"/>
        </w:rPr>
        <w:t>Rail Baltica</w:t>
      </w:r>
      <w:r w:rsidR="008037B7"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projekta mērķis ir savienot Baltijas valstis ar Poliju un pārējo Eiropas Savienību ar efektīvu, modernu, drošu, videi draudzīgu un tirgus prasībām atbilstošu dzelzceļa pārvadājumu sistēmu. </w:t>
      </w:r>
      <w:r w:rsidR="00662507">
        <w:rPr>
          <w:rFonts w:eastAsiaTheme="minorEastAsia" w:cs="Times New Roman"/>
          <w:sz w:val="24"/>
          <w:szCs w:val="24"/>
          <w:lang w:eastAsia="lv-LV"/>
        </w:rPr>
        <w:t>Šī ziņojuma mērķis ir informēt Ministru kabinetu</w:t>
      </w:r>
      <w:r w:rsidR="00662507"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par </w:t>
      </w:r>
      <w:r w:rsidR="00D1267A" w:rsidRPr="00660EB3">
        <w:rPr>
          <w:rFonts w:eastAsia="Times New Roman" w:cs="Times New Roman"/>
          <w:sz w:val="24"/>
          <w:szCs w:val="24"/>
          <w:lang w:eastAsia="lv-LV"/>
        </w:rPr>
        <w:t xml:space="preserve">sabiedrības ar ierobežotu atbildību </w:t>
      </w:r>
      <w:r w:rsidR="006014C9" w:rsidRPr="00660EB3">
        <w:rPr>
          <w:rFonts w:eastAsia="Times New Roman" w:cs="Times New Roman"/>
          <w:sz w:val="24"/>
          <w:szCs w:val="24"/>
          <w:lang w:eastAsia="lv-LV"/>
        </w:rPr>
        <w:t>„</w:t>
      </w:r>
      <w:r w:rsidR="00D1267A" w:rsidRPr="00660EB3">
        <w:rPr>
          <w:rFonts w:eastAsia="Times New Roman" w:cs="Times New Roman"/>
          <w:sz w:val="24"/>
          <w:szCs w:val="24"/>
          <w:lang w:eastAsia="lv-LV"/>
        </w:rPr>
        <w:t xml:space="preserve">Eiropas dzelzceļa līnijas” </w:t>
      </w:r>
      <w:r w:rsidR="00266BBA" w:rsidRPr="00660EB3">
        <w:rPr>
          <w:rFonts w:eastAsiaTheme="minorEastAsia" w:cs="Times New Roman"/>
          <w:sz w:val="24"/>
          <w:szCs w:val="24"/>
          <w:lang w:eastAsia="lv-LV"/>
        </w:rPr>
        <w:t xml:space="preserve">(turpmāk – </w:t>
      </w:r>
      <w:r w:rsidR="0074220C">
        <w:rPr>
          <w:rFonts w:eastAsiaTheme="minorEastAsia" w:cs="Times New Roman"/>
          <w:sz w:val="24"/>
          <w:szCs w:val="24"/>
          <w:lang w:eastAsia="lv-LV"/>
        </w:rPr>
        <w:t>EDZL</w:t>
      </w:r>
      <w:r w:rsidR="00266BBA" w:rsidRPr="00660EB3">
        <w:rPr>
          <w:rFonts w:eastAsiaTheme="minorEastAsia" w:cs="Times New Roman"/>
          <w:sz w:val="24"/>
          <w:szCs w:val="24"/>
          <w:lang w:eastAsia="lv-LV"/>
        </w:rPr>
        <w:t xml:space="preserve">) </w:t>
      </w:r>
      <w:r w:rsidR="00D1267A" w:rsidRPr="00660EB3">
        <w:rPr>
          <w:rFonts w:eastAsia="Times New Roman" w:cs="Times New Roman"/>
          <w:sz w:val="24"/>
          <w:szCs w:val="24"/>
          <w:lang w:eastAsia="lv-LV"/>
        </w:rPr>
        <w:t>izsludinātā</w:t>
      </w:r>
      <w:r w:rsidR="00981373">
        <w:rPr>
          <w:rFonts w:eastAsia="Times New Roman" w:cs="Times New Roman"/>
          <w:sz w:val="24"/>
          <w:szCs w:val="24"/>
          <w:lang w:eastAsia="lv-LV"/>
        </w:rPr>
        <w:t xml:space="preserve">s </w:t>
      </w:r>
      <w:r w:rsidRPr="00660EB3">
        <w:rPr>
          <w:rFonts w:eastAsiaTheme="minorEastAsia" w:cs="Times New Roman"/>
          <w:sz w:val="24"/>
          <w:szCs w:val="24"/>
          <w:lang w:eastAsia="lv-LV"/>
        </w:rPr>
        <w:t xml:space="preserve">konkursa procedūras ar sarunām „Rail Baltica pamattrases būvdarbi Latvijā” </w:t>
      </w:r>
      <w:r w:rsidR="00F54C97" w:rsidRPr="00660EB3">
        <w:rPr>
          <w:rFonts w:eastAsiaTheme="minorEastAsia" w:cs="Times New Roman"/>
          <w:sz w:val="24"/>
          <w:szCs w:val="24"/>
          <w:lang w:eastAsia="lv-LV"/>
        </w:rPr>
        <w:t>(</w:t>
      </w:r>
      <w:r w:rsidR="002E4A19">
        <w:rPr>
          <w:rFonts w:eastAsiaTheme="minorEastAsia" w:cs="Times New Roman"/>
          <w:sz w:val="24"/>
          <w:szCs w:val="24"/>
          <w:lang w:eastAsia="lv-LV"/>
        </w:rPr>
        <w:t>identifikācijas</w:t>
      </w:r>
      <w:r w:rsidR="002E4A19" w:rsidRPr="00660EB3">
        <w:rPr>
          <w:rFonts w:eastAsiaTheme="minorEastAsia" w:cs="Times New Roman"/>
          <w:sz w:val="24"/>
          <w:szCs w:val="24"/>
          <w:lang w:eastAsia="lv-LV"/>
        </w:rPr>
        <w:t xml:space="preserve"> </w:t>
      </w:r>
      <w:r w:rsidR="00F54C97" w:rsidRPr="00660EB3">
        <w:rPr>
          <w:rFonts w:eastAsiaTheme="minorEastAsia" w:cs="Times New Roman"/>
          <w:sz w:val="24"/>
          <w:szCs w:val="24"/>
          <w:lang w:eastAsia="lv-LV"/>
        </w:rPr>
        <w:t xml:space="preserve">Nr. </w:t>
      </w:r>
      <w:r w:rsidR="0074220C">
        <w:rPr>
          <w:rFonts w:eastAsiaTheme="minorEastAsia" w:cs="Times New Roman"/>
          <w:sz w:val="24"/>
          <w:szCs w:val="24"/>
          <w:lang w:eastAsia="lv-LV"/>
        </w:rPr>
        <w:t>EDZL</w:t>
      </w:r>
      <w:r w:rsidR="008207EE" w:rsidRPr="00660EB3">
        <w:rPr>
          <w:rFonts w:eastAsiaTheme="minorEastAsia" w:cs="Times New Roman"/>
          <w:sz w:val="24"/>
          <w:szCs w:val="24"/>
          <w:lang w:eastAsia="lv-LV"/>
        </w:rPr>
        <w:t xml:space="preserve"> 2021/6 CEF</w:t>
      </w:r>
      <w:r w:rsidR="00745E90" w:rsidRPr="00660EB3">
        <w:rPr>
          <w:rFonts w:eastAsiaTheme="minorEastAsia" w:cs="Times New Roman"/>
          <w:sz w:val="24"/>
          <w:szCs w:val="24"/>
          <w:lang w:eastAsia="lv-LV"/>
        </w:rPr>
        <w:t xml:space="preserve">, turpmāk </w:t>
      </w:r>
      <w:r w:rsidR="000B233D">
        <w:rPr>
          <w:rFonts w:eastAsiaTheme="minorEastAsia" w:cs="Times New Roman"/>
          <w:sz w:val="24"/>
          <w:szCs w:val="24"/>
          <w:lang w:eastAsia="lv-LV"/>
        </w:rPr>
        <w:t>–</w:t>
      </w:r>
      <w:r w:rsidR="00745E90" w:rsidRPr="00660EB3">
        <w:rPr>
          <w:rFonts w:eastAsiaTheme="minorEastAsia" w:cs="Times New Roman"/>
          <w:sz w:val="24"/>
          <w:szCs w:val="24"/>
          <w:lang w:eastAsia="lv-LV"/>
        </w:rPr>
        <w:t xml:space="preserve"> Iepirkums</w:t>
      </w:r>
      <w:r w:rsidR="008207EE"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rezultātiem – ar </w:t>
      </w:r>
      <w:r w:rsidR="002B591F">
        <w:rPr>
          <w:rFonts w:eastAsiaTheme="minorEastAsia" w:cs="Times New Roman"/>
          <w:sz w:val="24"/>
          <w:szCs w:val="24"/>
          <w:lang w:eastAsia="lv-LV"/>
        </w:rPr>
        <w:t>personu apvienību</w:t>
      </w:r>
      <w:r w:rsidR="002B591F"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„E.R.B. Rail Baltica JV” noslēdzamā līguma </w:t>
      </w:r>
      <w:r w:rsidR="00801A25" w:rsidRPr="00660EB3">
        <w:rPr>
          <w:rFonts w:eastAsiaTheme="minorEastAsia" w:cs="Times New Roman"/>
          <w:sz w:val="24"/>
          <w:szCs w:val="24"/>
          <w:lang w:eastAsia="lv-LV"/>
        </w:rPr>
        <w:t xml:space="preserve">(turpmāk – Līgums) </w:t>
      </w:r>
      <w:r w:rsidRPr="00660EB3">
        <w:rPr>
          <w:rFonts w:eastAsiaTheme="minorEastAsia" w:cs="Times New Roman"/>
          <w:sz w:val="24"/>
          <w:szCs w:val="24"/>
          <w:lang w:eastAsia="lv-LV"/>
        </w:rPr>
        <w:t>priekšmetu un saturu, kā arī tā finansēšanas kārtību.</w:t>
      </w:r>
      <w:r w:rsidRPr="00660EB3">
        <w:rPr>
          <w:rFonts w:eastAsiaTheme="minorEastAsia" w:cs="Times New Roman"/>
          <w:sz w:val="24"/>
          <w:szCs w:val="24"/>
          <w:lang w:eastAsia="lv-LV"/>
        </w:rPr>
        <w:tab/>
        <w:t xml:space="preserve"> </w:t>
      </w:r>
    </w:p>
    <w:p w14:paraId="2FB6ECF2" w14:textId="77777777" w:rsidR="00351D56" w:rsidRPr="00660EB3" w:rsidRDefault="00351D56" w:rsidP="00911792">
      <w:pPr>
        <w:pStyle w:val="ListParagraph"/>
        <w:numPr>
          <w:ilvl w:val="0"/>
          <w:numId w:val="25"/>
        </w:numPr>
        <w:spacing w:before="120" w:after="120"/>
        <w:ind w:left="357" w:hanging="357"/>
        <w:contextualSpacing w:val="0"/>
        <w:jc w:val="center"/>
        <w:rPr>
          <w:rFonts w:eastAsiaTheme="minorEastAsia" w:cs="Times New Roman"/>
          <w:b/>
          <w:szCs w:val="24"/>
          <w:lang w:eastAsia="lv-LV"/>
        </w:rPr>
      </w:pPr>
      <w:r w:rsidRPr="00660EB3">
        <w:rPr>
          <w:rFonts w:eastAsiaTheme="minorEastAsia" w:cs="Times New Roman"/>
          <w:b/>
          <w:szCs w:val="24"/>
          <w:lang w:eastAsia="lv-LV"/>
        </w:rPr>
        <w:t>Publiskā iepirkuma konkursa procedūra ar sarunām un tās rezultāti</w:t>
      </w:r>
    </w:p>
    <w:p w14:paraId="5BD2ED77" w14:textId="1F11D24F" w:rsidR="000D736D" w:rsidRDefault="00351D56" w:rsidP="708754ED">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74D7DDC8" w:rsidRPr="708754ED">
        <w:rPr>
          <w:rFonts w:eastAsiaTheme="minorEastAsia" w:cs="Times New Roman"/>
          <w:sz w:val="24"/>
          <w:szCs w:val="24"/>
          <w:lang w:eastAsia="lv-LV"/>
        </w:rPr>
        <w:t>Iepirkums tika organizēts</w:t>
      </w:r>
      <w:r w:rsidR="23089998" w:rsidRPr="708754ED">
        <w:rPr>
          <w:rFonts w:eastAsiaTheme="minorEastAsia" w:cs="Times New Roman"/>
          <w:sz w:val="24"/>
          <w:szCs w:val="24"/>
          <w:lang w:eastAsia="lv-LV"/>
        </w:rPr>
        <w:t>,</w:t>
      </w:r>
      <w:r w:rsidR="74D7DDC8" w:rsidRPr="708754ED">
        <w:rPr>
          <w:rFonts w:eastAsiaTheme="minorEastAsia" w:cs="Times New Roman"/>
          <w:sz w:val="24"/>
          <w:szCs w:val="24"/>
          <w:lang w:eastAsia="lv-LV"/>
        </w:rPr>
        <w:t xml:space="preserve"> </w:t>
      </w:r>
      <w:r w:rsidR="5B6ADDAA" w:rsidRPr="708754ED">
        <w:rPr>
          <w:rFonts w:eastAsiaTheme="minorEastAsia" w:cs="Times New Roman"/>
          <w:sz w:val="24"/>
          <w:szCs w:val="24"/>
          <w:lang w:eastAsia="lv-LV"/>
        </w:rPr>
        <w:t xml:space="preserve">pamatojoties uz Klimata, inovāciju un tīklu izpildaģentūras (turpmāk – CINEA) Eiropas infrastruktūras savienošanas instrumenta </w:t>
      </w:r>
      <w:r w:rsidR="6519CB0F" w:rsidRPr="708754ED">
        <w:rPr>
          <w:rFonts w:eastAsiaTheme="minorEastAsia" w:cs="Times New Roman"/>
          <w:sz w:val="24"/>
          <w:szCs w:val="24"/>
          <w:lang w:eastAsia="lv-LV"/>
        </w:rPr>
        <w:t xml:space="preserve">(turpmāk – CEF) </w:t>
      </w:r>
      <w:r w:rsidR="5B6ADDAA" w:rsidRPr="708754ED">
        <w:rPr>
          <w:rFonts w:eastAsiaTheme="minorEastAsia" w:cs="Times New Roman"/>
          <w:sz w:val="24"/>
          <w:szCs w:val="24"/>
          <w:lang w:eastAsia="lv-LV"/>
        </w:rPr>
        <w:t>Finansēšanas līgumā Nr. INEA/CEF/TRAN/M2020/2428991 piešķirto finansējumu, 2018.</w:t>
      </w:r>
      <w:r w:rsidR="002D6540" w:rsidRPr="708754ED">
        <w:rPr>
          <w:rFonts w:eastAsiaTheme="minorEastAsia" w:cs="Times New Roman"/>
          <w:sz w:val="24"/>
          <w:szCs w:val="24"/>
          <w:lang w:eastAsia="lv-LV"/>
        </w:rPr>
        <w:t xml:space="preserve"> </w:t>
      </w:r>
      <w:r w:rsidR="5B6ADDAA" w:rsidRPr="708754ED">
        <w:rPr>
          <w:rFonts w:eastAsiaTheme="minorEastAsia" w:cs="Times New Roman"/>
          <w:sz w:val="24"/>
          <w:szCs w:val="24"/>
          <w:lang w:eastAsia="lv-LV"/>
        </w:rPr>
        <w:t xml:space="preserve">gada 28. decembrī </w:t>
      </w:r>
      <w:r w:rsidR="743C8037" w:rsidRPr="708754ED">
        <w:rPr>
          <w:rFonts w:eastAsiaTheme="minorEastAsia" w:cs="Times New Roman"/>
          <w:sz w:val="24"/>
          <w:szCs w:val="24"/>
          <w:lang w:eastAsia="lv-LV"/>
        </w:rPr>
        <w:t>un 2021.</w:t>
      </w:r>
      <w:r w:rsidR="51213A7D" w:rsidRPr="708754ED">
        <w:rPr>
          <w:rFonts w:eastAsiaTheme="minorEastAsia" w:cs="Times New Roman"/>
          <w:sz w:val="24"/>
          <w:szCs w:val="24"/>
          <w:lang w:eastAsia="lv-LV"/>
        </w:rPr>
        <w:t xml:space="preserve"> </w:t>
      </w:r>
      <w:r w:rsidR="743C8037" w:rsidRPr="708754ED">
        <w:rPr>
          <w:rFonts w:eastAsiaTheme="minorEastAsia" w:cs="Times New Roman"/>
          <w:sz w:val="24"/>
          <w:szCs w:val="24"/>
          <w:lang w:eastAsia="lv-LV"/>
        </w:rPr>
        <w:t>gada 30.</w:t>
      </w:r>
      <w:r w:rsidR="002D6540" w:rsidRPr="708754ED">
        <w:rPr>
          <w:rFonts w:eastAsiaTheme="minorEastAsia" w:cs="Times New Roman"/>
          <w:sz w:val="24"/>
          <w:szCs w:val="24"/>
          <w:lang w:eastAsia="lv-LV"/>
        </w:rPr>
        <w:t xml:space="preserve"> </w:t>
      </w:r>
      <w:r w:rsidR="743C8037" w:rsidRPr="708754ED">
        <w:rPr>
          <w:rFonts w:eastAsiaTheme="minorEastAsia" w:cs="Times New Roman"/>
          <w:sz w:val="24"/>
          <w:szCs w:val="24"/>
          <w:lang w:eastAsia="lv-LV"/>
        </w:rPr>
        <w:t xml:space="preserve">decembrī </w:t>
      </w:r>
      <w:r w:rsidR="5B6ADDAA" w:rsidRPr="708754ED">
        <w:rPr>
          <w:rFonts w:eastAsiaTheme="minorEastAsia" w:cs="Times New Roman"/>
          <w:sz w:val="24"/>
          <w:szCs w:val="24"/>
          <w:lang w:eastAsia="lv-LV"/>
        </w:rPr>
        <w:t>noslēgt</w:t>
      </w:r>
      <w:r w:rsidR="743C8037" w:rsidRPr="708754ED">
        <w:rPr>
          <w:rFonts w:eastAsiaTheme="minorEastAsia" w:cs="Times New Roman"/>
          <w:sz w:val="24"/>
          <w:szCs w:val="24"/>
          <w:lang w:eastAsia="lv-LV"/>
        </w:rPr>
        <w:t>ajiem</w:t>
      </w:r>
      <w:r w:rsidR="5B6ADDAA" w:rsidRPr="708754ED">
        <w:rPr>
          <w:rFonts w:eastAsiaTheme="minorEastAsia" w:cs="Times New Roman"/>
          <w:sz w:val="24"/>
          <w:szCs w:val="24"/>
          <w:lang w:eastAsia="lv-LV"/>
        </w:rPr>
        <w:t xml:space="preserve"> deleģēšanas līgum</w:t>
      </w:r>
      <w:r w:rsidR="743C8037" w:rsidRPr="708754ED">
        <w:rPr>
          <w:rFonts w:eastAsiaTheme="minorEastAsia" w:cs="Times New Roman"/>
          <w:sz w:val="24"/>
          <w:szCs w:val="24"/>
          <w:lang w:eastAsia="lv-LV"/>
        </w:rPr>
        <w:t>iem</w:t>
      </w:r>
      <w:r w:rsidR="5B6ADDAA" w:rsidRPr="708754ED">
        <w:rPr>
          <w:rFonts w:eastAsiaTheme="minorEastAsia" w:cs="Times New Roman"/>
          <w:sz w:val="24"/>
          <w:szCs w:val="24"/>
          <w:lang w:eastAsia="lv-LV"/>
        </w:rPr>
        <w:t xml:space="preserve"> starp Satiksmes ministriju (turpmāk – </w:t>
      </w:r>
      <w:r w:rsidR="579D3D08" w:rsidRPr="708754ED">
        <w:rPr>
          <w:rFonts w:eastAsiaTheme="minorEastAsia" w:cs="Times New Roman"/>
          <w:sz w:val="24"/>
          <w:szCs w:val="24"/>
          <w:lang w:eastAsia="lv-LV"/>
        </w:rPr>
        <w:t>M</w:t>
      </w:r>
      <w:r w:rsidR="5B6ADDAA" w:rsidRPr="708754ED">
        <w:rPr>
          <w:rFonts w:eastAsiaTheme="minorEastAsia" w:cs="Times New Roman"/>
          <w:sz w:val="24"/>
          <w:szCs w:val="24"/>
          <w:lang w:eastAsia="lv-LV"/>
        </w:rPr>
        <w:t xml:space="preserve">inistrija) un </w:t>
      </w:r>
      <w:r w:rsidR="17D246D0" w:rsidRPr="708754ED">
        <w:rPr>
          <w:rFonts w:eastAsiaTheme="minorEastAsia" w:cs="Times New Roman"/>
          <w:sz w:val="24"/>
          <w:szCs w:val="24"/>
          <w:lang w:eastAsia="lv-LV"/>
        </w:rPr>
        <w:t>EDZL</w:t>
      </w:r>
      <w:r w:rsidR="1DCD4A34" w:rsidRPr="708754ED">
        <w:rPr>
          <w:rFonts w:eastAsiaTheme="minorEastAsia" w:cs="Times New Roman"/>
          <w:sz w:val="24"/>
          <w:szCs w:val="24"/>
          <w:lang w:eastAsia="lv-LV"/>
        </w:rPr>
        <w:t>.</w:t>
      </w:r>
      <w:r w:rsidR="743C8037" w:rsidRPr="708754ED">
        <w:rPr>
          <w:rFonts w:eastAsiaTheme="minorEastAsia" w:cs="Times New Roman"/>
          <w:sz w:val="24"/>
          <w:szCs w:val="24"/>
          <w:lang w:eastAsia="lv-LV"/>
        </w:rPr>
        <w:t xml:space="preserve"> </w:t>
      </w:r>
      <w:r w:rsidR="5B6ADDAA" w:rsidRPr="708754ED">
        <w:rPr>
          <w:rFonts w:eastAsiaTheme="minorEastAsia" w:cs="Times New Roman"/>
          <w:sz w:val="24"/>
          <w:szCs w:val="24"/>
          <w:lang w:eastAsia="lv-LV"/>
        </w:rPr>
        <w:t xml:space="preserve">Ņemot vērā minēto, 2021. gada 4. jūnijā, pamatojoties uz </w:t>
      </w:r>
      <w:r w:rsidR="17D246D0" w:rsidRPr="708754ED">
        <w:rPr>
          <w:rFonts w:eastAsiaTheme="minorEastAsia" w:cs="Times New Roman"/>
          <w:sz w:val="24"/>
          <w:szCs w:val="24"/>
          <w:lang w:eastAsia="lv-LV"/>
        </w:rPr>
        <w:t>EDZL</w:t>
      </w:r>
      <w:r w:rsidR="5B6ADDAA" w:rsidRPr="708754ED">
        <w:rPr>
          <w:rFonts w:eastAsiaTheme="minorEastAsia" w:cs="Times New Roman"/>
          <w:sz w:val="24"/>
          <w:szCs w:val="24"/>
          <w:lang w:eastAsia="lv-LV"/>
        </w:rPr>
        <w:t xml:space="preserve"> valdes lēmumu Nr. 1.3.-VL./2021/49, iepirkuma organizēšanai tika izveidota iepirkuma komisija (turpmāk – </w:t>
      </w:r>
      <w:r w:rsidR="579D3D08" w:rsidRPr="708754ED">
        <w:rPr>
          <w:rFonts w:eastAsiaTheme="minorEastAsia" w:cs="Times New Roman"/>
          <w:sz w:val="24"/>
          <w:szCs w:val="24"/>
          <w:lang w:eastAsia="lv-LV"/>
        </w:rPr>
        <w:t>I</w:t>
      </w:r>
      <w:r w:rsidR="5B6ADDAA" w:rsidRPr="708754ED">
        <w:rPr>
          <w:rFonts w:eastAsiaTheme="minorEastAsia" w:cs="Times New Roman"/>
          <w:sz w:val="24"/>
          <w:szCs w:val="24"/>
          <w:lang w:eastAsia="lv-LV"/>
        </w:rPr>
        <w:t>epirkuma komisija</w:t>
      </w:r>
      <w:r w:rsidR="60845D7A" w:rsidRPr="708754ED">
        <w:rPr>
          <w:rFonts w:eastAsiaTheme="minorEastAsia" w:cs="Times New Roman"/>
          <w:sz w:val="24"/>
          <w:szCs w:val="24"/>
          <w:lang w:eastAsia="lv-LV"/>
        </w:rPr>
        <w:t>)</w:t>
      </w:r>
      <w:r w:rsidR="0FF9C798" w:rsidRPr="708754ED">
        <w:rPr>
          <w:rFonts w:eastAsiaTheme="minorEastAsia" w:cs="Times New Roman"/>
          <w:sz w:val="24"/>
          <w:szCs w:val="24"/>
          <w:lang w:eastAsia="lv-LV"/>
        </w:rPr>
        <w:t>.</w:t>
      </w:r>
      <w:r w:rsidR="37C5313C" w:rsidRPr="708754ED">
        <w:rPr>
          <w:rFonts w:eastAsiaTheme="minorEastAsia" w:cs="Times New Roman"/>
          <w:sz w:val="24"/>
          <w:szCs w:val="24"/>
          <w:lang w:eastAsia="lv-LV"/>
        </w:rPr>
        <w:t xml:space="preserve"> </w:t>
      </w:r>
      <w:r w:rsidR="0FF9C798" w:rsidRPr="708754ED">
        <w:rPr>
          <w:rFonts w:eastAsiaTheme="minorEastAsia" w:cs="Times New Roman"/>
          <w:sz w:val="24"/>
          <w:szCs w:val="24"/>
          <w:lang w:eastAsia="lv-LV"/>
        </w:rPr>
        <w:t xml:space="preserve">Iepirkuma komisijas ietvaros darbojās </w:t>
      </w:r>
      <w:r w:rsidR="0CBC4A2F" w:rsidRPr="708754ED">
        <w:rPr>
          <w:rFonts w:eastAsiaTheme="minorEastAsia" w:cs="Times New Roman"/>
          <w:sz w:val="24"/>
          <w:szCs w:val="24"/>
          <w:lang w:eastAsia="lv-LV"/>
        </w:rPr>
        <w:t xml:space="preserve">deviņi </w:t>
      </w:r>
      <w:r w:rsidR="0FF9C798" w:rsidRPr="708754ED">
        <w:rPr>
          <w:rFonts w:eastAsiaTheme="minorEastAsia" w:cs="Times New Roman"/>
          <w:sz w:val="24"/>
          <w:szCs w:val="24"/>
          <w:lang w:eastAsia="lv-LV"/>
        </w:rPr>
        <w:t xml:space="preserve"> locekļi no EDZL un </w:t>
      </w:r>
      <w:r w:rsidR="5049B543" w:rsidRPr="708754ED">
        <w:rPr>
          <w:rFonts w:eastAsiaTheme="minorEastAsia" w:cs="Times New Roman"/>
          <w:sz w:val="24"/>
          <w:szCs w:val="24"/>
          <w:lang w:eastAsia="lv-LV"/>
        </w:rPr>
        <w:t>trīs</w:t>
      </w:r>
      <w:r w:rsidR="15DC2BDA" w:rsidRPr="708754ED">
        <w:rPr>
          <w:rFonts w:eastAsiaTheme="minorEastAsia" w:cs="Times New Roman"/>
          <w:sz w:val="24"/>
          <w:szCs w:val="24"/>
          <w:lang w:eastAsia="lv-LV"/>
        </w:rPr>
        <w:t xml:space="preserve"> no RB Rail AS</w:t>
      </w:r>
      <w:r w:rsidR="004C4539" w:rsidRPr="708754ED">
        <w:rPr>
          <w:rFonts w:eastAsiaTheme="minorEastAsia" w:cs="Times New Roman"/>
          <w:sz w:val="24"/>
          <w:szCs w:val="24"/>
          <w:lang w:eastAsia="lv-LV"/>
        </w:rPr>
        <w:t xml:space="preserve"> (turpmāk – RBR)</w:t>
      </w:r>
      <w:r w:rsidR="15DC2BDA" w:rsidRPr="708754ED">
        <w:rPr>
          <w:rFonts w:eastAsiaTheme="minorEastAsia" w:cs="Times New Roman"/>
          <w:sz w:val="24"/>
          <w:szCs w:val="24"/>
          <w:lang w:eastAsia="lv-LV"/>
        </w:rPr>
        <w:t xml:space="preserve">, kā arī </w:t>
      </w:r>
      <w:r w:rsidR="573746A8" w:rsidRPr="708754ED">
        <w:rPr>
          <w:rFonts w:eastAsiaTheme="minorEastAsia" w:cs="Times New Roman"/>
          <w:sz w:val="24"/>
          <w:szCs w:val="24"/>
          <w:lang w:eastAsia="lv-LV"/>
        </w:rPr>
        <w:t xml:space="preserve">eksperta statusā </w:t>
      </w:r>
      <w:r w:rsidR="15DC2BDA" w:rsidRPr="708754ED">
        <w:rPr>
          <w:rFonts w:eastAsiaTheme="minorEastAsia" w:cs="Times New Roman"/>
          <w:sz w:val="24"/>
          <w:szCs w:val="24"/>
          <w:lang w:eastAsia="lv-LV"/>
        </w:rPr>
        <w:t>tika piesaistīti</w:t>
      </w:r>
      <w:r w:rsidR="5FC80F5F" w:rsidRPr="708754ED">
        <w:rPr>
          <w:rFonts w:eastAsiaTheme="minorEastAsia" w:cs="Times New Roman"/>
          <w:sz w:val="24"/>
          <w:szCs w:val="24"/>
          <w:lang w:eastAsia="lv-LV"/>
        </w:rPr>
        <w:t xml:space="preserve"> </w:t>
      </w:r>
      <w:r w:rsidR="342C822F" w:rsidRPr="708754ED">
        <w:rPr>
          <w:rFonts w:eastAsiaTheme="minorEastAsia" w:cs="Times New Roman"/>
          <w:sz w:val="24"/>
          <w:szCs w:val="24"/>
          <w:lang w:eastAsia="lv-LV"/>
        </w:rPr>
        <w:t>deviņi</w:t>
      </w:r>
      <w:r w:rsidR="5FC80F5F" w:rsidRPr="708754ED">
        <w:rPr>
          <w:rFonts w:eastAsiaTheme="minorEastAsia" w:cs="Times New Roman"/>
          <w:sz w:val="24"/>
          <w:szCs w:val="24"/>
          <w:lang w:eastAsia="lv-LV"/>
        </w:rPr>
        <w:t xml:space="preserve"> eksperti no EDZL, </w:t>
      </w:r>
      <w:r w:rsidR="59ED032E" w:rsidRPr="708754ED">
        <w:rPr>
          <w:rFonts w:eastAsiaTheme="minorEastAsia" w:cs="Times New Roman"/>
          <w:sz w:val="24"/>
          <w:szCs w:val="24"/>
          <w:lang w:eastAsia="lv-LV"/>
        </w:rPr>
        <w:t>seši</w:t>
      </w:r>
      <w:r w:rsidR="5FC80F5F" w:rsidRPr="708754ED">
        <w:rPr>
          <w:rFonts w:eastAsiaTheme="minorEastAsia" w:cs="Times New Roman"/>
          <w:sz w:val="24"/>
          <w:szCs w:val="24"/>
          <w:lang w:eastAsia="lv-LV"/>
        </w:rPr>
        <w:t xml:space="preserve"> no </w:t>
      </w:r>
      <w:r w:rsidR="003524D9" w:rsidRPr="708754ED">
        <w:rPr>
          <w:rFonts w:eastAsiaTheme="minorEastAsia" w:cs="Times New Roman"/>
          <w:sz w:val="24"/>
          <w:szCs w:val="24"/>
          <w:lang w:eastAsia="lv-LV"/>
        </w:rPr>
        <w:t>RBR</w:t>
      </w:r>
      <w:r w:rsidR="5FC80F5F" w:rsidRPr="708754ED">
        <w:rPr>
          <w:rFonts w:eastAsiaTheme="minorEastAsia" w:cs="Times New Roman"/>
          <w:sz w:val="24"/>
          <w:szCs w:val="24"/>
          <w:lang w:eastAsia="lv-LV"/>
        </w:rPr>
        <w:t xml:space="preserve">, </w:t>
      </w:r>
      <w:r w:rsidR="05389167" w:rsidRPr="708754ED">
        <w:rPr>
          <w:rFonts w:eastAsiaTheme="minorEastAsia" w:cs="Times New Roman"/>
          <w:sz w:val="24"/>
          <w:szCs w:val="24"/>
          <w:lang w:eastAsia="lv-LV"/>
        </w:rPr>
        <w:t>viens</w:t>
      </w:r>
      <w:r w:rsidR="5FC80F5F" w:rsidRPr="708754ED">
        <w:rPr>
          <w:rFonts w:eastAsiaTheme="minorEastAsia" w:cs="Times New Roman"/>
          <w:sz w:val="24"/>
          <w:szCs w:val="24"/>
          <w:lang w:eastAsia="lv-LV"/>
        </w:rPr>
        <w:t xml:space="preserve"> no Satiksmes ministrijas un vēl </w:t>
      </w:r>
      <w:r w:rsidR="3DF3CBBF" w:rsidRPr="708754ED">
        <w:rPr>
          <w:rFonts w:eastAsiaTheme="minorEastAsia" w:cs="Times New Roman"/>
          <w:sz w:val="24"/>
          <w:szCs w:val="24"/>
          <w:lang w:eastAsia="lv-LV"/>
        </w:rPr>
        <w:t>18 no citām institūcijām</w:t>
      </w:r>
      <w:r w:rsidRPr="708754ED">
        <w:rPr>
          <w:rStyle w:val="FootnoteReference"/>
          <w:rFonts w:eastAsiaTheme="minorEastAsia" w:cs="Times New Roman"/>
          <w:sz w:val="24"/>
          <w:szCs w:val="24"/>
          <w:lang w:eastAsia="lv-LV"/>
        </w:rPr>
        <w:footnoteReference w:id="2"/>
      </w:r>
      <w:r w:rsidR="55C1E93A" w:rsidRPr="708754ED">
        <w:rPr>
          <w:rFonts w:eastAsiaTheme="minorEastAsia" w:cs="Times New Roman"/>
          <w:sz w:val="24"/>
          <w:szCs w:val="24"/>
          <w:lang w:eastAsia="lv-LV"/>
        </w:rPr>
        <w:t>.</w:t>
      </w:r>
      <w:r w:rsidR="00D52355" w:rsidRPr="708754ED">
        <w:rPr>
          <w:rFonts w:eastAsiaTheme="minorEastAsia" w:cs="Times New Roman"/>
          <w:sz w:val="24"/>
          <w:szCs w:val="24"/>
          <w:lang w:eastAsia="lv-LV"/>
        </w:rPr>
        <w:t xml:space="preserve"> </w:t>
      </w:r>
      <w:r w:rsidR="004C4539" w:rsidRPr="708754ED">
        <w:rPr>
          <w:rFonts w:eastAsiaTheme="minorEastAsia" w:cs="Times New Roman"/>
          <w:sz w:val="24"/>
          <w:szCs w:val="24"/>
          <w:lang w:eastAsia="lv-LV"/>
        </w:rPr>
        <w:t>RBR</w:t>
      </w:r>
      <w:r w:rsidR="00D52355" w:rsidRPr="708754ED">
        <w:rPr>
          <w:rFonts w:eastAsiaTheme="minorEastAsia" w:cs="Times New Roman"/>
          <w:sz w:val="24"/>
          <w:szCs w:val="24"/>
          <w:lang w:eastAsia="lv-LV"/>
        </w:rPr>
        <w:t xml:space="preserve"> uzdevumā līguma</w:t>
      </w:r>
      <w:r w:rsidR="001E66A8">
        <w:rPr>
          <w:rFonts w:eastAsiaTheme="minorEastAsia" w:cs="Times New Roman"/>
          <w:sz w:val="24"/>
          <w:szCs w:val="24"/>
          <w:lang w:eastAsia="lv-LV"/>
        </w:rPr>
        <w:t xml:space="preserve"> </w:t>
      </w:r>
      <w:r w:rsidR="00D52355" w:rsidRPr="708754ED">
        <w:rPr>
          <w:rFonts w:eastAsiaTheme="minorEastAsia" w:cs="Times New Roman"/>
          <w:sz w:val="24"/>
          <w:szCs w:val="24"/>
          <w:lang w:eastAsia="lv-LV"/>
        </w:rPr>
        <w:t xml:space="preserve">dokumentācijas </w:t>
      </w:r>
      <w:r w:rsidR="001E66A8">
        <w:rPr>
          <w:rFonts w:eastAsiaTheme="minorEastAsia" w:cs="Times New Roman"/>
          <w:sz w:val="24"/>
          <w:szCs w:val="24"/>
          <w:lang w:eastAsia="lv-LV"/>
        </w:rPr>
        <w:t xml:space="preserve">izstrādē piedalījās un </w:t>
      </w:r>
      <w:r w:rsidR="00247298">
        <w:rPr>
          <w:rFonts w:eastAsiaTheme="minorEastAsia" w:cs="Times New Roman"/>
          <w:sz w:val="24"/>
          <w:szCs w:val="24"/>
          <w:lang w:eastAsia="lv-LV"/>
        </w:rPr>
        <w:t>f</w:t>
      </w:r>
      <w:r w:rsidR="00D52355" w:rsidRPr="708754ED">
        <w:rPr>
          <w:rFonts w:eastAsiaTheme="minorEastAsia" w:cs="Times New Roman"/>
          <w:sz w:val="24"/>
          <w:szCs w:val="24"/>
          <w:lang w:eastAsia="lv-LV"/>
        </w:rPr>
        <w:t xml:space="preserve">neatkarīgu izvērtējumu </w:t>
      </w:r>
      <w:r w:rsidR="004C4539" w:rsidRPr="708754ED">
        <w:rPr>
          <w:rFonts w:eastAsiaTheme="minorEastAsia" w:cs="Times New Roman"/>
          <w:sz w:val="24"/>
          <w:szCs w:val="24"/>
          <w:lang w:eastAsia="lv-LV"/>
        </w:rPr>
        <w:t xml:space="preserve">2022.gada maijā – jūnijā </w:t>
      </w:r>
      <w:r w:rsidR="00D52355" w:rsidRPr="708754ED">
        <w:rPr>
          <w:rFonts w:eastAsiaTheme="minorEastAsia" w:cs="Times New Roman"/>
          <w:sz w:val="24"/>
          <w:szCs w:val="24"/>
          <w:lang w:eastAsia="lv-LV"/>
        </w:rPr>
        <w:t xml:space="preserve">veica starptautiskais </w:t>
      </w:r>
      <w:r w:rsidR="004C4539" w:rsidRPr="708754ED">
        <w:rPr>
          <w:rFonts w:eastAsiaTheme="minorEastAsia" w:cs="Times New Roman"/>
          <w:sz w:val="24"/>
          <w:szCs w:val="24"/>
          <w:lang w:eastAsia="lv-LV"/>
        </w:rPr>
        <w:t xml:space="preserve">zvērinātu </w:t>
      </w:r>
      <w:r w:rsidR="00D52355" w:rsidRPr="708754ED">
        <w:rPr>
          <w:rFonts w:eastAsiaTheme="minorEastAsia" w:cs="Times New Roman"/>
          <w:sz w:val="24"/>
          <w:szCs w:val="24"/>
          <w:lang w:eastAsia="lv-LV"/>
        </w:rPr>
        <w:t xml:space="preserve">advokātu birojs </w:t>
      </w:r>
      <w:r w:rsidR="2AEA4AFA" w:rsidRPr="708754ED">
        <w:rPr>
          <w:rFonts w:eastAsiaTheme="minorEastAsia" w:cs="Times New Roman"/>
          <w:sz w:val="24"/>
          <w:szCs w:val="24"/>
          <w:lang w:eastAsia="lv-LV"/>
        </w:rPr>
        <w:t>“</w:t>
      </w:r>
      <w:r w:rsidR="00D52355" w:rsidRPr="708754ED">
        <w:rPr>
          <w:rFonts w:eastAsiaTheme="minorEastAsia" w:cs="Times New Roman"/>
          <w:sz w:val="24"/>
          <w:szCs w:val="24"/>
          <w:lang w:eastAsia="lv-LV"/>
        </w:rPr>
        <w:t>SORAINEN</w:t>
      </w:r>
      <w:r w:rsidR="46029A01" w:rsidRPr="708754ED">
        <w:rPr>
          <w:rFonts w:eastAsiaTheme="minorEastAsia" w:cs="Times New Roman"/>
          <w:sz w:val="24"/>
          <w:szCs w:val="24"/>
          <w:lang w:eastAsia="lv-LV"/>
        </w:rPr>
        <w:t>”</w:t>
      </w:r>
      <w:r w:rsidR="00D52355" w:rsidRPr="708754ED">
        <w:rPr>
          <w:rFonts w:eastAsiaTheme="minorEastAsia" w:cs="Times New Roman"/>
          <w:sz w:val="24"/>
          <w:szCs w:val="24"/>
          <w:lang w:eastAsia="lv-LV"/>
        </w:rPr>
        <w:t>.</w:t>
      </w:r>
    </w:p>
    <w:p w14:paraId="5A87112D" w14:textId="08FD0E1E" w:rsidR="00351D56" w:rsidRPr="00660EB3" w:rsidRDefault="00351D56" w:rsidP="77B235D8">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51E9D4AC" w:rsidRPr="77B235D8">
        <w:rPr>
          <w:rFonts w:eastAsiaTheme="minorEastAsia" w:cs="Times New Roman"/>
          <w:sz w:val="24"/>
          <w:szCs w:val="24"/>
          <w:lang w:eastAsia="lv-LV"/>
        </w:rPr>
        <w:t xml:space="preserve">Iepirkuma </w:t>
      </w:r>
      <w:r w:rsidR="32FD55C5" w:rsidRPr="77B235D8">
        <w:rPr>
          <w:rFonts w:eastAsiaTheme="minorEastAsia" w:cs="Times New Roman"/>
          <w:sz w:val="24"/>
          <w:szCs w:val="24"/>
          <w:lang w:eastAsia="lv-LV"/>
        </w:rPr>
        <w:t>pirmā</w:t>
      </w:r>
      <w:r w:rsidR="5B6ADDAA" w:rsidRPr="77B235D8">
        <w:rPr>
          <w:rFonts w:eastAsiaTheme="minorEastAsia" w:cs="Times New Roman"/>
          <w:sz w:val="24"/>
          <w:szCs w:val="24"/>
          <w:lang w:eastAsia="lv-LV"/>
        </w:rPr>
        <w:t xml:space="preserve"> kārta tika izsludināta 2021. gada 12. novembrī, kā rezultātā 2022. gada 3. martā saņemti </w:t>
      </w:r>
      <w:r w:rsidR="188C2C43" w:rsidRPr="77B235D8">
        <w:rPr>
          <w:rFonts w:eastAsiaTheme="minorEastAsia" w:cs="Times New Roman"/>
          <w:sz w:val="24"/>
          <w:szCs w:val="24"/>
          <w:lang w:eastAsia="lv-LV"/>
        </w:rPr>
        <w:t>seši</w:t>
      </w:r>
      <w:r w:rsidR="5B6ADDAA" w:rsidRPr="77B235D8">
        <w:rPr>
          <w:rFonts w:eastAsiaTheme="minorEastAsia" w:cs="Times New Roman"/>
          <w:sz w:val="24"/>
          <w:szCs w:val="24"/>
          <w:lang w:eastAsia="lv-LV"/>
        </w:rPr>
        <w:t xml:space="preserve"> piedāvājumi no starptautiskām </w:t>
      </w:r>
      <w:r w:rsidR="51E9D4AC" w:rsidRPr="77B235D8">
        <w:rPr>
          <w:rFonts w:eastAsiaTheme="minorEastAsia" w:cs="Times New Roman"/>
          <w:sz w:val="24"/>
          <w:szCs w:val="24"/>
          <w:lang w:eastAsia="lv-LV"/>
        </w:rPr>
        <w:t xml:space="preserve">personu </w:t>
      </w:r>
      <w:r w:rsidR="5B6ADDAA" w:rsidRPr="77B235D8">
        <w:rPr>
          <w:rFonts w:eastAsiaTheme="minorEastAsia" w:cs="Times New Roman"/>
          <w:sz w:val="24"/>
          <w:szCs w:val="24"/>
          <w:lang w:eastAsia="lv-LV"/>
        </w:rPr>
        <w:t xml:space="preserve">apvienībām. Sekojoši 2022. gada 26. jūlijā pieņemts lēmums par </w:t>
      </w:r>
      <w:r w:rsidR="1E98C304" w:rsidRPr="77B235D8">
        <w:rPr>
          <w:rFonts w:eastAsiaTheme="minorEastAsia" w:cs="Times New Roman"/>
          <w:sz w:val="24"/>
          <w:szCs w:val="24"/>
          <w:lang w:eastAsia="lv-LV"/>
        </w:rPr>
        <w:t>piecu</w:t>
      </w:r>
      <w:r w:rsidR="5B6ADDAA" w:rsidRPr="77B235D8">
        <w:rPr>
          <w:rFonts w:eastAsiaTheme="minorEastAsia" w:cs="Times New Roman"/>
          <w:sz w:val="24"/>
          <w:szCs w:val="24"/>
          <w:lang w:eastAsia="lv-LV"/>
        </w:rPr>
        <w:t xml:space="preserve"> </w:t>
      </w:r>
      <w:r w:rsidR="51E9D4AC" w:rsidRPr="77B235D8">
        <w:rPr>
          <w:rFonts w:eastAsiaTheme="minorEastAsia" w:cs="Times New Roman"/>
          <w:sz w:val="24"/>
          <w:szCs w:val="24"/>
          <w:lang w:eastAsia="lv-LV"/>
        </w:rPr>
        <w:t xml:space="preserve">personu </w:t>
      </w:r>
      <w:r w:rsidR="5B6ADDAA" w:rsidRPr="77B235D8">
        <w:rPr>
          <w:rFonts w:eastAsiaTheme="minorEastAsia" w:cs="Times New Roman"/>
          <w:sz w:val="24"/>
          <w:szCs w:val="24"/>
          <w:lang w:eastAsia="lv-LV"/>
        </w:rPr>
        <w:t xml:space="preserve">apvienību kvalificēšanos </w:t>
      </w:r>
      <w:r w:rsidR="30A4A4F7" w:rsidRPr="77B235D8">
        <w:rPr>
          <w:rFonts w:eastAsiaTheme="minorEastAsia" w:cs="Times New Roman"/>
          <w:sz w:val="24"/>
          <w:szCs w:val="24"/>
          <w:lang w:eastAsia="lv-LV"/>
        </w:rPr>
        <w:t>otrajai</w:t>
      </w:r>
      <w:r w:rsidR="5B6ADDAA" w:rsidRPr="77B235D8">
        <w:rPr>
          <w:rFonts w:eastAsiaTheme="minorEastAsia" w:cs="Times New Roman"/>
          <w:sz w:val="24"/>
          <w:szCs w:val="24"/>
          <w:lang w:eastAsia="lv-LV"/>
        </w:rPr>
        <w:t xml:space="preserve"> kārtai. </w:t>
      </w:r>
      <w:r w:rsidR="76911650" w:rsidRPr="77B235D8">
        <w:rPr>
          <w:rFonts w:eastAsiaTheme="minorEastAsia" w:cs="Times New Roman"/>
          <w:sz w:val="24"/>
          <w:szCs w:val="24"/>
          <w:lang w:eastAsia="lv-LV"/>
        </w:rPr>
        <w:t xml:space="preserve">Iepirkuma </w:t>
      </w:r>
      <w:r w:rsidR="36F7BCC0" w:rsidRPr="77B235D8">
        <w:rPr>
          <w:rFonts w:eastAsiaTheme="minorEastAsia" w:cs="Times New Roman"/>
          <w:sz w:val="24"/>
          <w:szCs w:val="24"/>
          <w:lang w:eastAsia="lv-LV"/>
        </w:rPr>
        <w:t>otrās</w:t>
      </w:r>
      <w:r w:rsidR="5B6ADDAA" w:rsidRPr="77B235D8">
        <w:rPr>
          <w:rFonts w:eastAsiaTheme="minorEastAsia" w:cs="Times New Roman"/>
          <w:sz w:val="24"/>
          <w:szCs w:val="24"/>
          <w:lang w:eastAsia="lv-LV"/>
        </w:rPr>
        <w:t xml:space="preserve"> kārtas iepirkuma dokumentācijas izstrādē tika piesaistīti starptautiski konsultanti ar ievērojami pieredzi, t</w:t>
      </w:r>
      <w:r w:rsidR="18B65EC2" w:rsidRPr="77B235D8">
        <w:rPr>
          <w:rFonts w:eastAsiaTheme="minorEastAsia" w:cs="Times New Roman"/>
          <w:sz w:val="24"/>
          <w:szCs w:val="24"/>
          <w:lang w:eastAsia="lv-LV"/>
        </w:rPr>
        <w:t>ostarp</w:t>
      </w:r>
      <w:r w:rsidR="5B6ADDAA" w:rsidRPr="77B235D8">
        <w:rPr>
          <w:rFonts w:eastAsiaTheme="minorEastAsia" w:cs="Times New Roman"/>
          <w:sz w:val="24"/>
          <w:szCs w:val="24"/>
          <w:lang w:eastAsia="lv-LV"/>
        </w:rPr>
        <w:t>, specifisku līgumu mehānismu izstrādē saskaņā ar augsta līmeņa starptautiskiem standartiem</w:t>
      </w:r>
      <w:r w:rsidRPr="77B235D8">
        <w:rPr>
          <w:rStyle w:val="FootnoteReference"/>
          <w:rFonts w:eastAsiaTheme="minorEastAsia" w:cs="Times New Roman"/>
          <w:sz w:val="24"/>
          <w:szCs w:val="24"/>
          <w:lang w:eastAsia="lv-LV"/>
        </w:rPr>
        <w:footnoteReference w:id="3"/>
      </w:r>
      <w:r w:rsidR="34FC6E16" w:rsidRPr="77B235D8">
        <w:rPr>
          <w:rFonts w:eastAsiaTheme="minorEastAsia" w:cs="Times New Roman"/>
          <w:sz w:val="24"/>
          <w:szCs w:val="24"/>
          <w:lang w:eastAsia="lv-LV"/>
        </w:rPr>
        <w:t>.</w:t>
      </w:r>
    </w:p>
    <w:p w14:paraId="4F161FFC" w14:textId="1260C4E8" w:rsidR="00351D56" w:rsidRPr="00660EB3" w:rsidRDefault="00351D56" w:rsidP="77B235D8">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277ED78F" w:rsidRPr="77B235D8">
        <w:rPr>
          <w:rFonts w:eastAsiaTheme="minorEastAsia" w:cs="Times New Roman"/>
          <w:sz w:val="24"/>
          <w:szCs w:val="24"/>
          <w:lang w:eastAsia="lv-LV"/>
        </w:rPr>
        <w:t xml:space="preserve">Iepirkuma </w:t>
      </w:r>
      <w:r w:rsidR="060AEA37" w:rsidRPr="77B235D8">
        <w:rPr>
          <w:rFonts w:eastAsiaTheme="minorEastAsia" w:cs="Times New Roman"/>
          <w:sz w:val="24"/>
          <w:szCs w:val="24"/>
          <w:lang w:eastAsia="lv-LV"/>
        </w:rPr>
        <w:t>otrā</w:t>
      </w:r>
      <w:r w:rsidR="5B6ADDAA" w:rsidRPr="77B235D8">
        <w:rPr>
          <w:rFonts w:eastAsiaTheme="minorEastAsia" w:cs="Times New Roman"/>
          <w:sz w:val="24"/>
          <w:szCs w:val="24"/>
          <w:lang w:eastAsia="lv-LV"/>
        </w:rPr>
        <w:t xml:space="preserve"> kārta tika izsludināta 2022. gada 2. septembrī, kā rezultātā saņemti </w:t>
      </w:r>
      <w:r w:rsidR="0EB31C53" w:rsidRPr="77B235D8">
        <w:rPr>
          <w:rFonts w:eastAsiaTheme="minorEastAsia" w:cs="Times New Roman"/>
          <w:sz w:val="24"/>
          <w:szCs w:val="24"/>
          <w:lang w:eastAsia="lv-LV"/>
        </w:rPr>
        <w:t>divi</w:t>
      </w:r>
      <w:r w:rsidR="5B6ADDAA" w:rsidRPr="77B235D8">
        <w:rPr>
          <w:rFonts w:eastAsiaTheme="minorEastAsia" w:cs="Times New Roman"/>
          <w:sz w:val="24"/>
          <w:szCs w:val="24"/>
          <w:lang w:eastAsia="lv-LV"/>
        </w:rPr>
        <w:t xml:space="preserve"> piedāvājumi no divām </w:t>
      </w:r>
      <w:r w:rsidR="277ED78F" w:rsidRPr="77B235D8">
        <w:rPr>
          <w:rFonts w:eastAsiaTheme="minorEastAsia" w:cs="Times New Roman"/>
          <w:sz w:val="24"/>
          <w:szCs w:val="24"/>
          <w:lang w:eastAsia="lv-LV"/>
        </w:rPr>
        <w:t xml:space="preserve">personu </w:t>
      </w:r>
      <w:r w:rsidR="5B6ADDAA" w:rsidRPr="77B235D8">
        <w:rPr>
          <w:rFonts w:eastAsiaTheme="minorEastAsia" w:cs="Times New Roman"/>
          <w:sz w:val="24"/>
          <w:szCs w:val="24"/>
          <w:lang w:eastAsia="lv-LV"/>
        </w:rPr>
        <w:t xml:space="preserve">apvienībām </w:t>
      </w:r>
      <w:r w:rsidR="5C34CBBE" w:rsidRPr="77B235D8">
        <w:rPr>
          <w:rFonts w:eastAsiaTheme="minorEastAsia" w:cs="Times New Roman"/>
          <w:sz w:val="24"/>
          <w:szCs w:val="24"/>
          <w:lang w:eastAsia="lv-LV"/>
        </w:rPr>
        <w:t>–</w:t>
      </w:r>
      <w:r w:rsidR="00275E4B">
        <w:rPr>
          <w:rFonts w:eastAsiaTheme="minorEastAsia" w:cs="Times New Roman"/>
          <w:sz w:val="24"/>
          <w:szCs w:val="24"/>
          <w:lang w:eastAsia="lv-LV"/>
        </w:rPr>
        <w:t xml:space="preserve"> </w:t>
      </w:r>
      <w:r w:rsidR="2C6ED811" w:rsidRPr="77B235D8">
        <w:rPr>
          <w:rFonts w:eastAsiaTheme="minorEastAsia" w:cs="Times New Roman"/>
          <w:sz w:val="24"/>
          <w:szCs w:val="24"/>
          <w:lang w:eastAsia="lv-LV"/>
        </w:rPr>
        <w:t xml:space="preserve">„E.R.B. Rail Baltica JV” </w:t>
      </w:r>
      <w:r w:rsidR="5B6ADDAA" w:rsidRPr="77B235D8">
        <w:rPr>
          <w:rFonts w:eastAsiaTheme="minorEastAsia" w:cs="Times New Roman"/>
          <w:sz w:val="24"/>
          <w:szCs w:val="24"/>
          <w:lang w:eastAsia="lv-LV"/>
        </w:rPr>
        <w:t xml:space="preserve">un </w:t>
      </w:r>
      <w:r w:rsidR="2C6ED811" w:rsidRPr="77B235D8">
        <w:rPr>
          <w:rFonts w:eastAsiaTheme="minorEastAsia" w:cs="Times New Roman"/>
          <w:sz w:val="24"/>
          <w:szCs w:val="24"/>
          <w:lang w:eastAsia="lv-LV"/>
        </w:rPr>
        <w:t>IC İçtaş İnşaat Sanayi̇ ve Ti̇caret A.Ş. un Doģuş İnşaat Ve Ti̇caret A.Ş.</w:t>
      </w:r>
      <w:r w:rsidR="2C6ED811" w:rsidRPr="77B235D8">
        <w:rPr>
          <w:rFonts w:eastAsiaTheme="minorEastAsia" w:cs="Times New Roman"/>
          <w:i/>
          <w:iCs/>
          <w:sz w:val="24"/>
          <w:szCs w:val="24"/>
          <w:lang w:eastAsia="lv-LV"/>
        </w:rPr>
        <w:t xml:space="preserve"> </w:t>
      </w:r>
      <w:r w:rsidR="2C6ED811" w:rsidRPr="77B235D8">
        <w:rPr>
          <w:rFonts w:eastAsiaTheme="minorEastAsia" w:cs="Times New Roman"/>
          <w:sz w:val="24"/>
          <w:szCs w:val="24"/>
          <w:lang w:eastAsia="lv-LV"/>
        </w:rPr>
        <w:t>(</w:t>
      </w:r>
      <w:r w:rsidR="6FEA4370" w:rsidRPr="77B235D8">
        <w:rPr>
          <w:rFonts w:eastAsiaTheme="minorEastAsia" w:cs="Times New Roman"/>
          <w:sz w:val="24"/>
          <w:szCs w:val="24"/>
          <w:lang w:eastAsia="lv-LV"/>
        </w:rPr>
        <w:t>turpmāk –</w:t>
      </w:r>
      <w:r w:rsidR="6FEA4370" w:rsidRPr="77B235D8">
        <w:rPr>
          <w:rFonts w:eastAsiaTheme="minorEastAsia" w:cs="Times New Roman"/>
          <w:i/>
          <w:iCs/>
          <w:sz w:val="24"/>
          <w:szCs w:val="24"/>
          <w:lang w:eastAsia="lv-LV"/>
        </w:rPr>
        <w:t xml:space="preserve"> </w:t>
      </w:r>
      <w:r w:rsidR="2C6ED811" w:rsidRPr="77B235D8">
        <w:rPr>
          <w:rFonts w:eastAsiaTheme="minorEastAsia" w:cs="Times New Roman"/>
          <w:i/>
          <w:iCs/>
          <w:sz w:val="24"/>
          <w:szCs w:val="24"/>
          <w:lang w:eastAsia="lv-LV"/>
        </w:rPr>
        <w:t>ICTAS-DOGUS)</w:t>
      </w:r>
      <w:r w:rsidR="5B6ADDAA" w:rsidRPr="77B235D8">
        <w:rPr>
          <w:rFonts w:eastAsiaTheme="minorEastAsia" w:cs="Times New Roman"/>
          <w:sz w:val="24"/>
          <w:szCs w:val="24"/>
          <w:lang w:eastAsia="lv-LV"/>
        </w:rPr>
        <w:t>. Ņemot vērā saņemto negatīvo rekomendāciju</w:t>
      </w:r>
      <w:r w:rsidR="13436FF1" w:rsidRPr="77B235D8">
        <w:rPr>
          <w:rFonts w:eastAsiaTheme="minorEastAsia" w:cs="Times New Roman"/>
          <w:sz w:val="24"/>
          <w:szCs w:val="24"/>
          <w:lang w:eastAsia="lv-LV"/>
        </w:rPr>
        <w:t xml:space="preserve"> no Valsts drošības dienesta </w:t>
      </w:r>
      <w:r w:rsidR="5B6ADDAA" w:rsidRPr="77B235D8">
        <w:rPr>
          <w:rFonts w:eastAsiaTheme="minorEastAsia" w:cs="Times New Roman"/>
          <w:sz w:val="24"/>
          <w:szCs w:val="24"/>
          <w:lang w:eastAsia="lv-LV"/>
        </w:rPr>
        <w:t xml:space="preserve">attiecībā uz </w:t>
      </w:r>
      <w:r w:rsidR="2E02A85E" w:rsidRPr="77B235D8">
        <w:rPr>
          <w:rFonts w:eastAsiaTheme="minorEastAsia" w:cs="Times New Roman"/>
          <w:sz w:val="24"/>
          <w:szCs w:val="24"/>
          <w:lang w:eastAsia="lv-LV"/>
        </w:rPr>
        <w:t xml:space="preserve">personu </w:t>
      </w:r>
      <w:r w:rsidR="5B6ADDAA" w:rsidRPr="77B235D8">
        <w:rPr>
          <w:rFonts w:eastAsiaTheme="minorEastAsia" w:cs="Times New Roman"/>
          <w:sz w:val="24"/>
          <w:szCs w:val="24"/>
          <w:lang w:eastAsia="lv-LV"/>
        </w:rPr>
        <w:t xml:space="preserve">apvienību </w:t>
      </w:r>
      <w:r w:rsidR="5B6ADDAA" w:rsidRPr="77B235D8">
        <w:rPr>
          <w:rFonts w:eastAsiaTheme="minorEastAsia" w:cs="Times New Roman"/>
          <w:i/>
          <w:iCs/>
          <w:sz w:val="24"/>
          <w:szCs w:val="24"/>
          <w:lang w:eastAsia="lv-LV"/>
        </w:rPr>
        <w:t>ICTAS-DOGUS</w:t>
      </w:r>
      <w:r w:rsidR="5B6ADDAA" w:rsidRPr="77B235D8">
        <w:rPr>
          <w:rFonts w:eastAsiaTheme="minorEastAsia" w:cs="Times New Roman"/>
          <w:sz w:val="24"/>
          <w:szCs w:val="24"/>
          <w:lang w:eastAsia="lv-LV"/>
        </w:rPr>
        <w:t xml:space="preserve">, </w:t>
      </w:r>
      <w:r w:rsidR="2EE9337E" w:rsidRPr="77B235D8">
        <w:rPr>
          <w:rFonts w:eastAsiaTheme="minorEastAsia" w:cs="Times New Roman"/>
          <w:sz w:val="24"/>
          <w:szCs w:val="24"/>
          <w:lang w:eastAsia="lv-LV"/>
        </w:rPr>
        <w:t xml:space="preserve">iepirkuma </w:t>
      </w:r>
      <w:r w:rsidR="5B6ADDAA" w:rsidRPr="77B235D8">
        <w:rPr>
          <w:rFonts w:eastAsiaTheme="minorEastAsia" w:cs="Times New Roman"/>
          <w:sz w:val="24"/>
          <w:szCs w:val="24"/>
          <w:lang w:eastAsia="lv-LV"/>
        </w:rPr>
        <w:t xml:space="preserve">ietvaros paredzētās procedūras </w:t>
      </w:r>
      <w:r w:rsidR="71D8B28A" w:rsidRPr="77B235D8">
        <w:rPr>
          <w:rFonts w:eastAsiaTheme="minorEastAsia" w:cs="Times New Roman"/>
          <w:sz w:val="24"/>
          <w:szCs w:val="24"/>
          <w:lang w:eastAsia="lv-LV"/>
        </w:rPr>
        <w:t xml:space="preserve">noteiktajā kārtībā </w:t>
      </w:r>
      <w:r w:rsidR="52E82CAB" w:rsidRPr="77B235D8">
        <w:rPr>
          <w:rFonts w:eastAsiaTheme="minorEastAsia" w:cs="Times New Roman"/>
          <w:sz w:val="24"/>
          <w:szCs w:val="24"/>
          <w:lang w:eastAsia="lv-LV"/>
        </w:rPr>
        <w:t>uz sarunām 2023. gada 26.-</w:t>
      </w:r>
      <w:r w:rsidR="52E82CAB" w:rsidRPr="77B235D8">
        <w:rPr>
          <w:rFonts w:eastAsiaTheme="minorEastAsia" w:cs="Times New Roman"/>
          <w:sz w:val="24"/>
          <w:szCs w:val="24"/>
          <w:lang w:eastAsia="lv-LV"/>
        </w:rPr>
        <w:lastRenderedPageBreak/>
        <w:t xml:space="preserve">28. jūnijā un 11.-12.jūlijā tika uzaicināts viens pretendents </w:t>
      </w:r>
      <w:r w:rsidR="00156A71">
        <w:rPr>
          <w:rFonts w:eastAsiaTheme="minorEastAsia" w:cs="Times New Roman"/>
          <w:sz w:val="24"/>
          <w:szCs w:val="24"/>
          <w:lang w:eastAsia="lv-LV"/>
        </w:rPr>
        <w:t>–</w:t>
      </w:r>
      <w:r w:rsidR="380AF34A" w:rsidRPr="77B235D8">
        <w:rPr>
          <w:rFonts w:eastAsiaTheme="minorEastAsia" w:cs="Times New Roman"/>
          <w:sz w:val="24"/>
          <w:szCs w:val="24"/>
          <w:lang w:eastAsia="lv-LV"/>
        </w:rPr>
        <w:t xml:space="preserve"> </w:t>
      </w:r>
      <w:r w:rsidR="2E02A85E" w:rsidRPr="77B235D8">
        <w:rPr>
          <w:rFonts w:eastAsiaTheme="minorEastAsia" w:cs="Times New Roman"/>
          <w:sz w:val="24"/>
          <w:szCs w:val="24"/>
          <w:lang w:eastAsia="lv-LV"/>
        </w:rPr>
        <w:t xml:space="preserve">personu apvienība </w:t>
      </w:r>
      <w:r w:rsidR="5B6ADDAA" w:rsidRPr="77B235D8">
        <w:rPr>
          <w:rFonts w:eastAsiaTheme="minorEastAsia" w:cs="Times New Roman"/>
          <w:sz w:val="24"/>
          <w:szCs w:val="24"/>
          <w:lang w:eastAsia="lv-LV"/>
        </w:rPr>
        <w:t>„E.R.B. Rail Baltica JV”</w:t>
      </w:r>
      <w:r w:rsidR="40F6D723" w:rsidRPr="77B235D8">
        <w:rPr>
          <w:rFonts w:eastAsiaTheme="minorEastAsia" w:cs="Times New Roman"/>
          <w:sz w:val="24"/>
          <w:szCs w:val="24"/>
          <w:lang w:eastAsia="lv-LV"/>
        </w:rPr>
        <w:t>.</w:t>
      </w:r>
      <w:r w:rsidR="380AF34A" w:rsidRPr="77B235D8">
        <w:rPr>
          <w:rFonts w:eastAsiaTheme="minorEastAsia" w:cs="Times New Roman"/>
          <w:sz w:val="24"/>
          <w:szCs w:val="24"/>
          <w:lang w:eastAsia="lv-LV"/>
        </w:rPr>
        <w:t xml:space="preserve"> Sarunu</w:t>
      </w:r>
      <w:r w:rsidR="5B6ADDAA" w:rsidRPr="77B235D8">
        <w:rPr>
          <w:rFonts w:eastAsiaTheme="minorEastAsia" w:cs="Times New Roman"/>
          <w:sz w:val="24"/>
          <w:szCs w:val="24"/>
          <w:lang w:eastAsia="lv-LV"/>
        </w:rPr>
        <w:t xml:space="preserve"> rezultātā tika saņemts galīgais piedāvājums (informācija par to, ka uz sarunām ir uzaicināta viena </w:t>
      </w:r>
      <w:r w:rsidR="2E02A85E" w:rsidRPr="77B235D8">
        <w:rPr>
          <w:rFonts w:eastAsiaTheme="minorEastAsia" w:cs="Times New Roman"/>
          <w:sz w:val="24"/>
          <w:szCs w:val="24"/>
          <w:lang w:eastAsia="lv-LV"/>
        </w:rPr>
        <w:t xml:space="preserve">personu apvienība </w:t>
      </w:r>
      <w:r w:rsidR="5B6ADDAA" w:rsidRPr="77B235D8">
        <w:rPr>
          <w:rFonts w:eastAsiaTheme="minorEastAsia" w:cs="Times New Roman"/>
          <w:sz w:val="24"/>
          <w:szCs w:val="24"/>
          <w:lang w:eastAsia="lv-LV"/>
        </w:rPr>
        <w:t xml:space="preserve">netika publiskota). </w:t>
      </w:r>
    </w:p>
    <w:p w14:paraId="1B158A50" w14:textId="256BF8DC" w:rsidR="00BE225E" w:rsidRPr="00660EB3" w:rsidRDefault="00351D56" w:rsidP="77B235D8">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00CA46C1" w:rsidRPr="77B235D8">
        <w:rPr>
          <w:rFonts w:eastAsiaTheme="minorEastAsia" w:cs="Times New Roman"/>
          <w:sz w:val="24"/>
          <w:szCs w:val="24"/>
          <w:lang w:eastAsia="lv-LV"/>
        </w:rPr>
        <w:t xml:space="preserve">Par </w:t>
      </w:r>
      <w:r w:rsidR="00BE225E" w:rsidRPr="77B235D8">
        <w:rPr>
          <w:rFonts w:eastAsiaTheme="minorEastAsia" w:cs="Times New Roman"/>
          <w:sz w:val="24"/>
          <w:szCs w:val="24"/>
          <w:lang w:eastAsia="lv-LV"/>
        </w:rPr>
        <w:t xml:space="preserve">iepirkuma </w:t>
      </w:r>
      <w:r w:rsidR="00CA46C1" w:rsidRPr="77B235D8">
        <w:rPr>
          <w:rFonts w:eastAsiaTheme="minorEastAsia" w:cs="Times New Roman"/>
          <w:sz w:val="24"/>
          <w:szCs w:val="24"/>
          <w:lang w:eastAsia="lv-LV"/>
        </w:rPr>
        <w:t>uzvarētāju</w:t>
      </w:r>
      <w:r w:rsidR="00BE225E" w:rsidRPr="77B235D8">
        <w:rPr>
          <w:rFonts w:eastAsiaTheme="minorEastAsia" w:cs="Times New Roman"/>
          <w:sz w:val="24"/>
          <w:szCs w:val="24"/>
          <w:lang w:eastAsia="lv-LV"/>
        </w:rPr>
        <w:t xml:space="preserve">, atbilstoši iepirkuma komisijas 2023. gada 29. augustā pieņemtajam lēmumam, </w:t>
      </w:r>
      <w:r w:rsidR="00CA46C1" w:rsidRPr="77B235D8">
        <w:rPr>
          <w:rFonts w:eastAsiaTheme="minorEastAsia" w:cs="Times New Roman"/>
          <w:sz w:val="24"/>
          <w:szCs w:val="24"/>
          <w:lang w:eastAsia="lv-LV"/>
        </w:rPr>
        <w:t>tika atzīta</w:t>
      </w:r>
      <w:r w:rsidR="00D72224" w:rsidRPr="77B235D8">
        <w:rPr>
          <w:rFonts w:eastAsiaTheme="minorEastAsia" w:cs="Times New Roman"/>
          <w:sz w:val="24"/>
          <w:szCs w:val="24"/>
          <w:lang w:eastAsia="lv-LV"/>
        </w:rPr>
        <w:t xml:space="preserve"> </w:t>
      </w:r>
      <w:r w:rsidR="002B591F" w:rsidRPr="77B235D8">
        <w:rPr>
          <w:rFonts w:eastAsiaTheme="minorEastAsia" w:cs="Times New Roman"/>
          <w:sz w:val="24"/>
          <w:szCs w:val="24"/>
          <w:lang w:eastAsia="lv-LV"/>
        </w:rPr>
        <w:t xml:space="preserve">personu apvienība </w:t>
      </w:r>
      <w:r w:rsidR="00D72224" w:rsidRPr="77B235D8">
        <w:rPr>
          <w:rFonts w:eastAsiaTheme="minorEastAsia" w:cs="Times New Roman"/>
          <w:sz w:val="24"/>
          <w:szCs w:val="24"/>
          <w:lang w:eastAsia="lv-LV"/>
        </w:rPr>
        <w:t>„E.R.B. Rail Baltica JV”</w:t>
      </w:r>
      <w:r w:rsidR="00CA46C1" w:rsidRPr="77B235D8">
        <w:rPr>
          <w:rFonts w:eastAsiaTheme="minorEastAsia" w:cs="Times New Roman"/>
          <w:sz w:val="24"/>
          <w:szCs w:val="24"/>
          <w:lang w:eastAsia="lv-LV"/>
        </w:rPr>
        <w:t xml:space="preserve"> (turpmāk – Uzņēmējs). Uzņēmējs</w:t>
      </w:r>
      <w:r w:rsidRPr="77B235D8">
        <w:rPr>
          <w:rFonts w:eastAsiaTheme="minorEastAsia" w:cs="Times New Roman"/>
          <w:sz w:val="24"/>
          <w:szCs w:val="24"/>
          <w:lang w:eastAsia="lv-LV"/>
        </w:rPr>
        <w:t xml:space="preserve"> sastāv no </w:t>
      </w:r>
      <w:r w:rsidR="3629846A" w:rsidRPr="77B235D8">
        <w:rPr>
          <w:rFonts w:eastAsiaTheme="minorEastAsia" w:cs="Times New Roman"/>
          <w:sz w:val="24"/>
          <w:szCs w:val="24"/>
          <w:lang w:eastAsia="lv-LV"/>
        </w:rPr>
        <w:t>trīs</w:t>
      </w:r>
      <w:r w:rsidRPr="77B235D8">
        <w:rPr>
          <w:rFonts w:eastAsiaTheme="minorEastAsia" w:cs="Times New Roman"/>
          <w:sz w:val="24"/>
          <w:szCs w:val="24"/>
          <w:lang w:eastAsia="lv-LV"/>
        </w:rPr>
        <w:t xml:space="preserve"> </w:t>
      </w:r>
      <w:r w:rsidR="002B591F" w:rsidRPr="77B235D8">
        <w:rPr>
          <w:rFonts w:eastAsiaTheme="minorEastAsia" w:cs="Times New Roman"/>
          <w:sz w:val="24"/>
          <w:szCs w:val="24"/>
          <w:lang w:eastAsia="lv-LV"/>
        </w:rPr>
        <w:t xml:space="preserve">personu apvienības </w:t>
      </w:r>
      <w:r w:rsidRPr="77B235D8">
        <w:rPr>
          <w:rFonts w:eastAsiaTheme="minorEastAsia" w:cs="Times New Roman"/>
          <w:sz w:val="24"/>
          <w:szCs w:val="24"/>
          <w:lang w:eastAsia="lv-LV"/>
        </w:rPr>
        <w:t xml:space="preserve">dalībniekiem </w:t>
      </w:r>
      <w:r w:rsidR="00CA46C1" w:rsidRPr="77B235D8">
        <w:rPr>
          <w:rFonts w:eastAsiaTheme="minorEastAsia" w:cs="Times New Roman"/>
          <w:sz w:val="24"/>
          <w:szCs w:val="24"/>
          <w:lang w:eastAsia="lv-LV"/>
        </w:rPr>
        <w:t xml:space="preserve">– </w:t>
      </w:r>
      <w:r w:rsidRPr="77B235D8">
        <w:rPr>
          <w:rFonts w:eastAsiaTheme="minorEastAsia" w:cs="Times New Roman"/>
          <w:sz w:val="24"/>
          <w:szCs w:val="24"/>
          <w:lang w:eastAsia="lv-LV"/>
        </w:rPr>
        <w:t xml:space="preserve">Eiffage Génie Civil SAS  reģ. Nr. FR45352745749, Rizzani de Eccher S.p.A  reģ. Nr. IT00167700301 un Budimex S.A. reģ. Nr. PL5261003187. </w:t>
      </w:r>
    </w:p>
    <w:p w14:paraId="4807AF83" w14:textId="66E698B1" w:rsidR="00351D56" w:rsidRPr="00660EB3" w:rsidRDefault="00A2331F"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00900415">
        <w:rPr>
          <w:rFonts w:eastAsiaTheme="minorEastAsia" w:cs="Times New Roman"/>
          <w:sz w:val="24"/>
          <w:szCs w:val="24"/>
          <w:lang w:eastAsia="lv-LV"/>
        </w:rPr>
        <w:t>P</w:t>
      </w:r>
      <w:r w:rsidR="06C9B8F3" w:rsidRPr="0595A900">
        <w:rPr>
          <w:rFonts w:eastAsiaTheme="minorEastAsia" w:cs="Times New Roman"/>
          <w:sz w:val="24"/>
          <w:szCs w:val="24"/>
          <w:lang w:eastAsia="lv-LV"/>
        </w:rPr>
        <w:t xml:space="preserve">ersonu apvienības </w:t>
      </w:r>
      <w:r w:rsidR="66DB60E3" w:rsidRPr="0595A900">
        <w:rPr>
          <w:rFonts w:eastAsiaTheme="minorEastAsia" w:cs="Times New Roman"/>
          <w:sz w:val="24"/>
          <w:szCs w:val="24"/>
          <w:lang w:eastAsia="lv-LV"/>
        </w:rPr>
        <w:t xml:space="preserve">ICTAS-DOGUS </w:t>
      </w:r>
      <w:r w:rsidR="06077739" w:rsidRPr="0595A900">
        <w:rPr>
          <w:rFonts w:eastAsiaTheme="minorEastAsia" w:cs="Times New Roman"/>
          <w:sz w:val="24"/>
          <w:szCs w:val="24"/>
          <w:lang w:eastAsia="lv-LV"/>
        </w:rPr>
        <w:t xml:space="preserve">pilnvarotais pārstāvis </w:t>
      </w:r>
      <w:r w:rsidR="66DB60E3" w:rsidRPr="0595A900">
        <w:rPr>
          <w:rFonts w:eastAsiaTheme="minorEastAsia" w:cs="Times New Roman"/>
          <w:sz w:val="24"/>
          <w:szCs w:val="24"/>
          <w:lang w:eastAsia="lv-LV"/>
        </w:rPr>
        <w:t>2023. gada 8.</w:t>
      </w:r>
      <w:r w:rsidR="5F228750" w:rsidRPr="0595A900">
        <w:rPr>
          <w:rFonts w:eastAsiaTheme="minorEastAsia" w:cs="Times New Roman"/>
          <w:sz w:val="24"/>
          <w:szCs w:val="24"/>
          <w:lang w:eastAsia="lv-LV"/>
        </w:rPr>
        <w:t xml:space="preserve"> </w:t>
      </w:r>
      <w:r w:rsidR="66DB60E3" w:rsidRPr="0595A900">
        <w:rPr>
          <w:rFonts w:eastAsiaTheme="minorEastAsia" w:cs="Times New Roman"/>
          <w:sz w:val="24"/>
          <w:szCs w:val="24"/>
          <w:lang w:eastAsia="lv-LV"/>
        </w:rPr>
        <w:t xml:space="preserve">septembrī </w:t>
      </w:r>
      <w:r w:rsidR="5F228750" w:rsidRPr="0595A900">
        <w:rPr>
          <w:rFonts w:eastAsiaTheme="minorEastAsia" w:cs="Times New Roman"/>
          <w:sz w:val="24"/>
          <w:szCs w:val="24"/>
          <w:lang w:eastAsia="lv-LV"/>
        </w:rPr>
        <w:t xml:space="preserve">Iepirkumu uzraudzības birojā </w:t>
      </w:r>
      <w:r w:rsidR="06077739" w:rsidRPr="0595A900">
        <w:rPr>
          <w:rFonts w:eastAsiaTheme="minorEastAsia" w:cs="Times New Roman"/>
          <w:sz w:val="24"/>
          <w:szCs w:val="24"/>
          <w:lang w:eastAsia="lv-LV"/>
        </w:rPr>
        <w:t>iesniedza</w:t>
      </w:r>
      <w:r w:rsidR="66DB60E3" w:rsidRPr="0595A900">
        <w:rPr>
          <w:rFonts w:eastAsiaTheme="minorEastAsia" w:cs="Times New Roman"/>
          <w:sz w:val="24"/>
          <w:szCs w:val="24"/>
          <w:lang w:eastAsia="lv-LV"/>
        </w:rPr>
        <w:t xml:space="preserve"> sūdzīb</w:t>
      </w:r>
      <w:r w:rsidR="06077739" w:rsidRPr="0595A900">
        <w:rPr>
          <w:rFonts w:eastAsiaTheme="minorEastAsia" w:cs="Times New Roman"/>
          <w:sz w:val="24"/>
          <w:szCs w:val="24"/>
          <w:lang w:eastAsia="lv-LV"/>
        </w:rPr>
        <w:t>u</w:t>
      </w:r>
      <w:r w:rsidR="66DB60E3" w:rsidRPr="0595A900">
        <w:rPr>
          <w:rFonts w:eastAsiaTheme="minorEastAsia" w:cs="Times New Roman"/>
          <w:sz w:val="24"/>
          <w:szCs w:val="24"/>
          <w:lang w:eastAsia="lv-LV"/>
        </w:rPr>
        <w:t xml:space="preserve"> saistībā ar </w:t>
      </w:r>
      <w:r w:rsidR="06C9B8F3" w:rsidRPr="0595A900">
        <w:rPr>
          <w:rFonts w:eastAsiaTheme="minorEastAsia" w:cs="Times New Roman"/>
          <w:sz w:val="24"/>
          <w:szCs w:val="24"/>
          <w:lang w:eastAsia="lv-LV"/>
        </w:rPr>
        <w:t xml:space="preserve">personu apvienības </w:t>
      </w:r>
      <w:r w:rsidR="66DB60E3" w:rsidRPr="0595A900">
        <w:rPr>
          <w:rFonts w:eastAsiaTheme="minorEastAsia" w:cs="Times New Roman"/>
          <w:sz w:val="24"/>
          <w:szCs w:val="24"/>
          <w:lang w:eastAsia="lv-LV"/>
        </w:rPr>
        <w:t xml:space="preserve">izslēgšanu no </w:t>
      </w:r>
      <w:r w:rsidR="65ECA9B2" w:rsidRPr="0595A900">
        <w:rPr>
          <w:rFonts w:eastAsiaTheme="minorEastAsia" w:cs="Times New Roman"/>
          <w:sz w:val="24"/>
          <w:szCs w:val="24"/>
          <w:lang w:eastAsia="lv-LV"/>
        </w:rPr>
        <w:t>iepirkuma</w:t>
      </w:r>
      <w:r w:rsidR="008164EC">
        <w:rPr>
          <w:rFonts w:eastAsiaTheme="minorEastAsia" w:cs="Times New Roman"/>
          <w:sz w:val="24"/>
          <w:szCs w:val="24"/>
          <w:lang w:eastAsia="lv-LV"/>
        </w:rPr>
        <w:t xml:space="preserve">, lūdzot atzīt </w:t>
      </w:r>
      <w:r w:rsidR="007F6CE2">
        <w:rPr>
          <w:rFonts w:eastAsiaTheme="minorEastAsia" w:cs="Times New Roman"/>
          <w:sz w:val="24"/>
          <w:szCs w:val="24"/>
          <w:lang w:eastAsia="lv-LV"/>
        </w:rPr>
        <w:t xml:space="preserve">iesniedzēja izslēgšanu no </w:t>
      </w:r>
      <w:r w:rsidR="001F16D7">
        <w:rPr>
          <w:rFonts w:eastAsiaTheme="minorEastAsia" w:cs="Times New Roman"/>
          <w:sz w:val="24"/>
          <w:szCs w:val="24"/>
          <w:lang w:eastAsia="lv-LV"/>
        </w:rPr>
        <w:t>iepirkuma procedūras</w:t>
      </w:r>
      <w:r w:rsidR="00916415">
        <w:rPr>
          <w:rFonts w:eastAsiaTheme="minorEastAsia" w:cs="Times New Roman"/>
          <w:sz w:val="24"/>
          <w:szCs w:val="24"/>
          <w:lang w:eastAsia="lv-LV"/>
        </w:rPr>
        <w:t>,</w:t>
      </w:r>
      <w:r w:rsidR="001F16D7">
        <w:rPr>
          <w:rFonts w:eastAsiaTheme="minorEastAsia" w:cs="Times New Roman"/>
          <w:sz w:val="24"/>
          <w:szCs w:val="24"/>
          <w:lang w:eastAsia="lv-LV"/>
        </w:rPr>
        <w:t xml:space="preserve"> pamatojoties uz </w:t>
      </w:r>
      <w:r w:rsidR="00916415">
        <w:rPr>
          <w:rFonts w:eastAsiaTheme="minorEastAsia" w:cs="Times New Roman"/>
          <w:sz w:val="24"/>
          <w:szCs w:val="24"/>
          <w:lang w:eastAsia="lv-LV"/>
        </w:rPr>
        <w:t xml:space="preserve">Valsts drošības dienesta rekomendāciju, </w:t>
      </w:r>
      <w:r w:rsidR="001F16D7">
        <w:rPr>
          <w:rFonts w:eastAsiaTheme="minorEastAsia" w:cs="Times New Roman"/>
          <w:sz w:val="24"/>
          <w:szCs w:val="24"/>
          <w:lang w:eastAsia="lv-LV"/>
        </w:rPr>
        <w:t>par prettiesisku</w:t>
      </w:r>
      <w:r w:rsidR="66DB60E3" w:rsidRPr="0595A900">
        <w:rPr>
          <w:rFonts w:eastAsiaTheme="minorEastAsia" w:cs="Times New Roman"/>
          <w:sz w:val="24"/>
          <w:szCs w:val="24"/>
          <w:lang w:eastAsia="lv-LV"/>
        </w:rPr>
        <w:t xml:space="preserve">. </w:t>
      </w:r>
      <w:r w:rsidR="42D94D29" w:rsidRPr="0595A900">
        <w:rPr>
          <w:rFonts w:eastAsiaTheme="minorEastAsia" w:cs="Times New Roman"/>
          <w:sz w:val="24"/>
          <w:szCs w:val="24"/>
          <w:lang w:eastAsia="lv-LV"/>
        </w:rPr>
        <w:t>Ievērojot Ministru kabineta</w:t>
      </w:r>
      <w:r w:rsidR="30837177" w:rsidRPr="000E23CB">
        <w:t xml:space="preserve"> </w:t>
      </w:r>
      <w:r w:rsidR="30837177" w:rsidRPr="0595A900">
        <w:rPr>
          <w:rFonts w:eastAsiaTheme="minorEastAsia" w:cs="Times New Roman"/>
          <w:sz w:val="24"/>
          <w:szCs w:val="24"/>
          <w:lang w:eastAsia="lv-LV"/>
        </w:rPr>
        <w:t>2021. gada 6. jūlija</w:t>
      </w:r>
      <w:r w:rsidR="42D94D29" w:rsidRPr="0595A900">
        <w:rPr>
          <w:rFonts w:eastAsiaTheme="minorEastAsia" w:cs="Times New Roman"/>
          <w:sz w:val="24"/>
          <w:szCs w:val="24"/>
          <w:lang w:eastAsia="lv-LV"/>
        </w:rPr>
        <w:t xml:space="preserve"> noteikumu </w:t>
      </w:r>
      <w:r w:rsidR="30837177" w:rsidRPr="0595A900">
        <w:rPr>
          <w:rFonts w:eastAsiaTheme="minorEastAsia" w:cs="Times New Roman"/>
          <w:sz w:val="24"/>
          <w:szCs w:val="24"/>
          <w:lang w:eastAsia="lv-LV"/>
        </w:rPr>
        <w:t>Nr. 508 „</w:t>
      </w:r>
      <w:r w:rsidR="47996E89" w:rsidRPr="0595A900">
        <w:rPr>
          <w:rFonts w:eastAsiaTheme="minorEastAsia" w:cs="Times New Roman"/>
          <w:sz w:val="24"/>
          <w:szCs w:val="24"/>
          <w:lang w:eastAsia="lv-LV"/>
        </w:rPr>
        <w:t>Kritiskās infrastruktūras, tajā skaitā Eiropas kritiskās infrastruktūras, apzināšanas, drošības pasākumu un darbības nepārtrauktības plānošanas un īstenošanas kārtība</w:t>
      </w:r>
      <w:r w:rsidR="30837177" w:rsidRPr="0595A900">
        <w:rPr>
          <w:rFonts w:eastAsiaTheme="minorEastAsia" w:cs="Times New Roman"/>
          <w:sz w:val="24"/>
          <w:szCs w:val="24"/>
          <w:lang w:eastAsia="lv-LV"/>
        </w:rPr>
        <w:t>”</w:t>
      </w:r>
      <w:r w:rsidR="47996E89" w:rsidRPr="0595A900">
        <w:rPr>
          <w:rFonts w:eastAsiaTheme="minorEastAsia" w:cs="Times New Roman"/>
          <w:sz w:val="24"/>
          <w:szCs w:val="24"/>
          <w:lang w:eastAsia="lv-LV"/>
        </w:rPr>
        <w:t xml:space="preserve"> 16. punkta prasības, valsts drošības iestādēm, tai skaitā, </w:t>
      </w:r>
      <w:r w:rsidR="1655CDCB" w:rsidRPr="0595A900">
        <w:rPr>
          <w:rFonts w:eastAsiaTheme="minorEastAsia" w:cs="Times New Roman"/>
          <w:sz w:val="24"/>
          <w:szCs w:val="24"/>
          <w:lang w:eastAsia="lv-LV"/>
        </w:rPr>
        <w:t>Valsts drošības dienesta</w:t>
      </w:r>
      <w:r w:rsidR="47996E89" w:rsidRPr="0595A900">
        <w:rPr>
          <w:rFonts w:eastAsiaTheme="minorEastAsia" w:cs="Times New Roman"/>
          <w:sz w:val="24"/>
          <w:szCs w:val="24"/>
          <w:lang w:eastAsia="lv-LV"/>
        </w:rPr>
        <w:t xml:space="preserve">m, ir tiesības </w:t>
      </w:r>
      <w:r w:rsidR="4C487217" w:rsidRPr="0595A900">
        <w:rPr>
          <w:rFonts w:eastAsiaTheme="minorEastAsia" w:cs="Times New Roman"/>
          <w:sz w:val="24"/>
          <w:szCs w:val="24"/>
          <w:lang w:eastAsia="lv-LV"/>
        </w:rPr>
        <w:t xml:space="preserve">pārbaudīt </w:t>
      </w:r>
      <w:r w:rsidR="49974A5B" w:rsidRPr="0595A900">
        <w:rPr>
          <w:rFonts w:eastAsiaTheme="minorEastAsia" w:cs="Times New Roman"/>
          <w:sz w:val="24"/>
          <w:szCs w:val="24"/>
          <w:lang w:eastAsia="lv-LV"/>
        </w:rPr>
        <w:t xml:space="preserve">komersantus, kuri sniedz </w:t>
      </w:r>
      <w:r w:rsidR="4C487217" w:rsidRPr="0595A900">
        <w:rPr>
          <w:rFonts w:eastAsiaTheme="minorEastAsia" w:cs="Times New Roman"/>
          <w:sz w:val="24"/>
          <w:szCs w:val="24"/>
          <w:lang w:eastAsia="lv-LV"/>
        </w:rPr>
        <w:t>Eiropas kritiskās infrastruktūras funkcionēšanai nozīmīgus pakalpojumus</w:t>
      </w:r>
      <w:r w:rsidR="49974A5B" w:rsidRPr="0595A900">
        <w:rPr>
          <w:rFonts w:eastAsiaTheme="minorEastAsia" w:cs="Times New Roman"/>
          <w:sz w:val="24"/>
          <w:szCs w:val="24"/>
          <w:lang w:eastAsia="lv-LV"/>
        </w:rPr>
        <w:t>.</w:t>
      </w:r>
      <w:r w:rsidR="0B1E1293" w:rsidRPr="0595A900">
        <w:rPr>
          <w:rFonts w:eastAsiaTheme="minorEastAsia" w:cs="Times New Roman"/>
          <w:sz w:val="24"/>
          <w:szCs w:val="24"/>
          <w:lang w:eastAsia="lv-LV"/>
        </w:rPr>
        <w:t xml:space="preserve"> </w:t>
      </w:r>
    </w:p>
    <w:p w14:paraId="4F5418FA" w14:textId="377CAFBE" w:rsidR="00F247AB" w:rsidRDefault="0B1E1293" w:rsidP="006769F6">
      <w:pPr>
        <w:tabs>
          <w:tab w:val="left" w:pos="567"/>
        </w:tabs>
        <w:spacing w:after="0" w:line="240" w:lineRule="auto"/>
        <w:ind w:firstLine="567"/>
        <w:contextualSpacing/>
        <w:jc w:val="both"/>
        <w:rPr>
          <w:rFonts w:eastAsiaTheme="minorEastAsia" w:cs="Times New Roman"/>
          <w:sz w:val="24"/>
          <w:szCs w:val="24"/>
          <w:lang w:eastAsia="lv-LV"/>
        </w:rPr>
      </w:pPr>
      <w:r w:rsidRPr="6075987E">
        <w:rPr>
          <w:rFonts w:eastAsiaTheme="minorEastAsia" w:cs="Times New Roman"/>
          <w:sz w:val="24"/>
          <w:szCs w:val="24"/>
          <w:lang w:eastAsia="lv-LV"/>
        </w:rPr>
        <w:t>Attiecīgi Valsts dro</w:t>
      </w:r>
      <w:r w:rsidR="3A2E8E61" w:rsidRPr="6075987E">
        <w:rPr>
          <w:rFonts w:eastAsiaTheme="minorEastAsia" w:cs="Times New Roman"/>
          <w:sz w:val="24"/>
          <w:szCs w:val="24"/>
          <w:lang w:eastAsia="lv-LV"/>
        </w:rPr>
        <w:t>šības di</w:t>
      </w:r>
      <w:r w:rsidRPr="6075987E">
        <w:rPr>
          <w:rFonts w:eastAsiaTheme="minorEastAsia" w:cs="Times New Roman"/>
          <w:sz w:val="24"/>
          <w:szCs w:val="24"/>
          <w:lang w:eastAsia="lv-LV"/>
        </w:rPr>
        <w:t xml:space="preserve">enests pārbaudīja abus pretendentus </w:t>
      </w:r>
      <w:r w:rsidR="004F3C3A">
        <w:rPr>
          <w:rFonts w:eastAsiaTheme="minorEastAsia" w:cs="Times New Roman"/>
          <w:sz w:val="24"/>
          <w:szCs w:val="24"/>
          <w:lang w:eastAsia="lv-LV"/>
        </w:rPr>
        <w:t>otrās</w:t>
      </w:r>
      <w:r w:rsidRPr="6075987E">
        <w:rPr>
          <w:rFonts w:eastAsiaTheme="minorEastAsia" w:cs="Times New Roman"/>
          <w:sz w:val="24"/>
          <w:szCs w:val="24"/>
          <w:lang w:eastAsia="lv-LV"/>
        </w:rPr>
        <w:t xml:space="preserve"> kārtas ietvaros.</w:t>
      </w:r>
      <w:r w:rsidR="49974A5B" w:rsidRPr="6075987E">
        <w:rPr>
          <w:rFonts w:eastAsiaTheme="minorEastAsia" w:cs="Times New Roman"/>
          <w:sz w:val="24"/>
          <w:szCs w:val="24"/>
          <w:lang w:eastAsia="lv-LV"/>
        </w:rPr>
        <w:t xml:space="preserve"> Ņemot vērā šādas rekomendācijas mērķi, </w:t>
      </w:r>
      <w:r w:rsidR="00B56316" w:rsidRPr="6075987E">
        <w:rPr>
          <w:rFonts w:eastAsiaTheme="minorEastAsia" w:cs="Times New Roman"/>
          <w:sz w:val="24"/>
          <w:szCs w:val="24"/>
          <w:lang w:eastAsia="lv-LV"/>
        </w:rPr>
        <w:t>ievērojot sabiedrības drošības intereses</w:t>
      </w:r>
      <w:r w:rsidR="00B56316">
        <w:rPr>
          <w:rFonts w:eastAsiaTheme="minorEastAsia" w:cs="Times New Roman"/>
          <w:sz w:val="24"/>
          <w:szCs w:val="24"/>
          <w:lang w:eastAsia="lv-LV"/>
        </w:rPr>
        <w:t>,</w:t>
      </w:r>
      <w:r w:rsidR="00B56316" w:rsidRPr="6075987E">
        <w:rPr>
          <w:rFonts w:eastAsiaTheme="minorEastAsia" w:cs="Times New Roman"/>
          <w:sz w:val="24"/>
          <w:szCs w:val="24"/>
          <w:lang w:eastAsia="lv-LV"/>
        </w:rPr>
        <w:t xml:space="preserve"> </w:t>
      </w:r>
      <w:r w:rsidR="49974A5B" w:rsidRPr="6075987E">
        <w:rPr>
          <w:rFonts w:eastAsiaTheme="minorEastAsia" w:cs="Times New Roman"/>
          <w:sz w:val="24"/>
          <w:szCs w:val="24"/>
          <w:lang w:eastAsia="lv-LV"/>
        </w:rPr>
        <w:t>secināms, ka negatīva</w:t>
      </w:r>
      <w:r w:rsidR="1655CDCB" w:rsidRPr="6075987E">
        <w:rPr>
          <w:rFonts w:eastAsiaTheme="minorEastAsia" w:cs="Times New Roman"/>
          <w:sz w:val="24"/>
          <w:szCs w:val="24"/>
          <w:lang w:eastAsia="lv-LV"/>
        </w:rPr>
        <w:t xml:space="preserve"> rekomendācija nepieļauj iespēju slēgt iepirkumu līgumu ar pretendentu</w:t>
      </w:r>
      <w:r w:rsidR="008A66AA">
        <w:rPr>
          <w:rFonts w:eastAsiaTheme="minorEastAsia" w:cs="Times New Roman"/>
          <w:sz w:val="24"/>
          <w:szCs w:val="24"/>
          <w:lang w:eastAsia="lv-LV"/>
        </w:rPr>
        <w:t>.</w:t>
      </w:r>
      <w:r w:rsidR="1655CDCB" w:rsidRPr="6075987E">
        <w:rPr>
          <w:rFonts w:eastAsiaTheme="minorEastAsia" w:cs="Times New Roman"/>
          <w:sz w:val="24"/>
          <w:szCs w:val="24"/>
          <w:lang w:eastAsia="lv-LV"/>
        </w:rPr>
        <w:t xml:space="preserve"> </w:t>
      </w:r>
      <w:r w:rsidR="66DB60E3" w:rsidRPr="6075987E">
        <w:rPr>
          <w:rFonts w:eastAsiaTheme="minorEastAsia" w:cs="Times New Roman"/>
          <w:sz w:val="24"/>
          <w:szCs w:val="24"/>
          <w:lang w:eastAsia="lv-LV"/>
        </w:rPr>
        <w:t>2023.</w:t>
      </w:r>
      <w:r w:rsidR="06077739" w:rsidRPr="6075987E">
        <w:rPr>
          <w:rFonts w:eastAsiaTheme="minorEastAsia" w:cs="Times New Roman"/>
          <w:sz w:val="24"/>
          <w:szCs w:val="24"/>
          <w:lang w:eastAsia="lv-LV"/>
        </w:rPr>
        <w:t xml:space="preserve"> </w:t>
      </w:r>
      <w:r w:rsidR="66DB60E3" w:rsidRPr="6075987E">
        <w:rPr>
          <w:rFonts w:eastAsiaTheme="minorEastAsia" w:cs="Times New Roman"/>
          <w:sz w:val="24"/>
          <w:szCs w:val="24"/>
          <w:lang w:eastAsia="lv-LV"/>
        </w:rPr>
        <w:t>gada 28.</w:t>
      </w:r>
      <w:r w:rsidR="06077739" w:rsidRPr="6075987E">
        <w:rPr>
          <w:rFonts w:eastAsiaTheme="minorEastAsia" w:cs="Times New Roman"/>
          <w:sz w:val="24"/>
          <w:szCs w:val="24"/>
          <w:lang w:eastAsia="lv-LV"/>
        </w:rPr>
        <w:t xml:space="preserve"> </w:t>
      </w:r>
      <w:r w:rsidR="66DB60E3" w:rsidRPr="6075987E">
        <w:rPr>
          <w:rFonts w:eastAsiaTheme="minorEastAsia" w:cs="Times New Roman"/>
          <w:sz w:val="24"/>
          <w:szCs w:val="24"/>
          <w:lang w:eastAsia="lv-LV"/>
        </w:rPr>
        <w:t xml:space="preserve">septembrī notika Iepirkumu </w:t>
      </w:r>
      <w:r w:rsidR="4EA69822" w:rsidRPr="6075987E">
        <w:rPr>
          <w:rFonts w:eastAsiaTheme="minorEastAsia" w:cs="Times New Roman"/>
          <w:sz w:val="24"/>
          <w:szCs w:val="24"/>
          <w:lang w:eastAsia="lv-LV"/>
        </w:rPr>
        <w:t>u</w:t>
      </w:r>
      <w:r w:rsidR="66DB60E3" w:rsidRPr="6075987E">
        <w:rPr>
          <w:rFonts w:eastAsiaTheme="minorEastAsia" w:cs="Times New Roman"/>
          <w:sz w:val="24"/>
          <w:szCs w:val="24"/>
          <w:lang w:eastAsia="lv-LV"/>
        </w:rPr>
        <w:t xml:space="preserve">zraudzības biroja organizēta sūdzības izskatīšanas sēde un 2023. gada </w:t>
      </w:r>
      <w:r w:rsidR="00C71301">
        <w:rPr>
          <w:rFonts w:eastAsiaTheme="minorEastAsia" w:cs="Times New Roman"/>
          <w:sz w:val="24"/>
          <w:szCs w:val="24"/>
          <w:lang w:eastAsia="lv-LV"/>
        </w:rPr>
        <w:t>17. oktobrī</w:t>
      </w:r>
      <w:r w:rsidR="66DB60E3" w:rsidRPr="6075987E">
        <w:rPr>
          <w:rFonts w:eastAsiaTheme="minorEastAsia" w:cs="Times New Roman"/>
          <w:sz w:val="24"/>
          <w:szCs w:val="24"/>
          <w:lang w:eastAsia="lv-LV"/>
        </w:rPr>
        <w:t xml:space="preserve"> </w:t>
      </w:r>
      <w:r w:rsidR="0723CB98" w:rsidRPr="6075987E">
        <w:rPr>
          <w:rFonts w:eastAsiaTheme="minorEastAsia" w:cs="Times New Roman"/>
          <w:sz w:val="24"/>
          <w:szCs w:val="24"/>
          <w:lang w:eastAsia="lv-LV"/>
        </w:rPr>
        <w:t>tika pieņemts lēmums</w:t>
      </w:r>
      <w:r w:rsidR="00346CFD">
        <w:rPr>
          <w:rFonts w:eastAsiaTheme="minorEastAsia" w:cs="Times New Roman"/>
          <w:sz w:val="24"/>
          <w:szCs w:val="24"/>
          <w:lang w:eastAsia="lv-LV"/>
        </w:rPr>
        <w:t xml:space="preserve"> (turpmāk – Lēmums)</w:t>
      </w:r>
      <w:r w:rsidR="0723CB98" w:rsidRPr="6075987E">
        <w:rPr>
          <w:rFonts w:eastAsiaTheme="minorEastAsia" w:cs="Times New Roman"/>
          <w:sz w:val="24"/>
          <w:szCs w:val="24"/>
          <w:lang w:eastAsia="lv-LV"/>
        </w:rPr>
        <w:t xml:space="preserve"> par sūdzības noraidīšanu un</w:t>
      </w:r>
      <w:r w:rsidR="66DB60E3" w:rsidRPr="6075987E">
        <w:rPr>
          <w:rFonts w:eastAsiaTheme="minorEastAsia" w:cs="Times New Roman"/>
          <w:sz w:val="24"/>
          <w:szCs w:val="24"/>
          <w:lang w:eastAsia="lv-LV"/>
        </w:rPr>
        <w:t xml:space="preserve"> atļauj</w:t>
      </w:r>
      <w:r w:rsidR="0723CB98" w:rsidRPr="6075987E">
        <w:rPr>
          <w:rFonts w:eastAsiaTheme="minorEastAsia" w:cs="Times New Roman"/>
          <w:sz w:val="24"/>
          <w:szCs w:val="24"/>
          <w:lang w:eastAsia="lv-LV"/>
        </w:rPr>
        <w:t xml:space="preserve">u </w:t>
      </w:r>
      <w:r w:rsidR="2F7431F6" w:rsidRPr="6075987E">
        <w:rPr>
          <w:rFonts w:eastAsiaTheme="minorEastAsia" w:cs="Times New Roman"/>
          <w:sz w:val="24"/>
          <w:szCs w:val="24"/>
          <w:lang w:eastAsia="lv-LV"/>
        </w:rPr>
        <w:t>EDZL</w:t>
      </w:r>
      <w:r w:rsidR="0723CB98" w:rsidRPr="6075987E">
        <w:rPr>
          <w:rFonts w:eastAsiaTheme="minorEastAsia" w:cs="Times New Roman"/>
          <w:sz w:val="24"/>
          <w:szCs w:val="24"/>
          <w:lang w:eastAsia="lv-LV"/>
        </w:rPr>
        <w:t xml:space="preserve"> s</w:t>
      </w:r>
      <w:r w:rsidR="66DB60E3" w:rsidRPr="6075987E">
        <w:rPr>
          <w:rFonts w:eastAsiaTheme="minorEastAsia" w:cs="Times New Roman"/>
          <w:sz w:val="24"/>
          <w:szCs w:val="24"/>
          <w:lang w:eastAsia="lv-LV"/>
        </w:rPr>
        <w:t>lēgt līgumu</w:t>
      </w:r>
      <w:r w:rsidR="009C0D9B">
        <w:rPr>
          <w:rFonts w:eastAsiaTheme="minorEastAsia" w:cs="Times New Roman"/>
          <w:sz w:val="24"/>
          <w:szCs w:val="24"/>
          <w:lang w:eastAsia="lv-LV"/>
        </w:rPr>
        <w:t>.</w:t>
      </w:r>
    </w:p>
    <w:p w14:paraId="0E778C14" w14:textId="2CAC0153" w:rsidR="6075987E" w:rsidRDefault="003D538F" w:rsidP="005611AF">
      <w:pPr>
        <w:tabs>
          <w:tab w:val="left" w:pos="567"/>
        </w:tabs>
        <w:spacing w:after="0" w:line="240" w:lineRule="auto"/>
        <w:ind w:firstLine="567"/>
        <w:contextualSpacing/>
        <w:jc w:val="both"/>
        <w:rPr>
          <w:rFonts w:eastAsiaTheme="minorEastAsia" w:cs="Times New Roman"/>
          <w:sz w:val="24"/>
          <w:szCs w:val="24"/>
          <w:lang w:eastAsia="lv-LV"/>
        </w:rPr>
      </w:pPr>
      <w:r w:rsidRPr="003D538F">
        <w:rPr>
          <w:rFonts w:eastAsiaTheme="minorEastAsia" w:cs="Times New Roman"/>
          <w:sz w:val="24"/>
          <w:szCs w:val="24"/>
          <w:lang w:eastAsia="lv-LV"/>
        </w:rPr>
        <w:t>Administratīvā rajona tiesa ar 2023. gada 9. novembra lēmumu ierosināj</w:t>
      </w:r>
      <w:r w:rsidR="00D56509">
        <w:rPr>
          <w:rFonts w:eastAsiaTheme="minorEastAsia" w:cs="Times New Roman"/>
          <w:sz w:val="24"/>
          <w:szCs w:val="24"/>
          <w:lang w:eastAsia="lv-LV"/>
        </w:rPr>
        <w:t>a</w:t>
      </w:r>
      <w:r w:rsidRPr="003D538F">
        <w:rPr>
          <w:rFonts w:eastAsiaTheme="minorEastAsia" w:cs="Times New Roman"/>
          <w:sz w:val="24"/>
          <w:szCs w:val="24"/>
          <w:lang w:eastAsia="lv-LV"/>
        </w:rPr>
        <w:t xml:space="preserve"> administratīvo lietu par ICTAS-DOGUS prasību par </w:t>
      </w:r>
      <w:r w:rsidR="00A972C1">
        <w:rPr>
          <w:rFonts w:eastAsiaTheme="minorEastAsia" w:cs="Times New Roman"/>
          <w:sz w:val="24"/>
          <w:szCs w:val="24"/>
          <w:lang w:eastAsia="lv-LV"/>
        </w:rPr>
        <w:t>Lēmuma</w:t>
      </w:r>
      <w:r w:rsidRPr="003D538F">
        <w:rPr>
          <w:rFonts w:eastAsiaTheme="minorEastAsia" w:cs="Times New Roman"/>
          <w:sz w:val="24"/>
          <w:szCs w:val="24"/>
          <w:lang w:eastAsia="lv-LV"/>
        </w:rPr>
        <w:t xml:space="preserve"> pārsūdzēšanu.</w:t>
      </w:r>
      <w:r w:rsidR="00994D53">
        <w:rPr>
          <w:rFonts w:eastAsiaTheme="minorEastAsia" w:cs="Times New Roman"/>
          <w:sz w:val="24"/>
          <w:szCs w:val="24"/>
          <w:lang w:eastAsia="lv-LV"/>
        </w:rPr>
        <w:t xml:space="preserve"> Tiesas </w:t>
      </w:r>
      <w:r w:rsidR="00625303">
        <w:rPr>
          <w:rFonts w:eastAsiaTheme="minorEastAsia" w:cs="Times New Roman"/>
          <w:sz w:val="24"/>
          <w:szCs w:val="24"/>
          <w:lang w:eastAsia="lv-LV"/>
        </w:rPr>
        <w:t>no</w:t>
      </w:r>
      <w:r w:rsidR="00994D53">
        <w:rPr>
          <w:rFonts w:eastAsiaTheme="minorEastAsia" w:cs="Times New Roman"/>
          <w:sz w:val="24"/>
          <w:szCs w:val="24"/>
          <w:lang w:eastAsia="lv-LV"/>
        </w:rPr>
        <w:t xml:space="preserve">lēmums </w:t>
      </w:r>
      <w:r w:rsidR="00B54585">
        <w:rPr>
          <w:rFonts w:eastAsiaTheme="minorEastAsia" w:cs="Times New Roman"/>
          <w:sz w:val="24"/>
          <w:szCs w:val="24"/>
          <w:lang w:eastAsia="lv-LV"/>
        </w:rPr>
        <w:t xml:space="preserve">par šo prasību </w:t>
      </w:r>
      <w:r w:rsidR="005E6709">
        <w:rPr>
          <w:rFonts w:eastAsiaTheme="minorEastAsia" w:cs="Times New Roman"/>
          <w:sz w:val="24"/>
          <w:szCs w:val="24"/>
          <w:lang w:eastAsia="lv-LV"/>
        </w:rPr>
        <w:t>vēl nav pieņemts.</w:t>
      </w:r>
      <w:r w:rsidR="00D56509">
        <w:rPr>
          <w:rFonts w:eastAsiaTheme="minorEastAsia" w:cs="Times New Roman"/>
          <w:sz w:val="24"/>
          <w:szCs w:val="24"/>
          <w:lang w:eastAsia="lv-LV"/>
        </w:rPr>
        <w:t xml:space="preserve"> </w:t>
      </w:r>
      <w:r w:rsidRPr="003D538F">
        <w:rPr>
          <w:rFonts w:eastAsiaTheme="minorEastAsia" w:cs="Times New Roman"/>
          <w:sz w:val="24"/>
          <w:szCs w:val="24"/>
          <w:lang w:eastAsia="lv-LV"/>
        </w:rPr>
        <w:t>Vienlaikus pieteicējs iesnied</w:t>
      </w:r>
      <w:r w:rsidR="00E87687">
        <w:rPr>
          <w:rFonts w:eastAsiaTheme="minorEastAsia" w:cs="Times New Roman"/>
          <w:sz w:val="24"/>
          <w:szCs w:val="24"/>
          <w:lang w:eastAsia="lv-LV"/>
        </w:rPr>
        <w:t>za tiesā</w:t>
      </w:r>
      <w:r w:rsidRPr="003D538F">
        <w:rPr>
          <w:rFonts w:eastAsiaTheme="minorEastAsia" w:cs="Times New Roman"/>
          <w:sz w:val="24"/>
          <w:szCs w:val="24"/>
          <w:lang w:eastAsia="lv-LV"/>
        </w:rPr>
        <w:t xml:space="preserve"> </w:t>
      </w:r>
      <w:r w:rsidR="007A38A6">
        <w:rPr>
          <w:rFonts w:eastAsiaTheme="minorEastAsia" w:cs="Times New Roman"/>
          <w:sz w:val="24"/>
          <w:szCs w:val="24"/>
          <w:lang w:eastAsia="lv-LV"/>
        </w:rPr>
        <w:t xml:space="preserve">arī </w:t>
      </w:r>
      <w:r w:rsidR="0003163D" w:rsidRPr="6075987E">
        <w:rPr>
          <w:rFonts w:eastAsia="Times New Roman" w:cs="Times New Roman"/>
          <w:sz w:val="24"/>
          <w:szCs w:val="24"/>
          <w:lang w:val="lv"/>
        </w:rPr>
        <w:t xml:space="preserve">pieteikumu </w:t>
      </w:r>
      <w:r w:rsidR="0003163D">
        <w:rPr>
          <w:rFonts w:eastAsia="Times New Roman" w:cs="Times New Roman"/>
          <w:sz w:val="24"/>
          <w:szCs w:val="24"/>
          <w:lang w:val="lv"/>
        </w:rPr>
        <w:t xml:space="preserve">par </w:t>
      </w:r>
      <w:r w:rsidR="0003163D" w:rsidRPr="6075987E">
        <w:rPr>
          <w:rFonts w:eastAsia="Times New Roman" w:cs="Times New Roman"/>
          <w:sz w:val="24"/>
          <w:szCs w:val="24"/>
          <w:lang w:val="lv"/>
        </w:rPr>
        <w:t xml:space="preserve">pagaidu aizsardzības </w:t>
      </w:r>
      <w:r w:rsidRPr="003D538F">
        <w:rPr>
          <w:rFonts w:eastAsiaTheme="minorEastAsia" w:cs="Times New Roman"/>
          <w:sz w:val="24"/>
          <w:szCs w:val="24"/>
          <w:lang w:eastAsia="lv-LV"/>
        </w:rPr>
        <w:t>noregulējuma piemērošanu,</w:t>
      </w:r>
      <w:r w:rsidR="00E87687">
        <w:rPr>
          <w:rFonts w:eastAsiaTheme="minorEastAsia" w:cs="Times New Roman"/>
          <w:sz w:val="24"/>
          <w:szCs w:val="24"/>
          <w:lang w:eastAsia="lv-LV"/>
        </w:rPr>
        <w:t xml:space="preserve"> </w:t>
      </w:r>
      <w:r w:rsidR="001A7506" w:rsidRPr="001A7506">
        <w:rPr>
          <w:rFonts w:eastAsiaTheme="minorEastAsia" w:cs="Times New Roman"/>
          <w:sz w:val="24"/>
          <w:szCs w:val="24"/>
          <w:lang w:eastAsia="lv-LV"/>
        </w:rPr>
        <w:t xml:space="preserve">lūdzot tiesai aizliegt EDZL noslēgt </w:t>
      </w:r>
      <w:r w:rsidR="004F7849">
        <w:rPr>
          <w:rFonts w:eastAsiaTheme="minorEastAsia" w:cs="Times New Roman"/>
          <w:sz w:val="24"/>
          <w:szCs w:val="24"/>
          <w:lang w:eastAsia="lv-LV"/>
        </w:rPr>
        <w:t xml:space="preserve">Līgumu. Ar </w:t>
      </w:r>
      <w:r w:rsidR="000312AC">
        <w:rPr>
          <w:rFonts w:eastAsiaTheme="minorEastAsia" w:cs="Times New Roman"/>
          <w:sz w:val="24"/>
          <w:szCs w:val="24"/>
          <w:lang w:eastAsia="lv-LV"/>
        </w:rPr>
        <w:t>Administratīvā rajona ties</w:t>
      </w:r>
      <w:r w:rsidR="004F7849">
        <w:rPr>
          <w:rFonts w:eastAsiaTheme="minorEastAsia" w:cs="Times New Roman"/>
          <w:sz w:val="24"/>
          <w:szCs w:val="24"/>
          <w:lang w:eastAsia="lv-LV"/>
        </w:rPr>
        <w:t>as</w:t>
      </w:r>
      <w:r w:rsidR="000312AC">
        <w:rPr>
          <w:rFonts w:eastAsiaTheme="minorEastAsia" w:cs="Times New Roman"/>
          <w:sz w:val="24"/>
          <w:szCs w:val="24"/>
          <w:lang w:eastAsia="lv-LV"/>
        </w:rPr>
        <w:t xml:space="preserve"> </w:t>
      </w:r>
      <w:r w:rsidR="000312AC" w:rsidRPr="000312AC">
        <w:rPr>
          <w:rFonts w:eastAsia="Times New Roman" w:cs="Times New Roman"/>
          <w:sz w:val="24"/>
          <w:szCs w:val="24"/>
          <w:lang w:val="lv"/>
        </w:rPr>
        <w:t>2023.</w:t>
      </w:r>
      <w:r w:rsidR="00B56316">
        <w:rPr>
          <w:rFonts w:eastAsia="Times New Roman" w:cs="Times New Roman"/>
          <w:sz w:val="24"/>
          <w:szCs w:val="24"/>
          <w:lang w:val="lv"/>
        </w:rPr>
        <w:t xml:space="preserve"> </w:t>
      </w:r>
      <w:r w:rsidR="000312AC" w:rsidRPr="000312AC">
        <w:rPr>
          <w:rFonts w:eastAsia="Times New Roman" w:cs="Times New Roman"/>
          <w:sz w:val="24"/>
          <w:szCs w:val="24"/>
          <w:lang w:val="lv"/>
        </w:rPr>
        <w:t>gada 28.</w:t>
      </w:r>
      <w:r w:rsidR="00B56316">
        <w:rPr>
          <w:rFonts w:eastAsia="Times New Roman" w:cs="Times New Roman"/>
          <w:sz w:val="24"/>
          <w:szCs w:val="24"/>
          <w:lang w:val="lv"/>
        </w:rPr>
        <w:t xml:space="preserve"> </w:t>
      </w:r>
      <w:r w:rsidR="000312AC" w:rsidRPr="000312AC">
        <w:rPr>
          <w:rFonts w:eastAsia="Times New Roman" w:cs="Times New Roman"/>
          <w:sz w:val="24"/>
          <w:szCs w:val="24"/>
          <w:lang w:val="lv"/>
        </w:rPr>
        <w:t>novembr</w:t>
      </w:r>
      <w:r w:rsidR="004F7849">
        <w:rPr>
          <w:rFonts w:eastAsia="Times New Roman" w:cs="Times New Roman"/>
          <w:sz w:val="24"/>
          <w:szCs w:val="24"/>
          <w:lang w:val="lv"/>
        </w:rPr>
        <w:t>a lēmumu</w:t>
      </w:r>
      <w:r w:rsidR="00BE56E7">
        <w:rPr>
          <w:rFonts w:eastAsia="Times New Roman" w:cs="Times New Roman"/>
          <w:sz w:val="24"/>
          <w:szCs w:val="24"/>
          <w:lang w:val="lv"/>
        </w:rPr>
        <w:t xml:space="preserve"> šī prasība tika</w:t>
      </w:r>
      <w:r w:rsidR="004F7849">
        <w:rPr>
          <w:rFonts w:eastAsia="Times New Roman" w:cs="Times New Roman"/>
          <w:sz w:val="24"/>
          <w:szCs w:val="24"/>
          <w:lang w:val="lv"/>
        </w:rPr>
        <w:t xml:space="preserve"> noraidīta</w:t>
      </w:r>
      <w:r w:rsidR="000312AC">
        <w:rPr>
          <w:rFonts w:eastAsia="Times New Roman" w:cs="Times New Roman"/>
          <w:sz w:val="24"/>
          <w:szCs w:val="24"/>
          <w:lang w:val="lv"/>
        </w:rPr>
        <w:t>.</w:t>
      </w:r>
      <w:r w:rsidR="009C0D9B">
        <w:rPr>
          <w:rStyle w:val="FootnoteReference"/>
          <w:rFonts w:eastAsiaTheme="minorEastAsia" w:cs="Times New Roman"/>
          <w:sz w:val="24"/>
          <w:szCs w:val="24"/>
          <w:lang w:eastAsia="lv-LV"/>
        </w:rPr>
        <w:footnoteReference w:id="4"/>
      </w:r>
    </w:p>
    <w:p w14:paraId="10CE47F4" w14:textId="5DBB91DC" w:rsidR="00351D56" w:rsidRPr="00660EB3" w:rsidRDefault="00351D56"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0C5088D9" w:rsidRPr="0595A900">
        <w:rPr>
          <w:rFonts w:eastAsiaTheme="minorEastAsia" w:cs="Times New Roman"/>
          <w:sz w:val="24"/>
          <w:szCs w:val="24"/>
          <w:lang w:eastAsia="lv-LV"/>
        </w:rPr>
        <w:t xml:space="preserve">Jāvērš uzmanība, ka </w:t>
      </w:r>
      <w:r w:rsidR="7908A818" w:rsidRPr="0595A900">
        <w:rPr>
          <w:rFonts w:eastAsiaTheme="minorEastAsia" w:cs="Times New Roman"/>
          <w:sz w:val="24"/>
          <w:szCs w:val="24"/>
          <w:lang w:eastAsia="lv-LV"/>
        </w:rPr>
        <w:t xml:space="preserve">par iepirkuma uzvarētāju atzītajam </w:t>
      </w:r>
      <w:r w:rsidR="6CB13472" w:rsidRPr="0595A900">
        <w:rPr>
          <w:rFonts w:eastAsiaTheme="minorEastAsia" w:cs="Times New Roman"/>
          <w:sz w:val="24"/>
          <w:szCs w:val="24"/>
          <w:lang w:eastAsia="lv-LV"/>
        </w:rPr>
        <w:t>Uzņēmēja</w:t>
      </w:r>
      <w:r w:rsidR="3C525DEB" w:rsidRPr="0595A900">
        <w:rPr>
          <w:rFonts w:eastAsiaTheme="minorEastAsia" w:cs="Times New Roman"/>
          <w:sz w:val="24"/>
          <w:szCs w:val="24"/>
          <w:lang w:eastAsia="lv-LV"/>
        </w:rPr>
        <w:t>m</w:t>
      </w:r>
      <w:r w:rsidR="6CB13472" w:rsidRPr="0595A900">
        <w:rPr>
          <w:rFonts w:eastAsiaTheme="minorEastAsia" w:cs="Times New Roman"/>
          <w:sz w:val="24"/>
          <w:szCs w:val="24"/>
          <w:lang w:eastAsia="lv-LV"/>
        </w:rPr>
        <w:t xml:space="preserve"> </w:t>
      </w:r>
      <w:r w:rsidR="5B6ADDAA" w:rsidRPr="0595A900">
        <w:rPr>
          <w:rFonts w:eastAsiaTheme="minorEastAsia" w:cs="Times New Roman"/>
          <w:sz w:val="24"/>
          <w:szCs w:val="24"/>
          <w:lang w:eastAsia="lv-LV"/>
        </w:rPr>
        <w:t xml:space="preserve">ir ievērojami resursi (kopējais </w:t>
      </w:r>
      <w:r w:rsidR="48F37EA6" w:rsidRPr="0595A900">
        <w:rPr>
          <w:rFonts w:eastAsiaTheme="minorEastAsia" w:cs="Times New Roman"/>
          <w:sz w:val="24"/>
          <w:szCs w:val="24"/>
          <w:lang w:eastAsia="lv-LV"/>
        </w:rPr>
        <w:t xml:space="preserve">ikgadējais </w:t>
      </w:r>
      <w:r w:rsidR="5B6ADDAA" w:rsidRPr="0595A900">
        <w:rPr>
          <w:rFonts w:eastAsiaTheme="minorEastAsia" w:cs="Times New Roman"/>
          <w:sz w:val="24"/>
          <w:szCs w:val="24"/>
          <w:lang w:eastAsia="lv-LV"/>
        </w:rPr>
        <w:t>apgrozījums</w:t>
      </w:r>
      <w:r w:rsidR="0F624FF7" w:rsidRPr="0595A900">
        <w:rPr>
          <w:rFonts w:eastAsiaTheme="minorEastAsia" w:cs="Times New Roman"/>
          <w:sz w:val="24"/>
          <w:szCs w:val="24"/>
          <w:lang w:eastAsia="lv-LV"/>
        </w:rPr>
        <w:t xml:space="preserve"> ir</w:t>
      </w:r>
      <w:r w:rsidR="5B6ADDAA" w:rsidRPr="0595A900">
        <w:rPr>
          <w:rFonts w:eastAsiaTheme="minorEastAsia" w:cs="Times New Roman"/>
          <w:sz w:val="24"/>
          <w:szCs w:val="24"/>
          <w:lang w:eastAsia="lv-LV"/>
        </w:rPr>
        <w:t xml:space="preserve"> aptuveni 23 miljardi </w:t>
      </w:r>
      <w:r w:rsidR="002C5510" w:rsidRPr="002C5510">
        <w:rPr>
          <w:rFonts w:eastAsiaTheme="minorEastAsia" w:cs="Times New Roman"/>
          <w:i/>
          <w:sz w:val="24"/>
          <w:szCs w:val="24"/>
          <w:lang w:eastAsia="lv-LV"/>
        </w:rPr>
        <w:t>euro</w:t>
      </w:r>
      <w:r w:rsidR="5B6ADDAA" w:rsidRPr="0595A900">
        <w:rPr>
          <w:rFonts w:eastAsiaTheme="minorEastAsia" w:cs="Times New Roman"/>
          <w:sz w:val="24"/>
          <w:szCs w:val="24"/>
          <w:lang w:eastAsia="lv-LV"/>
        </w:rPr>
        <w:t>, kopējais darbinieku skaits aptuveni 80 000), kā arī pieredze līdzīgos, kā arī tehniski komplicētākos projektos, piemēram:</w:t>
      </w:r>
    </w:p>
    <w:p w14:paraId="54AB28D1" w14:textId="7FD79469" w:rsidR="00351D56" w:rsidRPr="00660EB3" w:rsidRDefault="00351D56" w:rsidP="00911792">
      <w:pPr>
        <w:numPr>
          <w:ilvl w:val="0"/>
          <w:numId w:val="9"/>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Eiffage Genie Civil (</w:t>
      </w:r>
      <w:r w:rsidR="00E2071C">
        <w:rPr>
          <w:rFonts w:eastAsiaTheme="minorEastAsia" w:cs="Times New Roman"/>
          <w:b/>
          <w:bCs/>
          <w:sz w:val="24"/>
          <w:szCs w:val="24"/>
          <w:lang w:eastAsia="lv-LV"/>
        </w:rPr>
        <w:t>g</w:t>
      </w:r>
      <w:r w:rsidRPr="00660EB3">
        <w:rPr>
          <w:rFonts w:eastAsiaTheme="minorEastAsia" w:cs="Times New Roman"/>
          <w:b/>
          <w:bCs/>
          <w:sz w:val="24"/>
          <w:szCs w:val="24"/>
          <w:lang w:eastAsia="lv-LV"/>
        </w:rPr>
        <w:t xml:space="preserve">rupas apgrozījums 2022. gadā 20,3 miljardi </w:t>
      </w:r>
      <w:r w:rsidR="002C5510" w:rsidRPr="002C5510">
        <w:rPr>
          <w:rFonts w:eastAsiaTheme="minorEastAsia" w:cs="Times New Roman"/>
          <w:b/>
          <w:bCs/>
          <w:i/>
          <w:sz w:val="24"/>
          <w:szCs w:val="24"/>
          <w:lang w:eastAsia="lv-LV"/>
        </w:rPr>
        <w:t>euro</w:t>
      </w:r>
      <w:r w:rsidRPr="00660EB3">
        <w:rPr>
          <w:rFonts w:eastAsiaTheme="minorEastAsia" w:cs="Times New Roman"/>
          <w:b/>
          <w:bCs/>
          <w:sz w:val="24"/>
          <w:szCs w:val="24"/>
          <w:lang w:eastAsia="lv-LV"/>
        </w:rPr>
        <w:t>; 73500 darbinieku)</w:t>
      </w:r>
    </w:p>
    <w:p w14:paraId="4549B736" w14:textId="0C658B24" w:rsidR="00351D56" w:rsidRPr="00660EB3" w:rsidRDefault="00351D56" w:rsidP="00911792">
      <w:pPr>
        <w:numPr>
          <w:ilvl w:val="0"/>
          <w:numId w:val="10"/>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Perpignan-Figueras dzelzceļa līnija starp Franciju un Spāniju (1,1 miljardi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w:t>
      </w:r>
    </w:p>
    <w:p w14:paraId="380671ED" w14:textId="2E979575" w:rsidR="00351D56" w:rsidRPr="00660EB3" w:rsidRDefault="00351D56" w:rsidP="00911792">
      <w:pPr>
        <w:numPr>
          <w:ilvl w:val="0"/>
          <w:numId w:val="10"/>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Lyon-Turin līnijas tunelis SMP4 (645 milj.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w:t>
      </w:r>
    </w:p>
    <w:p w14:paraId="6A4D6CBC" w14:textId="084D77E2" w:rsidR="00351D56" w:rsidRPr="00660EB3" w:rsidRDefault="00351D56" w:rsidP="00911792">
      <w:pPr>
        <w:numPr>
          <w:ilvl w:val="0"/>
          <w:numId w:val="10"/>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Grand Paris 16. līnija (1,6 miljardi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w:t>
      </w:r>
    </w:p>
    <w:p w14:paraId="375147C2" w14:textId="77777777" w:rsidR="00351D56" w:rsidRPr="00660EB3" w:rsidRDefault="00351D56" w:rsidP="00911792">
      <w:pPr>
        <w:numPr>
          <w:ilvl w:val="0"/>
          <w:numId w:val="10"/>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High Speed 2 (London-Birmingham).</w:t>
      </w:r>
    </w:p>
    <w:p w14:paraId="443AA0B0" w14:textId="1EFCCC6E" w:rsidR="00351D56" w:rsidRPr="00660EB3" w:rsidRDefault="00351D56" w:rsidP="00911792">
      <w:pPr>
        <w:numPr>
          <w:ilvl w:val="0"/>
          <w:numId w:val="9"/>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Rizzani de Eccher (</w:t>
      </w:r>
      <w:r w:rsidR="00E2071C">
        <w:rPr>
          <w:rFonts w:eastAsiaTheme="minorEastAsia" w:cs="Times New Roman"/>
          <w:b/>
          <w:bCs/>
          <w:sz w:val="24"/>
          <w:szCs w:val="24"/>
          <w:lang w:eastAsia="lv-LV"/>
        </w:rPr>
        <w:t>a</w:t>
      </w:r>
      <w:r w:rsidRPr="00660EB3">
        <w:rPr>
          <w:rFonts w:eastAsiaTheme="minorEastAsia" w:cs="Times New Roman"/>
          <w:b/>
          <w:bCs/>
          <w:sz w:val="24"/>
          <w:szCs w:val="24"/>
          <w:lang w:eastAsia="lv-LV"/>
        </w:rPr>
        <w:t xml:space="preserve">pgrozījums 2021.gadā 510 miljoni </w:t>
      </w:r>
      <w:r w:rsidR="002C5510" w:rsidRPr="002C5510">
        <w:rPr>
          <w:rFonts w:eastAsiaTheme="minorEastAsia" w:cs="Times New Roman"/>
          <w:b/>
          <w:bCs/>
          <w:i/>
          <w:sz w:val="24"/>
          <w:szCs w:val="24"/>
          <w:lang w:eastAsia="lv-LV"/>
        </w:rPr>
        <w:t>euro</w:t>
      </w:r>
      <w:r w:rsidRPr="00660EB3">
        <w:rPr>
          <w:rFonts w:eastAsiaTheme="minorEastAsia" w:cs="Times New Roman"/>
          <w:b/>
          <w:bCs/>
          <w:sz w:val="24"/>
          <w:szCs w:val="24"/>
          <w:lang w:eastAsia="lv-LV"/>
        </w:rPr>
        <w:t>; 1600 darbinieku):</w:t>
      </w:r>
    </w:p>
    <w:p w14:paraId="18335728" w14:textId="33220BE7" w:rsidR="00351D56" w:rsidRPr="00660EB3" w:rsidRDefault="5B6ADDAA" w:rsidP="0595A900">
      <w:pPr>
        <w:numPr>
          <w:ilvl w:val="0"/>
          <w:numId w:val="11"/>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Doha</w:t>
      </w:r>
      <w:r w:rsidR="09DC52FA" w:rsidRPr="0595A900">
        <w:rPr>
          <w:rFonts w:eastAsiaTheme="minorEastAsia" w:cs="Times New Roman"/>
          <w:sz w:val="24"/>
          <w:szCs w:val="24"/>
          <w:lang w:eastAsia="lv-LV"/>
        </w:rPr>
        <w:t>s</w:t>
      </w:r>
      <w:r w:rsidRPr="0595A900">
        <w:rPr>
          <w:rFonts w:eastAsiaTheme="minorEastAsia" w:cs="Times New Roman"/>
          <w:sz w:val="24"/>
          <w:szCs w:val="24"/>
          <w:lang w:eastAsia="lv-LV"/>
        </w:rPr>
        <w:t xml:space="preserve"> metro</w:t>
      </w:r>
      <w:r w:rsidR="18884DB6" w:rsidRPr="0595A900">
        <w:rPr>
          <w:rFonts w:eastAsiaTheme="minorEastAsia" w:cs="Times New Roman"/>
          <w:sz w:val="24"/>
          <w:szCs w:val="24"/>
          <w:lang w:eastAsia="lv-LV"/>
        </w:rPr>
        <w:t xml:space="preserve"> līnija</w:t>
      </w:r>
      <w:r w:rsidRPr="0595A900">
        <w:rPr>
          <w:rFonts w:eastAsiaTheme="minorEastAsia" w:cs="Times New Roman"/>
          <w:sz w:val="24"/>
          <w:szCs w:val="24"/>
          <w:lang w:eastAsia="lv-LV"/>
        </w:rPr>
        <w:t xml:space="preserve"> </w:t>
      </w:r>
      <w:r w:rsidR="00AB2749">
        <w:rPr>
          <w:rFonts w:eastAsiaTheme="minorEastAsia" w:cs="Times New Roman"/>
          <w:sz w:val="24"/>
          <w:szCs w:val="24"/>
          <w:lang w:eastAsia="lv-LV"/>
        </w:rPr>
        <w:t>„</w:t>
      </w:r>
      <w:r w:rsidRPr="0595A900">
        <w:rPr>
          <w:rFonts w:eastAsiaTheme="minorEastAsia" w:cs="Times New Roman"/>
          <w:sz w:val="24"/>
          <w:szCs w:val="24"/>
          <w:lang w:eastAsia="lv-LV"/>
        </w:rPr>
        <w:t>Red Line</w:t>
      </w:r>
      <w:r w:rsidR="75970389" w:rsidRPr="0595A900">
        <w:rPr>
          <w:rFonts w:eastAsiaTheme="minorEastAsia" w:cs="Times New Roman"/>
          <w:sz w:val="24"/>
          <w:szCs w:val="24"/>
          <w:lang w:eastAsia="lv-LV"/>
        </w:rPr>
        <w:t>”</w:t>
      </w:r>
      <w:r w:rsidRPr="0595A900">
        <w:rPr>
          <w:rFonts w:eastAsiaTheme="minorEastAsia" w:cs="Times New Roman"/>
          <w:sz w:val="24"/>
          <w:szCs w:val="24"/>
          <w:lang w:eastAsia="lv-LV"/>
        </w:rPr>
        <w:t xml:space="preserve"> (Katara);</w:t>
      </w:r>
    </w:p>
    <w:p w14:paraId="04A35D7F" w14:textId="00D265D9" w:rsidR="00351D56" w:rsidRPr="00660EB3" w:rsidRDefault="3A602315" w:rsidP="0595A900">
      <w:pPr>
        <w:numPr>
          <w:ilvl w:val="0"/>
          <w:numId w:val="11"/>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 xml:space="preserve">Tilts </w:t>
      </w:r>
      <w:r w:rsidR="00AB2749">
        <w:rPr>
          <w:rFonts w:eastAsiaTheme="minorEastAsia" w:cs="Times New Roman"/>
          <w:sz w:val="24"/>
          <w:szCs w:val="24"/>
          <w:lang w:eastAsia="lv-LV"/>
        </w:rPr>
        <w:t>„</w:t>
      </w:r>
      <w:r w:rsidR="5B6ADDAA" w:rsidRPr="0595A900">
        <w:rPr>
          <w:rFonts w:eastAsiaTheme="minorEastAsia" w:cs="Times New Roman"/>
          <w:sz w:val="24"/>
          <w:szCs w:val="24"/>
          <w:lang w:eastAsia="lv-LV"/>
        </w:rPr>
        <w:t xml:space="preserve">Crown Princess Mary </w:t>
      </w:r>
      <w:r w:rsidR="6DFEDBEE" w:rsidRPr="0595A900">
        <w:rPr>
          <w:rFonts w:eastAsiaTheme="minorEastAsia" w:cs="Times New Roman"/>
          <w:sz w:val="24"/>
          <w:szCs w:val="24"/>
          <w:lang w:eastAsia="lv-LV"/>
        </w:rPr>
        <w:t>B</w:t>
      </w:r>
      <w:r w:rsidR="5B6ADDAA" w:rsidRPr="0595A900">
        <w:rPr>
          <w:rFonts w:eastAsiaTheme="minorEastAsia" w:cs="Times New Roman"/>
          <w:sz w:val="24"/>
          <w:szCs w:val="24"/>
          <w:lang w:eastAsia="lv-LV"/>
        </w:rPr>
        <w:t>ridge</w:t>
      </w:r>
      <w:r w:rsidR="29C4843F" w:rsidRPr="0595A900">
        <w:rPr>
          <w:rFonts w:eastAsiaTheme="minorEastAsia" w:cs="Times New Roman"/>
          <w:sz w:val="24"/>
          <w:szCs w:val="24"/>
          <w:lang w:eastAsia="lv-LV"/>
        </w:rPr>
        <w:t>”</w:t>
      </w:r>
      <w:r w:rsidR="5B6ADDAA" w:rsidRPr="0595A900">
        <w:rPr>
          <w:rFonts w:eastAsiaTheme="minorEastAsia" w:cs="Times New Roman"/>
          <w:sz w:val="24"/>
          <w:szCs w:val="24"/>
          <w:lang w:eastAsia="lv-LV"/>
        </w:rPr>
        <w:t>(Dānija);</w:t>
      </w:r>
    </w:p>
    <w:p w14:paraId="0A467AF3" w14:textId="0381A56E" w:rsidR="00351D56" w:rsidRPr="00660EB3" w:rsidRDefault="15EF8056" w:rsidP="0595A900">
      <w:pPr>
        <w:numPr>
          <w:ilvl w:val="0"/>
          <w:numId w:val="11"/>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 xml:space="preserve">Ātrvilciena metro projekts </w:t>
      </w:r>
      <w:r w:rsidR="00AB2749">
        <w:rPr>
          <w:rFonts w:eastAsiaTheme="minorEastAsia" w:cs="Times New Roman"/>
          <w:sz w:val="24"/>
          <w:szCs w:val="24"/>
          <w:lang w:eastAsia="lv-LV"/>
        </w:rPr>
        <w:t>„</w:t>
      </w:r>
      <w:r w:rsidRPr="0595A900">
        <w:rPr>
          <w:rFonts w:eastAsiaTheme="minorEastAsia" w:cs="Times New Roman"/>
          <w:sz w:val="24"/>
          <w:szCs w:val="24"/>
          <w:lang w:eastAsia="lv-LV"/>
        </w:rPr>
        <w:t xml:space="preserve">Canada Line Rapid Transit Project” </w:t>
      </w:r>
      <w:r w:rsidR="5B6ADDAA" w:rsidRPr="0595A900">
        <w:rPr>
          <w:rFonts w:eastAsiaTheme="minorEastAsia" w:cs="Times New Roman"/>
          <w:sz w:val="24"/>
          <w:szCs w:val="24"/>
          <w:lang w:eastAsia="lv-LV"/>
        </w:rPr>
        <w:t>(Kanāda);</w:t>
      </w:r>
    </w:p>
    <w:p w14:paraId="4CE77D64" w14:textId="5DD87893" w:rsidR="00351D56" w:rsidRPr="00660EB3" w:rsidRDefault="741A579E" w:rsidP="0595A900">
      <w:pPr>
        <w:numPr>
          <w:ilvl w:val="0"/>
          <w:numId w:val="11"/>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Duba</w:t>
      </w:r>
      <w:r w:rsidR="00AB2749">
        <w:rPr>
          <w:rFonts w:eastAsiaTheme="minorEastAsia" w:cs="Times New Roman"/>
          <w:sz w:val="24"/>
          <w:szCs w:val="24"/>
          <w:lang w:eastAsia="lv-LV"/>
        </w:rPr>
        <w:t>i</w:t>
      </w:r>
      <w:r w:rsidRPr="0595A900">
        <w:rPr>
          <w:rFonts w:eastAsiaTheme="minorEastAsia" w:cs="Times New Roman"/>
          <w:sz w:val="24"/>
          <w:szCs w:val="24"/>
          <w:lang w:eastAsia="lv-LV"/>
        </w:rPr>
        <w:t xml:space="preserve">jas metro līnija </w:t>
      </w:r>
      <w:r w:rsidR="00AB2749">
        <w:rPr>
          <w:rFonts w:eastAsiaTheme="minorEastAsia" w:cs="Times New Roman"/>
          <w:sz w:val="24"/>
          <w:szCs w:val="24"/>
          <w:lang w:eastAsia="lv-LV"/>
        </w:rPr>
        <w:t>„</w:t>
      </w:r>
      <w:r w:rsidRPr="0595A900">
        <w:rPr>
          <w:rFonts w:eastAsiaTheme="minorEastAsia" w:cs="Times New Roman"/>
          <w:sz w:val="24"/>
          <w:szCs w:val="24"/>
          <w:lang w:eastAsia="lv-LV"/>
        </w:rPr>
        <w:t xml:space="preserve">Red and Green Metro Lines” </w:t>
      </w:r>
      <w:r w:rsidR="5B6ADDAA" w:rsidRPr="0595A900">
        <w:rPr>
          <w:rFonts w:eastAsiaTheme="minorEastAsia" w:cs="Times New Roman"/>
          <w:sz w:val="24"/>
          <w:szCs w:val="24"/>
          <w:lang w:eastAsia="lv-LV"/>
        </w:rPr>
        <w:t xml:space="preserve"> (A</w:t>
      </w:r>
      <w:r w:rsidR="00BF34C4">
        <w:rPr>
          <w:rFonts w:eastAsiaTheme="minorEastAsia" w:cs="Times New Roman"/>
          <w:sz w:val="24"/>
          <w:szCs w:val="24"/>
          <w:lang w:eastAsia="lv-LV"/>
        </w:rPr>
        <w:t>pvienotie Arābu Emirāti</w:t>
      </w:r>
      <w:r w:rsidR="5B6ADDAA" w:rsidRPr="0595A900">
        <w:rPr>
          <w:rFonts w:eastAsiaTheme="minorEastAsia" w:cs="Times New Roman"/>
          <w:sz w:val="24"/>
          <w:szCs w:val="24"/>
          <w:lang w:eastAsia="lv-LV"/>
        </w:rPr>
        <w:t>).</w:t>
      </w:r>
    </w:p>
    <w:p w14:paraId="67C2393F" w14:textId="633B5BB2" w:rsidR="00351D56" w:rsidRPr="00660EB3" w:rsidRDefault="00351D56" w:rsidP="00911792">
      <w:pPr>
        <w:numPr>
          <w:ilvl w:val="0"/>
          <w:numId w:val="9"/>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Budimex (</w:t>
      </w:r>
      <w:r w:rsidR="00E2071C">
        <w:rPr>
          <w:rFonts w:eastAsiaTheme="minorEastAsia" w:cs="Times New Roman"/>
          <w:b/>
          <w:bCs/>
          <w:sz w:val="24"/>
          <w:szCs w:val="24"/>
          <w:lang w:eastAsia="lv-LV"/>
        </w:rPr>
        <w:t>a</w:t>
      </w:r>
      <w:r w:rsidRPr="00660EB3">
        <w:rPr>
          <w:rFonts w:eastAsiaTheme="minorEastAsia" w:cs="Times New Roman"/>
          <w:b/>
          <w:bCs/>
          <w:sz w:val="24"/>
          <w:szCs w:val="24"/>
          <w:lang w:eastAsia="lv-LV"/>
        </w:rPr>
        <w:t xml:space="preserve">pgrozījums 2022. gadā 1,8 miljardi </w:t>
      </w:r>
      <w:r w:rsidR="002C5510" w:rsidRPr="002C5510">
        <w:rPr>
          <w:rFonts w:eastAsiaTheme="minorEastAsia" w:cs="Times New Roman"/>
          <w:b/>
          <w:bCs/>
          <w:i/>
          <w:sz w:val="24"/>
          <w:szCs w:val="24"/>
          <w:lang w:eastAsia="lv-LV"/>
        </w:rPr>
        <w:t>euro</w:t>
      </w:r>
      <w:r w:rsidRPr="00660EB3">
        <w:rPr>
          <w:rFonts w:eastAsiaTheme="minorEastAsia" w:cs="Times New Roman"/>
          <w:b/>
          <w:bCs/>
          <w:sz w:val="24"/>
          <w:szCs w:val="24"/>
          <w:lang w:eastAsia="lv-LV"/>
        </w:rPr>
        <w:t>; 5000 darbinieku):</w:t>
      </w:r>
    </w:p>
    <w:p w14:paraId="211B1083" w14:textId="77777777" w:rsidR="00351D56" w:rsidRPr="00660EB3" w:rsidRDefault="00351D56" w:rsidP="00911792">
      <w:pPr>
        <w:numPr>
          <w:ilvl w:val="0"/>
          <w:numId w:val="12"/>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Varšavas dzelzceļa stacijas modernizācija;</w:t>
      </w:r>
    </w:p>
    <w:p w14:paraId="26553746" w14:textId="77777777" w:rsidR="00351D56" w:rsidRPr="00660EB3" w:rsidRDefault="00351D56" w:rsidP="00911792">
      <w:pPr>
        <w:numPr>
          <w:ilvl w:val="0"/>
          <w:numId w:val="12"/>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lastRenderedPageBreak/>
        <w:t>E65 dzelzceļa līnijas modernizācijas Polijā;</w:t>
      </w:r>
    </w:p>
    <w:p w14:paraId="67604FD0" w14:textId="464AFEB3" w:rsidR="004A1A91" w:rsidRPr="00B61CDD" w:rsidRDefault="5B6ADDAA" w:rsidP="0595A900">
      <w:pPr>
        <w:numPr>
          <w:ilvl w:val="0"/>
          <w:numId w:val="12"/>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Dzelzceļa līnijas uz Gdiņas ostu modernizācija.</w:t>
      </w:r>
    </w:p>
    <w:p w14:paraId="552AEFD9" w14:textId="77777777" w:rsidR="009B1022" w:rsidRDefault="000D5895" w:rsidP="0595A900">
      <w:pPr>
        <w:spacing w:after="0" w:line="240" w:lineRule="auto"/>
        <w:contextualSpacing/>
        <w:jc w:val="both"/>
        <w:rPr>
          <w:rFonts w:eastAsiaTheme="minorEastAsia" w:cs="Times New Roman"/>
          <w:sz w:val="24"/>
          <w:szCs w:val="24"/>
          <w:lang w:eastAsia="lv-LV"/>
        </w:rPr>
      </w:pPr>
      <w:r w:rsidRPr="00B61CDD">
        <w:rPr>
          <w:rFonts w:eastAsiaTheme="minorEastAsia" w:cs="Times New Roman"/>
          <w:sz w:val="24"/>
          <w:szCs w:val="24"/>
          <w:lang w:eastAsia="lv-LV"/>
        </w:rPr>
        <w:tab/>
      </w:r>
    </w:p>
    <w:p w14:paraId="0EAE59E0" w14:textId="5C99E98C" w:rsidR="00B61CDD" w:rsidRPr="00B61CDD" w:rsidRDefault="00403584" w:rsidP="003F19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2F7431F6" w:rsidRPr="0595A900">
        <w:rPr>
          <w:rFonts w:eastAsiaTheme="minorEastAsia" w:cs="Times New Roman"/>
          <w:sz w:val="24"/>
          <w:szCs w:val="24"/>
          <w:lang w:eastAsia="lv-LV"/>
        </w:rPr>
        <w:t>EDZL</w:t>
      </w:r>
      <w:r w:rsidR="161FE4EB" w:rsidRPr="0595A900">
        <w:rPr>
          <w:rFonts w:eastAsiaTheme="minorEastAsia" w:cs="Times New Roman"/>
          <w:sz w:val="24"/>
          <w:szCs w:val="24"/>
          <w:lang w:eastAsia="lv-LV"/>
        </w:rPr>
        <w:t xml:space="preserve"> pirms </w:t>
      </w:r>
      <w:r w:rsidR="5008D8F0" w:rsidRPr="0595A900">
        <w:rPr>
          <w:rFonts w:eastAsiaTheme="minorEastAsia" w:cs="Times New Roman"/>
          <w:sz w:val="24"/>
          <w:szCs w:val="24"/>
          <w:lang w:eastAsia="lv-LV"/>
        </w:rPr>
        <w:t>I</w:t>
      </w:r>
      <w:r w:rsidR="161FE4EB" w:rsidRPr="0595A900">
        <w:rPr>
          <w:rFonts w:eastAsiaTheme="minorEastAsia" w:cs="Times New Roman"/>
          <w:sz w:val="24"/>
          <w:szCs w:val="24"/>
          <w:lang w:eastAsia="lv-LV"/>
        </w:rPr>
        <w:t xml:space="preserve">epirkuma izsludināšanas veiktās analīzes ietvaros </w:t>
      </w:r>
      <w:r w:rsidR="21EFB11D" w:rsidRPr="0595A900">
        <w:rPr>
          <w:rFonts w:eastAsiaTheme="minorEastAsia" w:cs="Times New Roman"/>
          <w:sz w:val="24"/>
          <w:szCs w:val="24"/>
          <w:lang w:eastAsia="lv-LV"/>
        </w:rPr>
        <w:t>secināja</w:t>
      </w:r>
      <w:r w:rsidR="161FE4EB" w:rsidRPr="0595A900">
        <w:rPr>
          <w:rFonts w:eastAsiaTheme="minorEastAsia" w:cs="Times New Roman"/>
          <w:sz w:val="24"/>
          <w:szCs w:val="24"/>
          <w:lang w:eastAsia="lv-LV"/>
        </w:rPr>
        <w:t>, ka</w:t>
      </w:r>
      <w:r w:rsidR="6AFDA64D" w:rsidRPr="0595A900">
        <w:rPr>
          <w:rFonts w:eastAsiaTheme="minorEastAsia" w:cs="Times New Roman"/>
          <w:sz w:val="24"/>
          <w:szCs w:val="24"/>
          <w:lang w:eastAsia="lv-LV"/>
        </w:rPr>
        <w:t xml:space="preserve"> </w:t>
      </w:r>
      <w:r w:rsidR="5008D8F0" w:rsidRPr="0595A900">
        <w:rPr>
          <w:rFonts w:eastAsiaTheme="minorEastAsia" w:cs="Times New Roman"/>
          <w:sz w:val="24"/>
          <w:szCs w:val="24"/>
          <w:lang w:eastAsia="lv-LV"/>
        </w:rPr>
        <w:t>I</w:t>
      </w:r>
      <w:r w:rsidR="3A3B5802" w:rsidRPr="0595A900">
        <w:rPr>
          <w:rFonts w:eastAsiaTheme="minorEastAsia" w:cs="Times New Roman"/>
          <w:sz w:val="24"/>
          <w:szCs w:val="24"/>
          <w:lang w:eastAsia="lv-LV"/>
        </w:rPr>
        <w:t xml:space="preserve">epirkuma dalīšana lotēs (daļās) </w:t>
      </w:r>
      <w:r w:rsidR="5F1253D6" w:rsidRPr="0595A900">
        <w:rPr>
          <w:rFonts w:eastAsiaTheme="minorEastAsia" w:cs="Times New Roman"/>
          <w:sz w:val="24"/>
          <w:szCs w:val="24"/>
          <w:lang w:eastAsia="lv-LV"/>
        </w:rPr>
        <w:t>sniegtu iespēju</w:t>
      </w:r>
      <w:r w:rsidR="6D72C744" w:rsidRPr="0595A900">
        <w:rPr>
          <w:rFonts w:eastAsiaTheme="minorEastAsia" w:cs="Times New Roman"/>
          <w:sz w:val="24"/>
          <w:szCs w:val="24"/>
          <w:lang w:eastAsia="lv-LV"/>
        </w:rPr>
        <w:t xml:space="preserve"> </w:t>
      </w:r>
      <w:r w:rsidR="6A45D999" w:rsidRPr="0595A900">
        <w:rPr>
          <w:rFonts w:eastAsiaTheme="minorEastAsia" w:cs="Times New Roman"/>
          <w:sz w:val="24"/>
          <w:szCs w:val="24"/>
          <w:lang w:eastAsia="lv-LV"/>
        </w:rPr>
        <w:t>palielināt potenciālo pretendentu skaitu iepirkumā</w:t>
      </w:r>
      <w:r w:rsidR="00460B6E">
        <w:rPr>
          <w:rFonts w:eastAsiaTheme="minorEastAsia" w:cs="Times New Roman"/>
          <w:sz w:val="24"/>
          <w:szCs w:val="24"/>
          <w:lang w:eastAsia="lv-LV"/>
        </w:rPr>
        <w:t>, t</w:t>
      </w:r>
      <w:r w:rsidR="6A45D999" w:rsidRPr="0595A900">
        <w:rPr>
          <w:rFonts w:eastAsiaTheme="minorEastAsia" w:cs="Times New Roman"/>
          <w:sz w:val="24"/>
          <w:szCs w:val="24"/>
          <w:lang w:eastAsia="lv-LV"/>
        </w:rPr>
        <w:t>omēr E</w:t>
      </w:r>
      <w:r w:rsidR="787AB5B7" w:rsidRPr="0595A900">
        <w:rPr>
          <w:rFonts w:eastAsiaTheme="minorEastAsia" w:cs="Times New Roman"/>
          <w:sz w:val="24"/>
          <w:szCs w:val="24"/>
          <w:lang w:eastAsia="lv-LV"/>
        </w:rPr>
        <w:t>D</w:t>
      </w:r>
      <w:r w:rsidR="6A45D999" w:rsidRPr="0595A900">
        <w:rPr>
          <w:rFonts w:eastAsiaTheme="minorEastAsia" w:cs="Times New Roman"/>
          <w:sz w:val="24"/>
          <w:szCs w:val="24"/>
          <w:lang w:eastAsia="lv-LV"/>
        </w:rPr>
        <w:t xml:space="preserve">ZL </w:t>
      </w:r>
      <w:r w:rsidR="31E59D1D" w:rsidRPr="0595A900">
        <w:rPr>
          <w:rFonts w:eastAsiaTheme="minorEastAsia" w:cs="Times New Roman"/>
          <w:sz w:val="24"/>
          <w:szCs w:val="24"/>
          <w:lang w:eastAsia="lv-LV"/>
        </w:rPr>
        <w:t xml:space="preserve">pieņēma lēmumu šādu pieeju </w:t>
      </w:r>
      <w:r w:rsidR="5AF3FD0A" w:rsidRPr="0595A900">
        <w:rPr>
          <w:rFonts w:eastAsiaTheme="minorEastAsia" w:cs="Times New Roman"/>
          <w:sz w:val="24"/>
          <w:szCs w:val="24"/>
          <w:lang w:eastAsia="lv-LV"/>
        </w:rPr>
        <w:t xml:space="preserve">neīstenot </w:t>
      </w:r>
      <w:r w:rsidR="253E77C3" w:rsidRPr="0595A900">
        <w:rPr>
          <w:rFonts w:eastAsiaTheme="minorEastAsia" w:cs="Times New Roman"/>
          <w:sz w:val="24"/>
          <w:szCs w:val="24"/>
          <w:lang w:eastAsia="lv-LV"/>
        </w:rPr>
        <w:t>vairāku apsvērumu dēļ.</w:t>
      </w:r>
    </w:p>
    <w:p w14:paraId="099A1C66" w14:textId="538756A7" w:rsidR="00B61CDD" w:rsidRPr="00B61CDD" w:rsidRDefault="00403584" w:rsidP="003F19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A506623" w:rsidRPr="6075987E">
        <w:rPr>
          <w:rFonts w:eastAsiaTheme="minorEastAsia" w:cs="Times New Roman"/>
          <w:sz w:val="24"/>
          <w:szCs w:val="24"/>
          <w:lang w:eastAsia="lv-LV"/>
        </w:rPr>
        <w:t>Pirmkārt, gan tehniskās optimizācijas iespējas, gan apjomu ekonomija ir ievērojami lielāka viena līguma ietvaros, tostarp, piemēram, iespējas vienam uzņēmējam izmantot viena posma izrakumu materiālu, veidojot uzbērumu citos posmos</w:t>
      </w:r>
      <w:r w:rsidR="603B4885" w:rsidRPr="6075987E">
        <w:rPr>
          <w:rFonts w:eastAsiaTheme="minorEastAsia" w:cs="Times New Roman"/>
          <w:sz w:val="24"/>
          <w:szCs w:val="24"/>
          <w:lang w:eastAsia="lv-LV"/>
        </w:rPr>
        <w:t xml:space="preserve">. Otrkārt, </w:t>
      </w:r>
      <w:r w:rsidR="0A506623" w:rsidRPr="6075987E">
        <w:rPr>
          <w:rFonts w:eastAsiaTheme="minorEastAsia" w:cs="Times New Roman"/>
          <w:sz w:val="24"/>
          <w:szCs w:val="24"/>
          <w:lang w:eastAsia="lv-LV"/>
        </w:rPr>
        <w:t xml:space="preserve">būvprojektu, īpašumu un finansējuma pieejamības prognozes var radīt ievērojamus sarežģījumus nodrošināt pietiekamu </w:t>
      </w:r>
      <w:r w:rsidR="603B4885" w:rsidRPr="6075987E">
        <w:rPr>
          <w:rFonts w:eastAsiaTheme="minorEastAsia" w:cs="Times New Roman"/>
          <w:sz w:val="24"/>
          <w:szCs w:val="24"/>
          <w:lang w:eastAsia="lv-LV"/>
        </w:rPr>
        <w:t>darba apjomu</w:t>
      </w:r>
      <w:r w:rsidR="0A506623" w:rsidRPr="6075987E">
        <w:rPr>
          <w:rFonts w:eastAsiaTheme="minorEastAsia" w:cs="Times New Roman"/>
          <w:sz w:val="24"/>
          <w:szCs w:val="24"/>
          <w:lang w:eastAsia="lv-LV"/>
        </w:rPr>
        <w:t xml:space="preserve"> vairākiem izpildītājiem vairāku līgumu ietvaros</w:t>
      </w:r>
      <w:r w:rsidR="603B4885" w:rsidRPr="6075987E">
        <w:rPr>
          <w:rFonts w:eastAsiaTheme="minorEastAsia" w:cs="Times New Roman"/>
          <w:sz w:val="24"/>
          <w:szCs w:val="24"/>
          <w:lang w:eastAsia="lv-LV"/>
        </w:rPr>
        <w:t>. Treškārt, viena līguma</w:t>
      </w:r>
      <w:r w:rsidR="68B3FBFE" w:rsidRPr="6075987E">
        <w:rPr>
          <w:rFonts w:eastAsiaTheme="minorEastAsia" w:cs="Times New Roman"/>
          <w:sz w:val="24"/>
          <w:szCs w:val="24"/>
          <w:lang w:eastAsia="lv-LV"/>
        </w:rPr>
        <w:t xml:space="preserve"> pieeja nodrošina darba efektivitātes ieguvumus</w:t>
      </w:r>
      <w:r w:rsidR="0A506623" w:rsidRPr="6075987E">
        <w:rPr>
          <w:rFonts w:eastAsiaTheme="minorEastAsia" w:cs="Times New Roman"/>
          <w:sz w:val="24"/>
          <w:szCs w:val="24"/>
          <w:lang w:eastAsia="lv-LV"/>
        </w:rPr>
        <w:t>, kas rastos būvuzņēmējam izmantojot iepriekšējos darbu posmos uzkrāto pieredzi par vietējo specifiku projektu īstenošanā</w:t>
      </w:r>
      <w:r w:rsidR="68B3FBFE" w:rsidRPr="6075987E">
        <w:rPr>
          <w:rFonts w:eastAsiaTheme="minorEastAsia" w:cs="Times New Roman"/>
          <w:sz w:val="24"/>
          <w:szCs w:val="24"/>
          <w:lang w:eastAsia="lv-LV"/>
        </w:rPr>
        <w:t xml:space="preserve">. Ceturtkārt, </w:t>
      </w:r>
      <w:r w:rsidR="0A506623" w:rsidRPr="6075987E">
        <w:rPr>
          <w:rFonts w:eastAsiaTheme="minorEastAsia" w:cs="Times New Roman"/>
          <w:sz w:val="24"/>
          <w:szCs w:val="24"/>
          <w:lang w:eastAsia="lv-LV"/>
        </w:rPr>
        <w:t>projekta īstenošanai laikā nepieciešams būvuzņēmējs ar spēju mobilizēt lielus resursus darba izpildei. Šāda apjoma būvniecības uzņēmumiem nepieciešams prognozējams un plašs darbu sektors, ko iespējams sekmīgāk nodrošināt viena līguma ietvaros</w:t>
      </w:r>
      <w:r w:rsidR="5DE78D33" w:rsidRPr="6075987E">
        <w:rPr>
          <w:rFonts w:eastAsiaTheme="minorEastAsia" w:cs="Times New Roman"/>
          <w:sz w:val="24"/>
          <w:szCs w:val="24"/>
          <w:lang w:eastAsia="lv-LV"/>
        </w:rPr>
        <w:t xml:space="preserve">. Piektkārt, </w:t>
      </w:r>
      <w:r w:rsidR="0A506623" w:rsidRPr="6075987E">
        <w:rPr>
          <w:rFonts w:eastAsiaTheme="minorEastAsia" w:cs="Times New Roman"/>
          <w:sz w:val="24"/>
          <w:szCs w:val="24"/>
          <w:lang w:eastAsia="lv-LV"/>
        </w:rPr>
        <w:t xml:space="preserve">dalot līguma apjomu, vienīgais saprātīgais dalījums darbu īstenošanai būtu divas lotes – dienvidu un ziemeļu (jo sliežu ceļu materiālu piegādei nepieciešama </w:t>
      </w:r>
      <w:r w:rsidR="5116B92B" w:rsidRPr="6075987E">
        <w:rPr>
          <w:rFonts w:eastAsiaTheme="minorEastAsia" w:cs="Times New Roman"/>
          <w:sz w:val="24"/>
          <w:szCs w:val="24"/>
          <w:lang w:eastAsia="lv-LV"/>
        </w:rPr>
        <w:t>infrastruktūras apkopes punkta t</w:t>
      </w:r>
      <w:r w:rsidR="0A506623" w:rsidRPr="6075987E">
        <w:rPr>
          <w:rFonts w:eastAsiaTheme="minorEastAsia" w:cs="Times New Roman"/>
          <w:sz w:val="24"/>
          <w:szCs w:val="24"/>
          <w:lang w:eastAsia="lv-LV"/>
        </w:rPr>
        <w:t xml:space="preserve">eritorija). Projekta attīstības stadija Latvijas ziemeļos nebija gana nobriedusi sekmīgai būvdarbu iepirkuma veikšanai un, pat tad, ja tā tāda būtu, rezultātā </w:t>
      </w:r>
      <w:r w:rsidR="2F7431F6" w:rsidRPr="6075987E">
        <w:rPr>
          <w:rFonts w:eastAsiaTheme="minorEastAsia" w:cs="Times New Roman"/>
          <w:sz w:val="24"/>
          <w:szCs w:val="24"/>
          <w:lang w:eastAsia="lv-LV"/>
        </w:rPr>
        <w:t>EDZL</w:t>
      </w:r>
      <w:r w:rsidR="0A506623" w:rsidRPr="6075987E">
        <w:rPr>
          <w:rFonts w:eastAsiaTheme="minorEastAsia" w:cs="Times New Roman"/>
          <w:sz w:val="24"/>
          <w:szCs w:val="24"/>
          <w:lang w:eastAsia="lv-LV"/>
        </w:rPr>
        <w:t xml:space="preserve"> būtu saistoši divi līgumi, kuri savā starpā konkurētu par pieejamajiem resursiem, kā arī būtu nepieciešams finansēt divu dažādu līgumu augstas kvalifikācijas vadības komandas un FIDIC inženieru komandas, kas palielinātu ar līguma izpildi saistītās izmaksas. Savukārt ziemeļu iepirkuma atlikšana uz vēlāku laiku sarežģītu projekta mērķu sasniegšanu. </w:t>
      </w:r>
      <w:r w:rsidR="724049AF" w:rsidRPr="6075987E">
        <w:rPr>
          <w:rFonts w:eastAsiaTheme="minorEastAsia" w:cs="Times New Roman"/>
          <w:sz w:val="24"/>
          <w:szCs w:val="24"/>
          <w:lang w:eastAsia="lv-LV"/>
        </w:rPr>
        <w:t xml:space="preserve">Visbeidzot, </w:t>
      </w:r>
      <w:r w:rsidR="2143AB4E" w:rsidRPr="6075987E">
        <w:rPr>
          <w:rFonts w:eastAsiaTheme="minorEastAsia" w:cs="Times New Roman"/>
          <w:sz w:val="24"/>
          <w:szCs w:val="24"/>
          <w:lang w:eastAsia="lv-LV"/>
        </w:rPr>
        <w:t>L</w:t>
      </w:r>
      <w:r w:rsidR="0A506623" w:rsidRPr="6075987E">
        <w:rPr>
          <w:rFonts w:eastAsiaTheme="minorEastAsia" w:cs="Times New Roman"/>
          <w:sz w:val="24"/>
          <w:szCs w:val="24"/>
          <w:lang w:eastAsia="lv-LV"/>
        </w:rPr>
        <w:t>īguma</w:t>
      </w:r>
      <w:r w:rsidR="0C1FA459" w:rsidRPr="6075987E">
        <w:rPr>
          <w:rFonts w:eastAsiaTheme="minorEastAsia" w:cs="Times New Roman"/>
          <w:sz w:val="24"/>
          <w:szCs w:val="24"/>
          <w:lang w:eastAsia="lv-LV"/>
        </w:rPr>
        <w:t xml:space="preserve"> kā</w:t>
      </w:r>
      <w:r w:rsidR="0A506623" w:rsidRPr="6075987E">
        <w:rPr>
          <w:rFonts w:eastAsiaTheme="minorEastAsia" w:cs="Times New Roman"/>
          <w:sz w:val="24"/>
          <w:szCs w:val="24"/>
          <w:lang w:eastAsia="lv-LV"/>
        </w:rPr>
        <w:t xml:space="preserve"> </w:t>
      </w:r>
      <w:r w:rsidR="0C1FA459" w:rsidRPr="6075987E">
        <w:rPr>
          <w:rFonts w:eastAsiaTheme="minorEastAsia" w:cs="Times New Roman"/>
          <w:sz w:val="24"/>
          <w:szCs w:val="24"/>
          <w:lang w:eastAsia="lv-LV"/>
        </w:rPr>
        <w:t>„pamatlīguma</w:t>
      </w:r>
      <w:r w:rsidR="0A506623" w:rsidRPr="6075987E">
        <w:rPr>
          <w:rFonts w:eastAsiaTheme="minorEastAsia" w:cs="Times New Roman"/>
          <w:sz w:val="24"/>
          <w:szCs w:val="24"/>
          <w:lang w:eastAsia="lv-LV"/>
        </w:rPr>
        <w:t xml:space="preserve">” struktūra ievērojami samazina riskus, kas saistīti ar viena līguma izvēli – darbi tiek </w:t>
      </w:r>
      <w:r w:rsidR="79246E72" w:rsidRPr="6075987E">
        <w:rPr>
          <w:rFonts w:eastAsiaTheme="minorEastAsia" w:cs="Times New Roman"/>
          <w:sz w:val="24"/>
          <w:szCs w:val="24"/>
          <w:lang w:eastAsia="lv-LV"/>
        </w:rPr>
        <w:t xml:space="preserve"> pasūtīti</w:t>
      </w:r>
      <w:r w:rsidR="0A506623" w:rsidRPr="6075987E">
        <w:rPr>
          <w:rFonts w:eastAsiaTheme="minorEastAsia" w:cs="Times New Roman"/>
          <w:sz w:val="24"/>
          <w:szCs w:val="24"/>
          <w:lang w:eastAsia="lv-LV"/>
        </w:rPr>
        <w:t xml:space="preserve"> katrā no 63 būvatļaujām atsevišķi un sarežģījumu gadījumā </w:t>
      </w:r>
      <w:r w:rsidR="2F7431F6" w:rsidRPr="6075987E">
        <w:rPr>
          <w:rFonts w:eastAsiaTheme="minorEastAsia" w:cs="Times New Roman"/>
          <w:sz w:val="24"/>
          <w:szCs w:val="24"/>
          <w:lang w:eastAsia="lv-LV"/>
        </w:rPr>
        <w:t>EDZL</w:t>
      </w:r>
      <w:r w:rsidR="7E8E7667" w:rsidRPr="6075987E">
        <w:rPr>
          <w:rFonts w:eastAsiaTheme="minorEastAsia" w:cs="Times New Roman"/>
          <w:sz w:val="24"/>
          <w:szCs w:val="24"/>
          <w:lang w:eastAsia="lv-LV"/>
        </w:rPr>
        <w:t xml:space="preserve"> kā </w:t>
      </w:r>
      <w:r w:rsidR="0A506623" w:rsidRPr="6075987E">
        <w:rPr>
          <w:rFonts w:eastAsiaTheme="minorEastAsia" w:cs="Times New Roman"/>
          <w:sz w:val="24"/>
          <w:szCs w:val="24"/>
          <w:lang w:eastAsia="lv-LV"/>
        </w:rPr>
        <w:t xml:space="preserve">pasūtītājam ir tiesības tālākus darbus nepasūtīt. </w:t>
      </w:r>
      <w:r w:rsidR="2298AAA5" w:rsidRPr="6075987E">
        <w:rPr>
          <w:rFonts w:eastAsiaTheme="minorEastAsia" w:cs="Times New Roman"/>
          <w:sz w:val="24"/>
          <w:szCs w:val="24"/>
          <w:lang w:eastAsia="lv-LV"/>
        </w:rPr>
        <w:t>Būtiski ņemt vērā, ka</w:t>
      </w:r>
      <w:r w:rsidR="0A506623" w:rsidRPr="6075987E">
        <w:rPr>
          <w:rFonts w:eastAsiaTheme="minorEastAsia" w:cs="Times New Roman"/>
          <w:sz w:val="24"/>
          <w:szCs w:val="24"/>
          <w:lang w:eastAsia="lv-LV"/>
        </w:rPr>
        <w:t xml:space="preserve"> būvuzņēmēja esamība noslēgta līguma ietvaros CEF finansējuma pieteikumos ievērojami samazina risku pieteiktajai aktivitātei tikt noraidītai, tādejādi samazinot iespējamo risku pēc valsts budžeta </w:t>
      </w:r>
      <w:r w:rsidR="2298AAA5" w:rsidRPr="6075987E">
        <w:rPr>
          <w:rFonts w:eastAsiaTheme="minorEastAsia" w:cs="Times New Roman"/>
          <w:sz w:val="24"/>
          <w:szCs w:val="24"/>
          <w:lang w:eastAsia="lv-LV"/>
        </w:rPr>
        <w:t xml:space="preserve">finansējuma </w:t>
      </w:r>
      <w:r w:rsidR="0A506623" w:rsidRPr="6075987E">
        <w:rPr>
          <w:rFonts w:eastAsiaTheme="minorEastAsia" w:cs="Times New Roman"/>
          <w:sz w:val="24"/>
          <w:szCs w:val="24"/>
          <w:lang w:eastAsia="lv-LV"/>
        </w:rPr>
        <w:t>nepieciešamības.</w:t>
      </w:r>
    </w:p>
    <w:p w14:paraId="137661EA" w14:textId="77399D4B" w:rsidR="004D2AE7" w:rsidRDefault="00403584" w:rsidP="003F19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78D00A71" w:rsidRPr="6075987E">
        <w:rPr>
          <w:rFonts w:eastAsiaTheme="minorEastAsia" w:cs="Times New Roman"/>
          <w:sz w:val="24"/>
          <w:szCs w:val="24"/>
          <w:lang w:eastAsia="lv-LV"/>
        </w:rPr>
        <w:t>Lai gan ED</w:t>
      </w:r>
      <w:r w:rsidR="6636F838" w:rsidRPr="6075987E">
        <w:rPr>
          <w:rFonts w:eastAsiaTheme="minorEastAsia" w:cs="Times New Roman"/>
          <w:sz w:val="24"/>
          <w:szCs w:val="24"/>
          <w:lang w:eastAsia="lv-LV"/>
        </w:rPr>
        <w:t>Z</w:t>
      </w:r>
      <w:r w:rsidR="78D00A71" w:rsidRPr="6075987E">
        <w:rPr>
          <w:rFonts w:eastAsiaTheme="minorEastAsia" w:cs="Times New Roman"/>
          <w:sz w:val="24"/>
          <w:szCs w:val="24"/>
          <w:lang w:eastAsia="lv-LV"/>
        </w:rPr>
        <w:t xml:space="preserve">L minētie argumenti ir pamatoti, jānorāda, ka izvēle </w:t>
      </w:r>
      <w:r w:rsidR="7BB8955E" w:rsidRPr="6075987E">
        <w:rPr>
          <w:rFonts w:eastAsiaTheme="minorEastAsia" w:cs="Times New Roman"/>
          <w:sz w:val="24"/>
          <w:szCs w:val="24"/>
          <w:lang w:eastAsia="lv-LV"/>
        </w:rPr>
        <w:t xml:space="preserve">veikt vienu iepirkumu visas pamattrases būvniecībai </w:t>
      </w:r>
      <w:r w:rsidR="1D8E8EA4" w:rsidRPr="6075987E">
        <w:rPr>
          <w:rFonts w:eastAsiaTheme="minorEastAsia" w:cs="Times New Roman"/>
          <w:sz w:val="24"/>
          <w:szCs w:val="24"/>
          <w:lang w:eastAsia="lv-LV"/>
        </w:rPr>
        <w:t xml:space="preserve">ir </w:t>
      </w:r>
      <w:r w:rsidR="7BB8955E" w:rsidRPr="6075987E">
        <w:rPr>
          <w:rFonts w:eastAsiaTheme="minorEastAsia" w:cs="Times New Roman"/>
          <w:sz w:val="24"/>
          <w:szCs w:val="24"/>
          <w:lang w:eastAsia="lv-LV"/>
        </w:rPr>
        <w:t xml:space="preserve">kritiski vērtējama ar sekojošiem apsvērumiem. </w:t>
      </w:r>
      <w:r w:rsidR="175332AE" w:rsidRPr="6075987E">
        <w:rPr>
          <w:rFonts w:eastAsiaTheme="minorEastAsia" w:cs="Times New Roman"/>
          <w:sz w:val="24"/>
          <w:szCs w:val="24"/>
          <w:lang w:eastAsia="lv-LV"/>
        </w:rPr>
        <w:t>Pirmkārt, lemjot konsolidēt visas Latvijas pamattr</w:t>
      </w:r>
      <w:r w:rsidR="68B5CEB7" w:rsidRPr="6075987E">
        <w:rPr>
          <w:rFonts w:eastAsiaTheme="minorEastAsia" w:cs="Times New Roman"/>
          <w:sz w:val="24"/>
          <w:szCs w:val="24"/>
          <w:lang w:eastAsia="lv-LV"/>
        </w:rPr>
        <w:t>a</w:t>
      </w:r>
      <w:r w:rsidR="175332AE" w:rsidRPr="6075987E">
        <w:rPr>
          <w:rFonts w:eastAsiaTheme="minorEastAsia" w:cs="Times New Roman"/>
          <w:sz w:val="24"/>
          <w:szCs w:val="24"/>
          <w:lang w:eastAsia="lv-LV"/>
        </w:rPr>
        <w:t xml:space="preserve">ses (bez Rīgas daļas) būvniecību vienotā lotē, EDZL nav ievērojis starptautiskā kopuzņēmuma </w:t>
      </w:r>
      <w:r w:rsidR="003524D9">
        <w:rPr>
          <w:rFonts w:eastAsiaTheme="minorEastAsia" w:cs="Times New Roman"/>
          <w:sz w:val="24"/>
          <w:szCs w:val="24"/>
          <w:lang w:eastAsia="lv-LV"/>
        </w:rPr>
        <w:t>RBR</w:t>
      </w:r>
      <w:r w:rsidR="175332AE" w:rsidRPr="6075987E">
        <w:rPr>
          <w:rFonts w:eastAsiaTheme="minorEastAsia" w:cs="Times New Roman"/>
          <w:sz w:val="24"/>
          <w:szCs w:val="24"/>
          <w:lang w:eastAsia="lv-LV"/>
        </w:rPr>
        <w:t xml:space="preserve"> veiktās starptautiskās būvniecības tirgus aptaujas rekomendācijas, tostarp attiecībā uz optimālo būvniecības lotu skaitu, apjomu un tvērumu Latvijā. Ir pamats secināt, ka šim faktoram ir bijusi tieša ietekme uz salīdzinoši zemo pretendentu skaitu šajā </w:t>
      </w:r>
      <w:r w:rsidR="00AB05B0">
        <w:rPr>
          <w:rFonts w:eastAsiaTheme="minorEastAsia" w:cs="Times New Roman"/>
          <w:sz w:val="24"/>
          <w:szCs w:val="24"/>
          <w:lang w:eastAsia="lv-LV"/>
        </w:rPr>
        <w:t>I</w:t>
      </w:r>
      <w:r w:rsidR="175332AE" w:rsidRPr="6075987E">
        <w:rPr>
          <w:rFonts w:eastAsiaTheme="minorEastAsia" w:cs="Times New Roman"/>
          <w:sz w:val="24"/>
          <w:szCs w:val="24"/>
          <w:lang w:eastAsia="lv-LV"/>
        </w:rPr>
        <w:t>epirkumā, kā rezultātā konkursa noslēgumā palicis tikai viens kvalificējams pretendents. Tāpat kritiski vērtējams arī fakts, ka Baltijas valstis nav spējušas vienoties par vienotu pieeju pamatlīnijas būvniecības darbu organizēšanā, tā vietā izvēloties krasi atšķirīgas pieejas, tostarp lotu apjoma un tvēruma kontekstā. Šis fakts, visticamāk, arī mazinājis kvalificētu starptautisko dzelzceļa infrastruktūras būvniecības uzņēmumu interesi.</w:t>
      </w:r>
      <w:r w:rsidR="6D7F2982" w:rsidRPr="6075987E">
        <w:rPr>
          <w:rFonts w:eastAsiaTheme="minorEastAsia" w:cs="Times New Roman"/>
          <w:sz w:val="24"/>
          <w:szCs w:val="24"/>
          <w:lang w:eastAsia="lv-LV"/>
        </w:rPr>
        <w:t xml:space="preserve"> </w:t>
      </w:r>
      <w:r w:rsidR="0220A756" w:rsidRPr="6075987E">
        <w:rPr>
          <w:rFonts w:eastAsiaTheme="minorEastAsia" w:cs="Times New Roman"/>
          <w:sz w:val="24"/>
          <w:szCs w:val="24"/>
          <w:lang w:eastAsia="lv-LV"/>
        </w:rPr>
        <w:t>Otrkārt, viens būvnieks visā pamattrasē palielina riskus, kas saistīti ar konkrētā pretendenta spē</w:t>
      </w:r>
      <w:r w:rsidR="71445D59" w:rsidRPr="6075987E">
        <w:rPr>
          <w:rFonts w:eastAsiaTheme="minorEastAsia" w:cs="Times New Roman"/>
          <w:sz w:val="24"/>
          <w:szCs w:val="24"/>
          <w:lang w:eastAsia="lv-LV"/>
        </w:rPr>
        <w:t>ju</w:t>
      </w:r>
      <w:r w:rsidR="0220A756" w:rsidRPr="6075987E">
        <w:rPr>
          <w:rFonts w:eastAsiaTheme="minorEastAsia" w:cs="Times New Roman"/>
          <w:sz w:val="24"/>
          <w:szCs w:val="24"/>
          <w:lang w:eastAsia="lv-LV"/>
        </w:rPr>
        <w:t xml:space="preserve"> kvalitatīvi un laicīgi veikt pasūtītos </w:t>
      </w:r>
      <w:r w:rsidR="24C2643B" w:rsidRPr="6075987E">
        <w:rPr>
          <w:rFonts w:eastAsiaTheme="minorEastAsia" w:cs="Times New Roman"/>
          <w:sz w:val="24"/>
          <w:szCs w:val="24"/>
          <w:lang w:eastAsia="lv-LV"/>
        </w:rPr>
        <w:t xml:space="preserve">būvdarbus. </w:t>
      </w:r>
      <w:r w:rsidR="77EDCDC3" w:rsidRPr="6075987E">
        <w:rPr>
          <w:rFonts w:eastAsiaTheme="minorEastAsia" w:cs="Times New Roman"/>
          <w:sz w:val="24"/>
          <w:szCs w:val="24"/>
          <w:lang w:eastAsia="lv-LV"/>
        </w:rPr>
        <w:t>Arī</w:t>
      </w:r>
      <w:r w:rsidR="1914C8EA" w:rsidRPr="6075987E">
        <w:rPr>
          <w:rFonts w:eastAsiaTheme="minorEastAsia" w:cs="Times New Roman"/>
          <w:sz w:val="24"/>
          <w:szCs w:val="24"/>
          <w:lang w:eastAsia="lv-LV"/>
        </w:rPr>
        <w:t xml:space="preserve"> iepirkuma forma</w:t>
      </w:r>
      <w:r w:rsidR="1A93F121" w:rsidRPr="6075987E">
        <w:rPr>
          <w:rFonts w:eastAsiaTheme="minorEastAsia" w:cs="Times New Roman"/>
          <w:sz w:val="24"/>
          <w:szCs w:val="24"/>
          <w:lang w:eastAsia="lv-LV"/>
        </w:rPr>
        <w:t xml:space="preserve"> radījusi lielāku nenoteiktību par apakšuzņēmējiem, kas tiks piesaistīti Līguma īstenošanas laikā, kā arī </w:t>
      </w:r>
      <w:r w:rsidR="537F16EA" w:rsidRPr="6075987E">
        <w:rPr>
          <w:rFonts w:eastAsiaTheme="minorEastAsia" w:cs="Times New Roman"/>
          <w:sz w:val="24"/>
          <w:szCs w:val="24"/>
          <w:lang w:eastAsia="lv-LV"/>
        </w:rPr>
        <w:t xml:space="preserve">palielinājusi </w:t>
      </w:r>
      <w:r w:rsidR="1A93F121" w:rsidRPr="6075987E">
        <w:rPr>
          <w:rFonts w:eastAsiaTheme="minorEastAsia" w:cs="Times New Roman"/>
          <w:sz w:val="24"/>
          <w:szCs w:val="24"/>
          <w:lang w:eastAsia="lv-LV"/>
        </w:rPr>
        <w:t xml:space="preserve">riskus, kas saistīti </w:t>
      </w:r>
      <w:r w:rsidR="0035E8E0" w:rsidRPr="6075987E">
        <w:rPr>
          <w:rFonts w:eastAsiaTheme="minorEastAsia" w:cs="Times New Roman"/>
          <w:sz w:val="24"/>
          <w:szCs w:val="24"/>
          <w:lang w:eastAsia="lv-LV"/>
        </w:rPr>
        <w:t>iespējam</w:t>
      </w:r>
      <w:r w:rsidR="7C3F9926" w:rsidRPr="6075987E">
        <w:rPr>
          <w:rFonts w:eastAsiaTheme="minorEastAsia" w:cs="Times New Roman"/>
          <w:sz w:val="24"/>
          <w:szCs w:val="24"/>
          <w:lang w:eastAsia="lv-LV"/>
        </w:rPr>
        <w:t xml:space="preserve">ām aizliegtām vienošanām </w:t>
      </w:r>
      <w:r w:rsidR="1A93F121" w:rsidRPr="6075987E">
        <w:rPr>
          <w:rFonts w:eastAsiaTheme="minorEastAsia" w:cs="Times New Roman"/>
          <w:sz w:val="24"/>
          <w:szCs w:val="24"/>
          <w:lang w:eastAsia="lv-LV"/>
        </w:rPr>
        <w:t xml:space="preserve">būvniecības uzņēmumu </w:t>
      </w:r>
      <w:r w:rsidR="27A7993E" w:rsidRPr="6075987E">
        <w:rPr>
          <w:rFonts w:eastAsiaTheme="minorEastAsia" w:cs="Times New Roman"/>
          <w:sz w:val="24"/>
          <w:szCs w:val="24"/>
          <w:lang w:eastAsia="lv-LV"/>
        </w:rPr>
        <w:t xml:space="preserve">vai piesaistīto apakšuzņēmumu starpā. </w:t>
      </w:r>
      <w:r w:rsidR="20206C45" w:rsidRPr="6075987E">
        <w:rPr>
          <w:rFonts w:eastAsiaTheme="minorEastAsia" w:cs="Times New Roman"/>
          <w:sz w:val="24"/>
          <w:szCs w:val="24"/>
          <w:lang w:eastAsia="lv-LV"/>
        </w:rPr>
        <w:t>Treškārt,</w:t>
      </w:r>
      <w:r w:rsidR="27A7993E" w:rsidRPr="6075987E">
        <w:rPr>
          <w:rFonts w:eastAsiaTheme="minorEastAsia" w:cs="Times New Roman"/>
          <w:sz w:val="24"/>
          <w:szCs w:val="24"/>
          <w:lang w:eastAsia="lv-LV"/>
        </w:rPr>
        <w:t xml:space="preserve"> vienas lotes pieeja </w:t>
      </w:r>
      <w:r w:rsidR="7FF3365E" w:rsidRPr="6075987E">
        <w:rPr>
          <w:rFonts w:eastAsiaTheme="minorEastAsia" w:cs="Times New Roman"/>
          <w:sz w:val="24"/>
          <w:szCs w:val="24"/>
          <w:lang w:eastAsia="lv-LV"/>
        </w:rPr>
        <w:t xml:space="preserve">neļauj </w:t>
      </w:r>
      <w:r w:rsidR="27A7993E" w:rsidRPr="6075987E">
        <w:rPr>
          <w:rFonts w:eastAsiaTheme="minorEastAsia" w:cs="Times New Roman"/>
          <w:sz w:val="24"/>
          <w:szCs w:val="24"/>
          <w:lang w:eastAsia="lv-LV"/>
        </w:rPr>
        <w:t>salīdzināt būvnieka piedāvāto</w:t>
      </w:r>
      <w:r w:rsidR="6F94444B" w:rsidRPr="6075987E">
        <w:rPr>
          <w:rFonts w:eastAsiaTheme="minorEastAsia" w:cs="Times New Roman"/>
          <w:sz w:val="24"/>
          <w:szCs w:val="24"/>
          <w:lang w:eastAsia="lv-LV"/>
        </w:rPr>
        <w:t xml:space="preserve"> līgumcenu ar līdzvērtīgiem piedāvājumiem citās lotēs, kā arī neļaus </w:t>
      </w:r>
      <w:r w:rsidR="19B10453" w:rsidRPr="6075987E">
        <w:rPr>
          <w:rFonts w:eastAsiaTheme="minorEastAsia" w:cs="Times New Roman"/>
          <w:sz w:val="24"/>
          <w:szCs w:val="24"/>
          <w:lang w:eastAsia="lv-LV"/>
        </w:rPr>
        <w:t xml:space="preserve">vērtēt </w:t>
      </w:r>
      <w:r w:rsidR="6F94444B" w:rsidRPr="6075987E">
        <w:rPr>
          <w:rFonts w:eastAsiaTheme="minorEastAsia" w:cs="Times New Roman"/>
          <w:sz w:val="24"/>
          <w:szCs w:val="24"/>
          <w:lang w:eastAsia="lv-LV"/>
        </w:rPr>
        <w:t>būvnieka veikto darbu ieviešanas kval</w:t>
      </w:r>
      <w:r w:rsidR="452E585C" w:rsidRPr="6075987E">
        <w:rPr>
          <w:rFonts w:eastAsiaTheme="minorEastAsia" w:cs="Times New Roman"/>
          <w:sz w:val="24"/>
          <w:szCs w:val="24"/>
          <w:lang w:eastAsia="lv-LV"/>
        </w:rPr>
        <w:t xml:space="preserve">itāti un tempu ar salīdzinošiem objektiem </w:t>
      </w:r>
      <w:r w:rsidR="13D5D321" w:rsidRPr="6075987E">
        <w:rPr>
          <w:rFonts w:eastAsiaTheme="minorEastAsia" w:cs="Times New Roman"/>
          <w:sz w:val="24"/>
          <w:szCs w:val="24"/>
          <w:lang w:eastAsia="lv-LV"/>
        </w:rPr>
        <w:t>būvniecības laikā</w:t>
      </w:r>
      <w:r w:rsidR="47230AFB" w:rsidRPr="6075987E">
        <w:rPr>
          <w:rFonts w:eastAsiaTheme="minorEastAsia" w:cs="Times New Roman"/>
          <w:sz w:val="24"/>
          <w:szCs w:val="24"/>
          <w:lang w:eastAsia="lv-LV"/>
        </w:rPr>
        <w:t>.</w:t>
      </w:r>
    </w:p>
    <w:p w14:paraId="1D7BC7F9" w14:textId="4FF1F267" w:rsidR="11BD3768" w:rsidRPr="004D2AE7" w:rsidRDefault="00403584" w:rsidP="003F19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lastRenderedPageBreak/>
        <w:tab/>
      </w:r>
      <w:r w:rsidR="11BD3768" w:rsidRPr="004D2AE7">
        <w:rPr>
          <w:rFonts w:eastAsiaTheme="minorEastAsia" w:cs="Times New Roman"/>
          <w:sz w:val="24"/>
          <w:szCs w:val="24"/>
          <w:lang w:eastAsia="lv-LV"/>
        </w:rPr>
        <w:t>Secināms, ka</w:t>
      </w:r>
      <w:r w:rsidR="39A0AA2C" w:rsidRPr="004D2AE7">
        <w:rPr>
          <w:rFonts w:eastAsiaTheme="minorEastAsia" w:cs="Times New Roman"/>
          <w:sz w:val="24"/>
          <w:szCs w:val="24"/>
          <w:lang w:eastAsia="lv-LV"/>
        </w:rPr>
        <w:t>,</w:t>
      </w:r>
      <w:r w:rsidR="11BD3768" w:rsidRPr="004D2AE7">
        <w:rPr>
          <w:rFonts w:eastAsiaTheme="minorEastAsia" w:cs="Times New Roman"/>
          <w:sz w:val="24"/>
          <w:szCs w:val="24"/>
          <w:lang w:eastAsia="lv-LV"/>
        </w:rPr>
        <w:t xml:space="preserve"> lai gan </w:t>
      </w:r>
      <w:r w:rsidR="1713E628" w:rsidRPr="004D2AE7">
        <w:rPr>
          <w:rFonts w:eastAsiaTheme="minorEastAsia" w:cs="Times New Roman"/>
          <w:sz w:val="24"/>
          <w:szCs w:val="24"/>
          <w:lang w:eastAsia="lv-LV"/>
        </w:rPr>
        <w:t xml:space="preserve">izvēle veikt kopīgu iepirkumu </w:t>
      </w:r>
      <w:r w:rsidR="7F8BECD6" w:rsidRPr="004D2AE7">
        <w:rPr>
          <w:rFonts w:eastAsiaTheme="minorEastAsia" w:cs="Times New Roman"/>
          <w:sz w:val="24"/>
          <w:szCs w:val="24"/>
          <w:lang w:eastAsia="lv-LV"/>
        </w:rPr>
        <w:t xml:space="preserve">uz visu būvniecības trasi ir pamatota, tā </w:t>
      </w:r>
      <w:r w:rsidR="384D0530" w:rsidRPr="004D2AE7">
        <w:rPr>
          <w:rFonts w:eastAsiaTheme="minorEastAsia" w:cs="Times New Roman"/>
          <w:sz w:val="24"/>
          <w:szCs w:val="24"/>
          <w:lang w:eastAsia="lv-LV"/>
        </w:rPr>
        <w:t>visticamāk samazinājusi potenciālo iepirkuma pretende</w:t>
      </w:r>
      <w:r w:rsidR="1BF5159E" w:rsidRPr="004D2AE7">
        <w:rPr>
          <w:rFonts w:eastAsiaTheme="minorEastAsia" w:cs="Times New Roman"/>
          <w:sz w:val="24"/>
          <w:szCs w:val="24"/>
          <w:lang w:eastAsia="lv-LV"/>
        </w:rPr>
        <w:t>n</w:t>
      </w:r>
      <w:r w:rsidR="384D0530" w:rsidRPr="004D2AE7">
        <w:rPr>
          <w:rFonts w:eastAsiaTheme="minorEastAsia" w:cs="Times New Roman"/>
          <w:sz w:val="24"/>
          <w:szCs w:val="24"/>
          <w:lang w:eastAsia="lv-LV"/>
        </w:rPr>
        <w:t xml:space="preserve">tu skaitu, palielinājusi kopējas iepirkuma izmaksas, kā arī </w:t>
      </w:r>
      <w:r w:rsidR="17AF7656" w:rsidRPr="004D2AE7">
        <w:rPr>
          <w:rFonts w:eastAsiaTheme="minorEastAsia" w:cs="Times New Roman"/>
          <w:sz w:val="24"/>
          <w:szCs w:val="24"/>
          <w:lang w:eastAsia="lv-LV"/>
        </w:rPr>
        <w:t>paaugstinājusi noteiktus projekta ieviešanas riskus.</w:t>
      </w:r>
      <w:r w:rsidR="694969E9" w:rsidRPr="004D2AE7">
        <w:rPr>
          <w:rFonts w:eastAsiaTheme="minorEastAsia" w:cs="Times New Roman"/>
          <w:sz w:val="24"/>
          <w:szCs w:val="24"/>
          <w:lang w:eastAsia="lv-LV"/>
        </w:rPr>
        <w:t xml:space="preserve"> Svarīgi arī, ka</w:t>
      </w:r>
      <w:r w:rsidR="0BDFDAE9" w:rsidRPr="004D2AE7">
        <w:rPr>
          <w:rFonts w:eastAsiaTheme="minorEastAsia" w:cs="Times New Roman"/>
          <w:sz w:val="24"/>
          <w:szCs w:val="24"/>
          <w:lang w:eastAsia="lv-LV"/>
        </w:rPr>
        <w:t>,</w:t>
      </w:r>
      <w:r w:rsidR="7BBE923E" w:rsidRPr="004D2AE7">
        <w:rPr>
          <w:rFonts w:eastAsiaTheme="minorEastAsia" w:cs="Times New Roman"/>
          <w:sz w:val="24"/>
          <w:szCs w:val="24"/>
          <w:lang w:eastAsia="lv-LV"/>
        </w:rPr>
        <w:t xml:space="preserve"> atbilstoši sākotnējiem plāniem</w:t>
      </w:r>
      <w:r w:rsidR="7F5E9BA6" w:rsidRPr="004D2AE7">
        <w:rPr>
          <w:rFonts w:eastAsiaTheme="minorEastAsia" w:cs="Times New Roman"/>
          <w:sz w:val="24"/>
          <w:szCs w:val="24"/>
          <w:lang w:eastAsia="lv-LV"/>
        </w:rPr>
        <w:t>,</w:t>
      </w:r>
      <w:r w:rsidR="7BBE923E" w:rsidRPr="004D2AE7">
        <w:rPr>
          <w:rFonts w:eastAsiaTheme="minorEastAsia" w:cs="Times New Roman"/>
          <w:sz w:val="24"/>
          <w:szCs w:val="24"/>
          <w:lang w:eastAsia="lv-LV"/>
        </w:rPr>
        <w:t xml:space="preserve"> iepirkumu bija plānots pabeigt 2022. gada decembrī, un </w:t>
      </w:r>
      <w:r w:rsidR="694969E9" w:rsidRPr="004D2AE7">
        <w:rPr>
          <w:rFonts w:eastAsiaTheme="minorEastAsia" w:cs="Times New Roman"/>
          <w:sz w:val="24"/>
          <w:szCs w:val="24"/>
          <w:lang w:eastAsia="lv-LV"/>
        </w:rPr>
        <w:t xml:space="preserve">kopumā </w:t>
      </w:r>
      <w:r w:rsidR="0880D8F1" w:rsidRPr="004D2AE7">
        <w:rPr>
          <w:rFonts w:eastAsiaTheme="minorEastAsia" w:cs="Times New Roman"/>
          <w:sz w:val="24"/>
          <w:szCs w:val="24"/>
          <w:lang w:eastAsia="lv-LV"/>
        </w:rPr>
        <w:t>iepirkuma procedūra kavējusies gandrīz par gadu</w:t>
      </w:r>
      <w:r w:rsidR="09CFDBFD" w:rsidRPr="004D2AE7">
        <w:rPr>
          <w:rFonts w:eastAsiaTheme="minorEastAsia" w:cs="Times New Roman"/>
          <w:sz w:val="24"/>
          <w:szCs w:val="24"/>
          <w:lang w:eastAsia="lv-LV"/>
        </w:rPr>
        <w:t>.</w:t>
      </w:r>
    </w:p>
    <w:p w14:paraId="3B0DD751" w14:textId="098A41B4" w:rsidR="00351D56" w:rsidRPr="00B61CDD" w:rsidRDefault="00351D56" w:rsidP="00911792">
      <w:pPr>
        <w:pStyle w:val="ListParagraph"/>
        <w:numPr>
          <w:ilvl w:val="0"/>
          <w:numId w:val="25"/>
        </w:numPr>
        <w:spacing w:before="120" w:after="120"/>
        <w:ind w:left="357" w:hanging="357"/>
        <w:contextualSpacing w:val="0"/>
        <w:jc w:val="center"/>
        <w:rPr>
          <w:rFonts w:eastAsiaTheme="minorEastAsia" w:cs="Times New Roman"/>
          <w:b/>
          <w:szCs w:val="24"/>
          <w:lang w:eastAsia="lv-LV"/>
        </w:rPr>
      </w:pPr>
      <w:r w:rsidRPr="00B61CDD">
        <w:rPr>
          <w:rFonts w:eastAsiaTheme="minorEastAsia" w:cs="Times New Roman"/>
          <w:b/>
          <w:szCs w:val="24"/>
          <w:lang w:eastAsia="lv-LV"/>
        </w:rPr>
        <w:t>Līguma priekšmets un saturs</w:t>
      </w:r>
    </w:p>
    <w:p w14:paraId="239828CC" w14:textId="001CBD9D" w:rsidR="00E8508E" w:rsidRPr="00660EB3" w:rsidRDefault="00351D56"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ab/>
      </w:r>
      <w:r w:rsidRPr="3B945926">
        <w:rPr>
          <w:rFonts w:eastAsiaTheme="minorEastAsia" w:cs="Times New Roman"/>
          <w:sz w:val="24"/>
          <w:szCs w:val="24"/>
          <w:lang w:eastAsia="lv-LV"/>
        </w:rPr>
        <w:t>Līguma priekšmets ir Rail Baltica pamattrases ārpus Rīgas būvdarbi, kas iekļauj sevī dzelzceļa apakšbūvi – uzbērumu, ceļa pārvadus un dzelzceļa virsbūvi – sliežu ceļus u.c. saistīto infrastruktūru. Aptuvenais dzelzceļa trases garums 225</w:t>
      </w:r>
      <w:r w:rsidR="00166809" w:rsidRPr="3B945926">
        <w:rPr>
          <w:rFonts w:eastAsiaTheme="minorEastAsia" w:cs="Times New Roman"/>
          <w:sz w:val="24"/>
          <w:szCs w:val="24"/>
          <w:lang w:eastAsia="lv-LV"/>
        </w:rPr>
        <w:t xml:space="preserve"> līdz </w:t>
      </w:r>
      <w:r w:rsidRPr="3B945926">
        <w:rPr>
          <w:rFonts w:eastAsiaTheme="minorEastAsia" w:cs="Times New Roman"/>
          <w:sz w:val="24"/>
          <w:szCs w:val="24"/>
          <w:lang w:eastAsia="lv-LV"/>
        </w:rPr>
        <w:t>235 km. Minētie darbi ir sadalīti divos reģionos – dienvidu (aptuveni 130</w:t>
      </w:r>
      <w:r w:rsidR="00166809" w:rsidRPr="3B945926">
        <w:rPr>
          <w:rFonts w:eastAsiaTheme="minorEastAsia" w:cs="Times New Roman"/>
          <w:sz w:val="24"/>
          <w:szCs w:val="24"/>
          <w:lang w:eastAsia="lv-LV"/>
        </w:rPr>
        <w:t xml:space="preserve"> </w:t>
      </w:r>
      <w:r w:rsidRPr="3B945926">
        <w:rPr>
          <w:rFonts w:eastAsiaTheme="minorEastAsia" w:cs="Times New Roman"/>
          <w:sz w:val="24"/>
          <w:szCs w:val="24"/>
          <w:lang w:eastAsia="lv-LV"/>
        </w:rPr>
        <w:t>km garumā) un ziemeļu (aptuveni 100 km garumā), kuri savukārt sadalīti īsākos posmos jeb būvatļaujās (garumā</w:t>
      </w:r>
      <w:r w:rsidR="00166809" w:rsidRPr="3B945926">
        <w:rPr>
          <w:rFonts w:eastAsiaTheme="minorEastAsia" w:cs="Times New Roman"/>
          <w:sz w:val="24"/>
          <w:szCs w:val="24"/>
          <w:lang w:eastAsia="lv-LV"/>
        </w:rPr>
        <w:t xml:space="preserve"> </w:t>
      </w:r>
      <w:r w:rsidRPr="3B945926">
        <w:rPr>
          <w:rFonts w:eastAsiaTheme="minorEastAsia" w:cs="Times New Roman"/>
          <w:sz w:val="24"/>
          <w:szCs w:val="24"/>
          <w:lang w:eastAsia="lv-LV"/>
        </w:rPr>
        <w:t>no 1</w:t>
      </w:r>
      <w:r w:rsidR="00166809" w:rsidRPr="3B945926">
        <w:rPr>
          <w:rFonts w:eastAsiaTheme="minorEastAsia" w:cs="Times New Roman"/>
          <w:sz w:val="24"/>
          <w:szCs w:val="24"/>
          <w:lang w:eastAsia="lv-LV"/>
        </w:rPr>
        <w:t xml:space="preserve"> </w:t>
      </w:r>
      <w:r w:rsidRPr="3B945926">
        <w:rPr>
          <w:rFonts w:eastAsiaTheme="minorEastAsia" w:cs="Times New Roman"/>
          <w:sz w:val="24"/>
          <w:szCs w:val="24"/>
          <w:lang w:eastAsia="lv-LV"/>
        </w:rPr>
        <w:t>km līdz 20</w:t>
      </w:r>
      <w:r w:rsidR="00166809" w:rsidRPr="3B945926">
        <w:rPr>
          <w:rFonts w:eastAsiaTheme="minorEastAsia" w:cs="Times New Roman"/>
          <w:sz w:val="24"/>
          <w:szCs w:val="24"/>
          <w:lang w:eastAsia="lv-LV"/>
        </w:rPr>
        <w:t xml:space="preserve"> </w:t>
      </w:r>
      <w:r w:rsidRPr="3B945926">
        <w:rPr>
          <w:rFonts w:eastAsiaTheme="minorEastAsia" w:cs="Times New Roman"/>
          <w:sz w:val="24"/>
          <w:szCs w:val="24"/>
          <w:lang w:eastAsia="lv-LV"/>
        </w:rPr>
        <w:t xml:space="preserve">km). </w:t>
      </w:r>
    </w:p>
    <w:p w14:paraId="1D0A23E2" w14:textId="2C55D0B4" w:rsidR="00351D56" w:rsidRPr="00660EB3" w:rsidRDefault="00E8508E" w:rsidP="638FD9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699E63C9" w:rsidRPr="638FD9FE">
        <w:rPr>
          <w:rFonts w:eastAsiaTheme="minorEastAsia" w:cs="Times New Roman"/>
          <w:sz w:val="24"/>
          <w:szCs w:val="24"/>
          <w:lang w:eastAsia="lv-LV"/>
        </w:rPr>
        <w:t>Tā</w:t>
      </w:r>
      <w:r w:rsidR="41EB241C" w:rsidRPr="638FD9FE">
        <w:rPr>
          <w:rFonts w:eastAsiaTheme="minorEastAsia" w:cs="Times New Roman"/>
          <w:sz w:val="24"/>
          <w:szCs w:val="24"/>
          <w:lang w:eastAsia="lv-LV"/>
        </w:rPr>
        <w:t>p</w:t>
      </w:r>
      <w:r w:rsidR="699E63C9" w:rsidRPr="638FD9FE">
        <w:rPr>
          <w:rFonts w:eastAsiaTheme="minorEastAsia" w:cs="Times New Roman"/>
          <w:sz w:val="24"/>
          <w:szCs w:val="24"/>
          <w:lang w:eastAsia="lv-LV"/>
        </w:rPr>
        <w:t>at efektīvai līgumā paredzēto darbu vadībai ar līgumu tiek paredzēta pastāvīgu komandu iesaiste pēc to mobilizācijas:</w:t>
      </w:r>
    </w:p>
    <w:p w14:paraId="290F4655" w14:textId="77777777" w:rsidR="00351D56" w:rsidRPr="00660EB3" w:rsidRDefault="00351D56" w:rsidP="00911792">
      <w:pPr>
        <w:numPr>
          <w:ilvl w:val="0"/>
          <w:numId w:val="13"/>
        </w:numPr>
        <w:spacing w:after="0" w:line="240" w:lineRule="auto"/>
        <w:ind w:left="1560" w:hanging="306"/>
        <w:contextualSpacing/>
        <w:jc w:val="both"/>
        <w:rPr>
          <w:rFonts w:eastAsiaTheme="minorEastAsia" w:cs="Times New Roman"/>
          <w:sz w:val="24"/>
          <w:szCs w:val="24"/>
          <w:lang w:eastAsia="lv-LV"/>
        </w:rPr>
      </w:pPr>
      <w:r w:rsidRPr="00660EB3">
        <w:rPr>
          <w:rFonts w:eastAsiaTheme="minorEastAsia" w:cs="Times New Roman"/>
          <w:sz w:val="24"/>
          <w:szCs w:val="24"/>
          <w:lang w:eastAsia="lv-LV"/>
        </w:rPr>
        <w:t>Galvenā vadības komanda;</w:t>
      </w:r>
    </w:p>
    <w:p w14:paraId="4A09EB51" w14:textId="77777777" w:rsidR="00351D56" w:rsidRPr="00660EB3" w:rsidRDefault="5B6ADDAA" w:rsidP="0595A900">
      <w:pPr>
        <w:numPr>
          <w:ilvl w:val="0"/>
          <w:numId w:val="13"/>
        </w:numPr>
        <w:spacing w:after="0" w:line="240" w:lineRule="auto"/>
        <w:ind w:left="1560" w:hanging="306"/>
        <w:contextualSpacing/>
        <w:jc w:val="both"/>
        <w:rPr>
          <w:rFonts w:eastAsiaTheme="minorEastAsia" w:cs="Times New Roman"/>
          <w:sz w:val="24"/>
          <w:szCs w:val="24"/>
          <w:lang w:eastAsia="lv-LV"/>
        </w:rPr>
      </w:pPr>
      <w:r w:rsidRPr="0595A900">
        <w:rPr>
          <w:rFonts w:eastAsiaTheme="minorEastAsia" w:cs="Times New Roman"/>
          <w:sz w:val="24"/>
          <w:szCs w:val="24"/>
          <w:lang w:eastAsia="lv-LV"/>
        </w:rPr>
        <w:t>Reģionālās vadības komandas (dienvidu un ziemeļu daļās);</w:t>
      </w:r>
    </w:p>
    <w:p w14:paraId="7995645B" w14:textId="77777777" w:rsidR="00351D56" w:rsidRPr="00660EB3" w:rsidRDefault="00351D56" w:rsidP="00911792">
      <w:pPr>
        <w:numPr>
          <w:ilvl w:val="0"/>
          <w:numId w:val="13"/>
        </w:numPr>
        <w:spacing w:after="0" w:line="240" w:lineRule="auto"/>
        <w:ind w:left="1560" w:hanging="306"/>
        <w:contextualSpacing/>
        <w:jc w:val="both"/>
        <w:rPr>
          <w:rFonts w:eastAsiaTheme="minorEastAsia" w:cs="Times New Roman"/>
          <w:sz w:val="24"/>
          <w:szCs w:val="24"/>
          <w:lang w:eastAsia="lv-LV"/>
        </w:rPr>
      </w:pPr>
      <w:r w:rsidRPr="00660EB3">
        <w:rPr>
          <w:rFonts w:eastAsiaTheme="minorEastAsia" w:cs="Times New Roman"/>
          <w:sz w:val="24"/>
          <w:szCs w:val="24"/>
          <w:lang w:eastAsia="lv-LV"/>
        </w:rPr>
        <w:t>Būvatļauju (posmu) vadības komandas;</w:t>
      </w:r>
    </w:p>
    <w:p w14:paraId="7337E068" w14:textId="78543A15" w:rsidR="00351D56" w:rsidRPr="00660EB3" w:rsidRDefault="5B6ADDAA" w:rsidP="0595A900">
      <w:pPr>
        <w:numPr>
          <w:ilvl w:val="0"/>
          <w:numId w:val="13"/>
        </w:numPr>
        <w:spacing w:after="0" w:line="240" w:lineRule="auto"/>
        <w:ind w:left="1560" w:hanging="306"/>
        <w:contextualSpacing/>
        <w:jc w:val="both"/>
        <w:rPr>
          <w:rFonts w:eastAsiaTheme="minorEastAsia" w:cs="Times New Roman"/>
          <w:sz w:val="24"/>
          <w:szCs w:val="24"/>
          <w:lang w:eastAsia="lv-LV"/>
        </w:rPr>
      </w:pPr>
      <w:r w:rsidRPr="0595A900">
        <w:rPr>
          <w:rFonts w:eastAsiaTheme="minorEastAsia" w:cs="Times New Roman"/>
          <w:sz w:val="24"/>
          <w:szCs w:val="24"/>
          <w:lang w:eastAsia="lv-LV"/>
        </w:rPr>
        <w:t>Dzelzceļa vadības komanda</w:t>
      </w:r>
      <w:r w:rsidR="758BE136" w:rsidRPr="0595A900">
        <w:rPr>
          <w:rFonts w:eastAsiaTheme="minorEastAsia" w:cs="Times New Roman"/>
          <w:sz w:val="24"/>
          <w:szCs w:val="24"/>
          <w:lang w:eastAsia="lv-LV"/>
        </w:rPr>
        <w:t xml:space="preserve"> (</w:t>
      </w:r>
      <w:r w:rsidR="73873A45" w:rsidRPr="0595A900">
        <w:rPr>
          <w:rFonts w:eastAsiaTheme="minorEastAsia" w:cs="Times New Roman"/>
          <w:sz w:val="24"/>
          <w:szCs w:val="24"/>
          <w:lang w:eastAsia="lv-LV"/>
        </w:rPr>
        <w:t>4. posma ieviešana</w:t>
      </w:r>
      <w:r w:rsidR="5738CE7E" w:rsidRPr="0595A900">
        <w:rPr>
          <w:rFonts w:eastAsiaTheme="minorEastAsia" w:cs="Times New Roman"/>
          <w:sz w:val="24"/>
          <w:szCs w:val="24"/>
          <w:lang w:eastAsia="lv-LV"/>
        </w:rPr>
        <w:t xml:space="preserve"> </w:t>
      </w:r>
      <w:r w:rsidR="00D515F1">
        <w:rPr>
          <w:rFonts w:eastAsiaTheme="minorEastAsia" w:cs="Times New Roman"/>
          <w:sz w:val="24"/>
          <w:szCs w:val="24"/>
          <w:lang w:eastAsia="lv-LV"/>
        </w:rPr>
        <w:t>–</w:t>
      </w:r>
      <w:r w:rsidR="73873A45" w:rsidRPr="0595A900">
        <w:rPr>
          <w:rFonts w:eastAsiaTheme="minorEastAsia" w:cs="Times New Roman"/>
          <w:sz w:val="24"/>
          <w:szCs w:val="24"/>
          <w:lang w:eastAsia="lv-LV"/>
        </w:rPr>
        <w:t xml:space="preserve"> dzelzceļa sliežu darbu izbūv</w:t>
      </w:r>
      <w:r w:rsidR="3BB8B8E4" w:rsidRPr="0595A900">
        <w:rPr>
          <w:rFonts w:eastAsiaTheme="minorEastAsia" w:cs="Times New Roman"/>
          <w:sz w:val="24"/>
          <w:szCs w:val="24"/>
          <w:lang w:eastAsia="lv-LV"/>
        </w:rPr>
        <w:t>e).</w:t>
      </w:r>
    </w:p>
    <w:p w14:paraId="41A8DE9B" w14:textId="524530F0" w:rsidR="00351D56" w:rsidRPr="00660EB3" w:rsidRDefault="00351D56"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Būvdarbu veicēja</w:t>
      </w:r>
      <w:r w:rsidR="00166809" w:rsidRPr="00660EB3">
        <w:rPr>
          <w:rFonts w:eastAsiaTheme="minorEastAsia" w:cs="Times New Roman"/>
          <w:sz w:val="24"/>
          <w:szCs w:val="24"/>
          <w:lang w:eastAsia="lv-LV"/>
        </w:rPr>
        <w:t>/</w:t>
      </w:r>
      <w:r w:rsidRPr="00660EB3">
        <w:rPr>
          <w:rFonts w:eastAsiaTheme="minorEastAsia" w:cs="Times New Roman"/>
          <w:sz w:val="24"/>
          <w:szCs w:val="24"/>
          <w:lang w:eastAsia="lv-LV"/>
        </w:rPr>
        <w:t xml:space="preserve">Uzņēmēja līgums izstrādāts, balstoties uz pasaulē atzītās Starptautiskās Inženieru konsultantu federācijas FIDIC līgumu noteikumiem (FIDIC Sarkanā grāmata – jaunākais, 2017. gada izdevums). FIDIC līguma administrēšanai un būvuzraudzības veikšanai </w:t>
      </w:r>
      <w:r w:rsidR="00863453">
        <w:rPr>
          <w:rFonts w:eastAsiaTheme="minorEastAsia" w:cs="Times New Roman"/>
          <w:sz w:val="24"/>
          <w:szCs w:val="24"/>
          <w:lang w:eastAsia="lv-LV"/>
        </w:rPr>
        <w:t>iepirkuma</w:t>
      </w:r>
      <w:r w:rsidR="00863453"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rezultātā ir piesaistīts FIDIC inženieris (FIDIC Baltā grāmata) – Itālijas valstij (Itālijas dzelzceļam </w:t>
      </w:r>
      <w:r w:rsidR="000209A4" w:rsidRPr="00660EB3">
        <w:rPr>
          <w:rFonts w:eastAsiaTheme="minorEastAsia" w:cs="Times New Roman"/>
          <w:sz w:val="24"/>
          <w:szCs w:val="24"/>
          <w:lang w:eastAsia="lv-LV"/>
        </w:rPr>
        <w:t xml:space="preserve">– </w:t>
      </w:r>
      <w:r w:rsidRPr="00660EB3">
        <w:rPr>
          <w:rFonts w:eastAsiaTheme="minorEastAsia" w:cs="Times New Roman"/>
          <w:i/>
          <w:iCs/>
          <w:sz w:val="24"/>
          <w:szCs w:val="24"/>
          <w:lang w:eastAsia="lv-LV"/>
        </w:rPr>
        <w:t>Ferrovie dello Stato Italiane</w:t>
      </w:r>
      <w:r w:rsidRPr="00660EB3">
        <w:rPr>
          <w:rFonts w:eastAsiaTheme="minorEastAsia" w:cs="Times New Roman"/>
          <w:sz w:val="24"/>
          <w:szCs w:val="24"/>
          <w:lang w:eastAsia="lv-LV"/>
        </w:rPr>
        <w:t xml:space="preserve">) piederošs inženierpakalpojumu uzņēmums „Italferr S.p.A.” reģ. Nr. 06770620588 (apgrozījums 270 miljoni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 2125 darbinieki) (turpmāk – Inženieris), ar ko līgums noslēgts 2023. gada 19. jūlijā.</w:t>
      </w:r>
    </w:p>
    <w:p w14:paraId="0670BEA6" w14:textId="77777777" w:rsidR="00351D56" w:rsidRPr="00660EB3" w:rsidRDefault="00351D56"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Būvdarbu veicēja līgums sastāv no:</w:t>
      </w:r>
    </w:p>
    <w:p w14:paraId="2E4E8DB8" w14:textId="77777777" w:rsidR="00351D56" w:rsidRPr="00660EB3" w:rsidRDefault="00351D56" w:rsidP="00911792">
      <w:pPr>
        <w:numPr>
          <w:ilvl w:val="0"/>
          <w:numId w:val="24"/>
        </w:numPr>
        <w:spacing w:after="0" w:line="240" w:lineRule="auto"/>
        <w:ind w:left="1560"/>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FIDIC Sarkanās grāmatas vispārīgajiem noteikumiem, speciālo noteikumu A un B daļām, kā arī administratīvajiem noteikumiem (kopā 124 dokumenti un 1777 lappuses), </w:t>
      </w:r>
    </w:p>
    <w:p w14:paraId="169F9427" w14:textId="77777777" w:rsidR="00351D56" w:rsidRPr="00660EB3" w:rsidRDefault="00351D56" w:rsidP="00911792">
      <w:pPr>
        <w:numPr>
          <w:ilvl w:val="0"/>
          <w:numId w:val="24"/>
        </w:numPr>
        <w:spacing w:after="0" w:line="240" w:lineRule="auto"/>
        <w:ind w:left="1560"/>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finanšu dokumentācijas (kopā 4781 pozīcija), </w:t>
      </w:r>
    </w:p>
    <w:p w14:paraId="03035A83" w14:textId="77777777" w:rsidR="00351D56" w:rsidRPr="00660EB3" w:rsidRDefault="00351D56" w:rsidP="00911792">
      <w:pPr>
        <w:numPr>
          <w:ilvl w:val="0"/>
          <w:numId w:val="24"/>
        </w:numPr>
        <w:spacing w:after="0" w:line="240" w:lineRule="auto"/>
        <w:ind w:left="1560"/>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tehniskās dokumentācijas (kopā 8444 dokumenti), </w:t>
      </w:r>
    </w:p>
    <w:p w14:paraId="32B40BDD" w14:textId="5A044203" w:rsidR="00351D56" w:rsidRPr="00660EB3" w:rsidRDefault="00351D56" w:rsidP="00911792">
      <w:pPr>
        <w:numPr>
          <w:ilvl w:val="0"/>
          <w:numId w:val="24"/>
        </w:numPr>
        <w:spacing w:after="0" w:line="240" w:lineRule="auto"/>
        <w:ind w:left="1560"/>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iepirkuma dokumentācijas un iepirkuma laikā sniegtajiem skaidrojumiem gan no </w:t>
      </w:r>
      <w:r w:rsidR="0074220C">
        <w:rPr>
          <w:rFonts w:eastAsiaTheme="minorEastAsia" w:cs="Times New Roman"/>
          <w:sz w:val="24"/>
          <w:szCs w:val="24"/>
          <w:lang w:eastAsia="lv-LV"/>
        </w:rPr>
        <w:t>EDZL</w:t>
      </w:r>
      <w:r w:rsidRPr="00660EB3">
        <w:rPr>
          <w:rFonts w:eastAsiaTheme="minorEastAsia" w:cs="Times New Roman"/>
          <w:sz w:val="24"/>
          <w:szCs w:val="24"/>
          <w:lang w:eastAsia="lv-LV"/>
        </w:rPr>
        <w:t xml:space="preserve">, gan Uzņēmēja puses (kopā sniegti 659 skaidrojumi). </w:t>
      </w:r>
    </w:p>
    <w:p w14:paraId="4037E093" w14:textId="2AB322FE" w:rsidR="00351D56" w:rsidRPr="00660EB3" w:rsidRDefault="5B6ADDAA" w:rsidP="0595A900">
      <w:pPr>
        <w:tabs>
          <w:tab w:val="left" w:pos="567"/>
        </w:tabs>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Administratīvie noteikumi detalizēti definē līguma administrēšanas kārtību un līguma izpildē pielietojamos mehānismus.</w:t>
      </w:r>
      <w:r w:rsidR="6F4510EE" w:rsidRPr="0595A900">
        <w:rPr>
          <w:rFonts w:eastAsiaTheme="minorEastAsia" w:cs="Times New Roman"/>
          <w:sz w:val="24"/>
          <w:szCs w:val="24"/>
          <w:lang w:eastAsia="lv-LV"/>
        </w:rPr>
        <w:t xml:space="preserve"> Šie mehānismi satur aptuveni 50 dažādās administratīvās procedūras, kas regulē līguma uzbūvi. Šīs procedūras tika izstrādātas spe</w:t>
      </w:r>
      <w:r w:rsidR="22E82554" w:rsidRPr="0595A900">
        <w:rPr>
          <w:rFonts w:eastAsiaTheme="minorEastAsia" w:cs="Times New Roman"/>
          <w:sz w:val="24"/>
          <w:szCs w:val="24"/>
          <w:lang w:eastAsia="lv-LV"/>
        </w:rPr>
        <w:t xml:space="preserve">cifiski šim līgumam, ņemot vērā </w:t>
      </w:r>
      <w:r w:rsidR="71932A53" w:rsidRPr="0595A900">
        <w:rPr>
          <w:rFonts w:eastAsiaTheme="minorEastAsia" w:cs="Times New Roman"/>
          <w:sz w:val="24"/>
          <w:szCs w:val="24"/>
          <w:lang w:eastAsia="lv-LV"/>
        </w:rPr>
        <w:t>Rail Baltica projekta institucionālo un pārvaldības struktūru.</w:t>
      </w:r>
    </w:p>
    <w:p w14:paraId="567737C5" w14:textId="7F9CEBEB" w:rsidR="00E8508E" w:rsidRPr="004A1A91" w:rsidRDefault="00E8508E" w:rsidP="0595A900">
      <w:pPr>
        <w:tabs>
          <w:tab w:val="left" w:pos="567"/>
        </w:tabs>
        <w:spacing w:after="0" w:line="240" w:lineRule="auto"/>
        <w:contextualSpacing/>
        <w:jc w:val="both"/>
        <w:rPr>
          <w:rFonts w:eastAsiaTheme="minorEastAsia" w:cs="Times New Roman"/>
          <w:color w:val="0070C0"/>
          <w:sz w:val="24"/>
          <w:szCs w:val="24"/>
          <w:lang w:eastAsia="lv-LV"/>
        </w:rPr>
      </w:pPr>
      <w:r w:rsidRPr="00660EB3">
        <w:rPr>
          <w:rFonts w:eastAsiaTheme="minorEastAsia" w:cs="Times New Roman"/>
          <w:sz w:val="24"/>
          <w:szCs w:val="24"/>
          <w:lang w:eastAsia="lv-LV"/>
        </w:rPr>
        <w:tab/>
      </w:r>
      <w:r w:rsidR="6B521FEE" w:rsidRPr="0595A900">
        <w:rPr>
          <w:rFonts w:eastAsiaTheme="minorEastAsia" w:cs="Times New Roman"/>
          <w:sz w:val="24"/>
          <w:szCs w:val="24"/>
          <w:lang w:eastAsia="lv-LV"/>
        </w:rPr>
        <w:t>Līgumā nav iekļauti dzelzceļa energoapgādes (ENE) un signalizācijas un vadības (</w:t>
      </w:r>
      <w:r w:rsidR="79017C3F" w:rsidRPr="0595A900">
        <w:rPr>
          <w:rFonts w:eastAsiaTheme="minorEastAsia" w:cs="Times New Roman"/>
          <w:i/>
          <w:iCs/>
          <w:sz w:val="24"/>
          <w:szCs w:val="24"/>
          <w:lang w:eastAsia="lv-LV"/>
        </w:rPr>
        <w:t>Control-Command and Signalling – CCS</w:t>
      </w:r>
      <w:r w:rsidR="6B521FEE" w:rsidRPr="0595A900">
        <w:rPr>
          <w:rFonts w:eastAsiaTheme="minorEastAsia" w:cs="Times New Roman"/>
          <w:sz w:val="24"/>
          <w:szCs w:val="24"/>
          <w:lang w:eastAsia="lv-LV"/>
        </w:rPr>
        <w:t xml:space="preserve">) inženiersistēmu būvdarbi un tos veiks </w:t>
      </w:r>
      <w:r w:rsidR="53B8517C" w:rsidRPr="0595A900">
        <w:rPr>
          <w:rFonts w:eastAsiaTheme="minorEastAsia" w:cs="Times New Roman"/>
          <w:sz w:val="24"/>
          <w:szCs w:val="24"/>
          <w:lang w:eastAsia="lv-LV"/>
        </w:rPr>
        <w:t>RBR</w:t>
      </w:r>
      <w:r w:rsidR="6B521FEE" w:rsidRPr="0595A900">
        <w:rPr>
          <w:rFonts w:eastAsiaTheme="minorEastAsia" w:cs="Times New Roman"/>
          <w:sz w:val="24"/>
          <w:szCs w:val="24"/>
          <w:lang w:eastAsia="lv-LV"/>
        </w:rPr>
        <w:t xml:space="preserve"> noteikti inženiersistēmu būvdarbu veicēji</w:t>
      </w:r>
      <w:r w:rsidR="79017C3F" w:rsidRPr="0595A900">
        <w:rPr>
          <w:rFonts w:eastAsiaTheme="minorEastAsia" w:cs="Times New Roman"/>
          <w:sz w:val="24"/>
          <w:szCs w:val="24"/>
          <w:lang w:eastAsia="lv-LV"/>
        </w:rPr>
        <w:t>. Vienlaikus,</w:t>
      </w:r>
      <w:r w:rsidR="6B521FEE" w:rsidRPr="0595A900">
        <w:rPr>
          <w:rFonts w:eastAsiaTheme="minorEastAsia" w:cs="Times New Roman"/>
          <w:sz w:val="24"/>
          <w:szCs w:val="24"/>
          <w:lang w:eastAsia="lv-LV"/>
        </w:rPr>
        <w:t xml:space="preserve"> no konkrētajiem līgumiem izriet darbi un pienākumi </w:t>
      </w:r>
      <w:r w:rsidR="79017C3F" w:rsidRPr="0595A900">
        <w:rPr>
          <w:rFonts w:eastAsiaTheme="minorEastAsia" w:cs="Times New Roman"/>
          <w:sz w:val="24"/>
          <w:szCs w:val="24"/>
          <w:lang w:eastAsia="lv-LV"/>
        </w:rPr>
        <w:t xml:space="preserve">pušu </w:t>
      </w:r>
      <w:r w:rsidR="6B521FEE" w:rsidRPr="0595A900">
        <w:rPr>
          <w:rFonts w:eastAsiaTheme="minorEastAsia" w:cs="Times New Roman"/>
          <w:sz w:val="24"/>
          <w:szCs w:val="24"/>
          <w:lang w:eastAsia="lv-LV"/>
        </w:rPr>
        <w:t xml:space="preserve">savstarpējās sadarbības </w:t>
      </w:r>
      <w:r w:rsidR="79017C3F" w:rsidRPr="0595A900">
        <w:rPr>
          <w:rFonts w:eastAsiaTheme="minorEastAsia" w:cs="Times New Roman"/>
          <w:sz w:val="24"/>
          <w:szCs w:val="24"/>
          <w:lang w:eastAsia="lv-LV"/>
        </w:rPr>
        <w:t xml:space="preserve">koordinēšanā un </w:t>
      </w:r>
      <w:r w:rsidR="6B521FEE" w:rsidRPr="0595A900">
        <w:rPr>
          <w:rFonts w:eastAsiaTheme="minorEastAsia" w:cs="Times New Roman"/>
          <w:sz w:val="24"/>
          <w:szCs w:val="24"/>
          <w:lang w:eastAsia="lv-LV"/>
        </w:rPr>
        <w:t>vadībā</w:t>
      </w:r>
      <w:r w:rsidR="79017C3F" w:rsidRPr="0595A900">
        <w:rPr>
          <w:rFonts w:eastAsiaTheme="minorEastAsia" w:cs="Times New Roman"/>
          <w:sz w:val="24"/>
          <w:szCs w:val="24"/>
          <w:lang w:eastAsia="lv-LV"/>
        </w:rPr>
        <w:t>,</w:t>
      </w:r>
      <w:r w:rsidR="6B521FEE" w:rsidRPr="0595A900">
        <w:rPr>
          <w:rFonts w:eastAsiaTheme="minorEastAsia" w:cs="Times New Roman"/>
          <w:sz w:val="24"/>
          <w:szCs w:val="24"/>
          <w:lang w:eastAsia="lv-LV"/>
        </w:rPr>
        <w:t xml:space="preserve"> kas</w:t>
      </w:r>
      <w:r w:rsidR="79017C3F" w:rsidRPr="0595A900">
        <w:rPr>
          <w:rFonts w:eastAsiaTheme="minorEastAsia" w:cs="Times New Roman"/>
          <w:sz w:val="24"/>
          <w:szCs w:val="24"/>
          <w:lang w:eastAsia="lv-LV"/>
        </w:rPr>
        <w:t xml:space="preserve"> arī</w:t>
      </w:r>
      <w:r w:rsidR="6B521FEE" w:rsidRPr="0595A900">
        <w:rPr>
          <w:rFonts w:eastAsiaTheme="minorEastAsia" w:cs="Times New Roman"/>
          <w:sz w:val="24"/>
          <w:szCs w:val="24"/>
          <w:lang w:eastAsia="lv-LV"/>
        </w:rPr>
        <w:t xml:space="preserve"> ir definēti Uzņēmēja līgumā ietvertajos administratīvajos noteikumos. Šo būvdarbu veicēju noteikšana tiek veikta pašlaik notiekošajos</w:t>
      </w:r>
      <w:r w:rsidR="79017C3F" w:rsidRPr="0595A900">
        <w:rPr>
          <w:rFonts w:eastAsiaTheme="minorEastAsia" w:cs="Times New Roman"/>
          <w:sz w:val="24"/>
          <w:szCs w:val="24"/>
          <w:lang w:eastAsia="lv-LV"/>
        </w:rPr>
        <w:t xml:space="preserve"> RBR</w:t>
      </w:r>
      <w:r w:rsidR="6B521FEE" w:rsidRPr="0595A900">
        <w:rPr>
          <w:rFonts w:eastAsiaTheme="minorEastAsia" w:cs="Times New Roman"/>
          <w:sz w:val="24"/>
          <w:szCs w:val="24"/>
          <w:lang w:eastAsia="lv-LV"/>
        </w:rPr>
        <w:t xml:space="preserve"> iepirkumos</w:t>
      </w:r>
      <w:r w:rsidR="39F7CF59" w:rsidRPr="0595A900">
        <w:rPr>
          <w:rFonts w:eastAsiaTheme="minorEastAsia" w:cs="Times New Roman"/>
          <w:sz w:val="24"/>
          <w:szCs w:val="24"/>
          <w:lang w:eastAsia="lv-LV"/>
        </w:rPr>
        <w:t xml:space="preserve"> – materiālu iepirkumu un to piegādes </w:t>
      </w:r>
      <w:r w:rsidR="39F7CF59" w:rsidRPr="0595A900">
        <w:rPr>
          <w:rFonts w:eastAsiaTheme="minorEastAsia" w:cs="Times New Roman"/>
          <w:sz w:val="24"/>
          <w:szCs w:val="24"/>
          <w:u w:val="single"/>
          <w:lang w:eastAsia="lv-LV"/>
        </w:rPr>
        <w:t>organizēšana</w:t>
      </w:r>
      <w:r w:rsidR="39F7CF59" w:rsidRPr="0595A900">
        <w:rPr>
          <w:rFonts w:eastAsiaTheme="minorEastAsia" w:cs="Times New Roman"/>
          <w:sz w:val="24"/>
          <w:szCs w:val="24"/>
          <w:lang w:eastAsia="lv-LV"/>
        </w:rPr>
        <w:t xml:space="preserve"> tiek segta no CEF 6 un CEF 9 aktivitātēm „</w:t>
      </w:r>
      <w:r w:rsidR="39F7CF59" w:rsidRPr="0595A900">
        <w:rPr>
          <w:rFonts w:eastAsiaTheme="minorEastAsia" w:cs="Times New Roman"/>
          <w:i/>
          <w:iCs/>
          <w:sz w:val="24"/>
          <w:szCs w:val="24"/>
          <w:lang w:eastAsia="lv-LV"/>
        </w:rPr>
        <w:t>Consolidated supply of construction materials</w:t>
      </w:r>
      <w:r w:rsidR="39F7CF59" w:rsidRPr="0595A900">
        <w:rPr>
          <w:rFonts w:eastAsiaTheme="minorEastAsia" w:cs="Times New Roman"/>
          <w:sz w:val="24"/>
          <w:szCs w:val="24"/>
          <w:lang w:eastAsia="lv-LV"/>
        </w:rPr>
        <w:t>”.</w:t>
      </w:r>
    </w:p>
    <w:p w14:paraId="53DFE992" w14:textId="4B095089" w:rsidR="00E8508E" w:rsidRPr="004A1A91" w:rsidRDefault="41DF3420" w:rsidP="0595A900">
      <w:pPr>
        <w:tabs>
          <w:tab w:val="left" w:pos="567"/>
        </w:tabs>
        <w:spacing w:after="0" w:line="240" w:lineRule="auto"/>
        <w:ind w:firstLine="567"/>
        <w:contextualSpacing/>
        <w:jc w:val="both"/>
        <w:rPr>
          <w:rFonts w:eastAsiaTheme="minorEastAsia" w:cs="Times New Roman"/>
          <w:color w:val="0070C0"/>
          <w:sz w:val="24"/>
          <w:szCs w:val="24"/>
          <w:lang w:eastAsia="lv-LV"/>
        </w:rPr>
      </w:pPr>
      <w:r w:rsidRPr="0595A900">
        <w:rPr>
          <w:rFonts w:eastAsiaTheme="minorEastAsia" w:cs="Times New Roman"/>
          <w:sz w:val="24"/>
          <w:szCs w:val="24"/>
          <w:lang w:eastAsia="lv-LV"/>
        </w:rPr>
        <w:lastRenderedPageBreak/>
        <w:t xml:space="preserve">Saskaņā ar RBR izstrādāto programmu </w:t>
      </w:r>
      <w:r w:rsidRPr="0595A900">
        <w:rPr>
          <w:rFonts w:eastAsiaTheme="minorEastAsia" w:cs="Times New Roman"/>
          <w:i/>
          <w:iCs/>
          <w:sz w:val="24"/>
          <w:szCs w:val="24"/>
          <w:lang w:eastAsia="lv-LV"/>
        </w:rPr>
        <w:t>Delivery Programme 2030</w:t>
      </w:r>
      <w:r w:rsidR="00E8508E" w:rsidRPr="0595A900">
        <w:rPr>
          <w:rStyle w:val="FootnoteReference"/>
          <w:rFonts w:eastAsiaTheme="minorEastAsia" w:cs="Times New Roman"/>
          <w:sz w:val="24"/>
          <w:szCs w:val="24"/>
          <w:lang w:eastAsia="lv-LV"/>
        </w:rPr>
        <w:footnoteReference w:id="5"/>
      </w:r>
      <w:r w:rsidRPr="0595A900">
        <w:rPr>
          <w:rFonts w:eastAsiaTheme="minorEastAsia" w:cs="Times New Roman"/>
          <w:sz w:val="24"/>
          <w:szCs w:val="24"/>
          <w:lang w:eastAsia="lv-LV"/>
        </w:rPr>
        <w:t>, būvprojektēšanas uzsākšana ENE un CCS inženiersistēmām paredzēta 2025.</w:t>
      </w:r>
      <w:r w:rsidR="0AAA86A2" w:rsidRPr="0595A900">
        <w:rPr>
          <w:rFonts w:eastAsiaTheme="minorEastAsia" w:cs="Times New Roman"/>
          <w:sz w:val="24"/>
          <w:szCs w:val="24"/>
          <w:lang w:eastAsia="lv-LV"/>
        </w:rPr>
        <w:t xml:space="preserve"> </w:t>
      </w:r>
      <w:r w:rsidRPr="0595A900">
        <w:rPr>
          <w:rFonts w:eastAsiaTheme="minorEastAsia" w:cs="Times New Roman"/>
          <w:sz w:val="24"/>
          <w:szCs w:val="24"/>
          <w:lang w:eastAsia="lv-LV"/>
        </w:rPr>
        <w:t>gadā, bet būvdarbu uzsākšana 2027.</w:t>
      </w:r>
      <w:r w:rsidR="0AAA86A2" w:rsidRPr="0595A900">
        <w:rPr>
          <w:rFonts w:eastAsiaTheme="minorEastAsia" w:cs="Times New Roman"/>
          <w:sz w:val="24"/>
          <w:szCs w:val="24"/>
          <w:lang w:eastAsia="lv-LV"/>
        </w:rPr>
        <w:t xml:space="preserve"> </w:t>
      </w:r>
      <w:r w:rsidRPr="0595A900">
        <w:rPr>
          <w:rFonts w:eastAsiaTheme="minorEastAsia" w:cs="Times New Roman"/>
          <w:sz w:val="24"/>
          <w:szCs w:val="24"/>
          <w:lang w:eastAsia="lv-LV"/>
        </w:rPr>
        <w:t>gadā (ENE) un 2028. gadā (CCS).</w:t>
      </w:r>
      <w:r w:rsidR="36D14F38" w:rsidRPr="0595A900">
        <w:rPr>
          <w:rFonts w:eastAsiaTheme="minorEastAsia" w:cs="Times New Roman"/>
          <w:sz w:val="24"/>
          <w:szCs w:val="24"/>
          <w:lang w:eastAsia="lv-LV"/>
        </w:rPr>
        <w:t xml:space="preserve"> </w:t>
      </w:r>
      <w:r w:rsidR="60055FA5" w:rsidRPr="0595A900">
        <w:rPr>
          <w:rFonts w:eastAsiaTheme="minorEastAsia" w:cs="Times New Roman"/>
          <w:sz w:val="24"/>
          <w:szCs w:val="24"/>
          <w:lang w:eastAsia="lv-LV"/>
        </w:rPr>
        <w:t>Vēršam uzmanību, ka Līgumā ietvertās prasības</w:t>
      </w:r>
      <w:r w:rsidR="6C7462D7" w:rsidRPr="0595A900">
        <w:rPr>
          <w:rFonts w:eastAsiaTheme="minorEastAsia" w:cs="Times New Roman"/>
          <w:sz w:val="24"/>
          <w:szCs w:val="24"/>
          <w:lang w:eastAsia="lv-LV"/>
        </w:rPr>
        <w:t xml:space="preserve"> attiecībā pret</w:t>
      </w:r>
      <w:r w:rsidR="60055FA5" w:rsidRPr="0595A900">
        <w:rPr>
          <w:rFonts w:eastAsiaTheme="minorEastAsia" w:cs="Times New Roman"/>
          <w:sz w:val="24"/>
          <w:szCs w:val="24"/>
          <w:lang w:eastAsia="lv-LV"/>
        </w:rPr>
        <w:t xml:space="preserve"> RBR</w:t>
      </w:r>
      <w:r w:rsidR="363FF3F5" w:rsidRPr="0595A900">
        <w:rPr>
          <w:rFonts w:eastAsiaTheme="minorEastAsia" w:cs="Times New Roman"/>
          <w:sz w:val="24"/>
          <w:szCs w:val="24"/>
          <w:lang w:eastAsia="lv-LV"/>
        </w:rPr>
        <w:t xml:space="preserve"> projekta ieviešanas funkcijām</w:t>
      </w:r>
      <w:r w:rsidR="30F64CE6" w:rsidRPr="0595A900">
        <w:rPr>
          <w:rFonts w:eastAsiaTheme="minorEastAsia" w:cs="Times New Roman"/>
          <w:sz w:val="24"/>
          <w:szCs w:val="24"/>
          <w:lang w:eastAsia="lv-LV"/>
        </w:rPr>
        <w:t xml:space="preserve"> </w:t>
      </w:r>
      <w:r w:rsidR="60055FA5" w:rsidRPr="0595A900">
        <w:rPr>
          <w:rFonts w:eastAsiaTheme="minorEastAsia" w:cs="Times New Roman"/>
          <w:sz w:val="24"/>
          <w:szCs w:val="24"/>
          <w:lang w:eastAsia="lv-LV"/>
        </w:rPr>
        <w:t xml:space="preserve"> (būvprojektu izstrāde, autoruzraudzība, ENE, CCS, konsolidēto materiālu iepirkums,</w:t>
      </w:r>
      <w:r w:rsidR="724D1350" w:rsidRPr="0595A900">
        <w:rPr>
          <w:rFonts w:eastAsiaTheme="minorEastAsia" w:cs="Times New Roman"/>
          <w:sz w:val="24"/>
          <w:szCs w:val="24"/>
          <w:lang w:eastAsia="lv-LV"/>
        </w:rPr>
        <w:t xml:space="preserve"> darba drošības standarti un procedūra, u.c.) ir izstrādātas ciešā sadarbībā ar Iepirkumā iesaistītajiem RBR speciālistiem un iekļautas Līgumā</w:t>
      </w:r>
      <w:r w:rsidR="31AF6702" w:rsidRPr="0595A900">
        <w:rPr>
          <w:rFonts w:eastAsiaTheme="minorEastAsia" w:cs="Times New Roman"/>
          <w:sz w:val="24"/>
          <w:szCs w:val="24"/>
          <w:lang w:eastAsia="lv-LV"/>
        </w:rPr>
        <w:t xml:space="preserve"> nemainītā veidā pēc RBR speciālistu apstiprinājuma saņemšanas.</w:t>
      </w:r>
    </w:p>
    <w:p w14:paraId="10D7C562" w14:textId="43734406" w:rsidR="00E8508E" w:rsidRPr="00660EB3" w:rsidRDefault="00E8508E"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 xml:space="preserve">Līgumā ir iekļauti vides aizsardzības un ilgstpējīgas būvniecības principi, piemēram, būvniecības tehnikai jāatbilst vismaz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 xml:space="preserve"> V izmešu normai, kā arī būvdarbos tiek izmantoti pārstrādāti materiāli, piemēram, asfalts, stiegrojums u.c.</w:t>
      </w:r>
    </w:p>
    <w:p w14:paraId="6D049BC1" w14:textId="2654CEC7" w:rsidR="006470AF" w:rsidRPr="00660EB3" w:rsidRDefault="006470AF" w:rsidP="00984F01">
      <w:pPr>
        <w:tabs>
          <w:tab w:val="left" w:pos="567"/>
        </w:tabs>
        <w:spacing w:after="0" w:line="240" w:lineRule="auto"/>
        <w:contextualSpacing/>
        <w:jc w:val="both"/>
        <w:rPr>
          <w:rFonts w:cs="Times New Roman"/>
          <w:lang w:eastAsia="lv-LV"/>
        </w:rPr>
      </w:pPr>
      <w:r w:rsidRPr="00660EB3">
        <w:rPr>
          <w:rFonts w:eastAsiaTheme="minorEastAsia" w:cs="Times New Roman"/>
          <w:sz w:val="24"/>
          <w:szCs w:val="24"/>
          <w:lang w:eastAsia="lv-LV"/>
        </w:rPr>
        <w:tab/>
      </w:r>
      <w:r w:rsidR="00E8508E" w:rsidRPr="00660EB3">
        <w:rPr>
          <w:rFonts w:eastAsiaTheme="minorEastAsia" w:cs="Times New Roman"/>
          <w:sz w:val="24"/>
          <w:szCs w:val="24"/>
          <w:lang w:eastAsia="lv-LV"/>
        </w:rPr>
        <w:t>Ņemot vērā Rail Baltica projekta laika grafiku un aktuālo projekta izpildes statusu, līguma izpildei par piemērotu atzīta ietvarlīguma pieeja</w:t>
      </w:r>
      <w:r w:rsidR="00865475" w:rsidRPr="00660EB3">
        <w:rPr>
          <w:rFonts w:eastAsiaTheme="minorEastAsia" w:cs="Times New Roman"/>
          <w:sz w:val="24"/>
          <w:szCs w:val="24"/>
          <w:lang w:eastAsia="lv-LV"/>
        </w:rPr>
        <w:t xml:space="preserve"> (detalizētāka informācija par to </w:t>
      </w:r>
      <w:r w:rsidR="004A090A" w:rsidRPr="00660EB3">
        <w:rPr>
          <w:rFonts w:eastAsiaTheme="minorEastAsia" w:cs="Times New Roman"/>
          <w:sz w:val="24"/>
          <w:szCs w:val="24"/>
          <w:lang w:eastAsia="lv-LV"/>
        </w:rPr>
        <w:t xml:space="preserve">ietverta </w:t>
      </w:r>
      <w:r w:rsidR="005D4B28" w:rsidRPr="00660EB3">
        <w:rPr>
          <w:rFonts w:eastAsiaTheme="minorEastAsia" w:cs="Times New Roman"/>
          <w:sz w:val="24"/>
          <w:szCs w:val="24"/>
          <w:lang w:eastAsia="lv-LV"/>
        </w:rPr>
        <w:t>6</w:t>
      </w:r>
      <w:r w:rsidR="004A090A" w:rsidRPr="00660EB3">
        <w:rPr>
          <w:rFonts w:eastAsiaTheme="minorEastAsia" w:cs="Times New Roman"/>
          <w:sz w:val="24"/>
          <w:szCs w:val="24"/>
          <w:lang w:eastAsia="lv-LV"/>
        </w:rPr>
        <w:t>. nodaļā)</w:t>
      </w:r>
      <w:r w:rsidR="00E8508E" w:rsidRPr="00660EB3">
        <w:rPr>
          <w:rFonts w:eastAsiaTheme="minorEastAsia" w:cs="Times New Roman"/>
          <w:sz w:val="24"/>
          <w:szCs w:val="24"/>
          <w:lang w:eastAsia="lv-LV"/>
        </w:rPr>
        <w:t>, kas pieļauj katru būvatļaujās iekļauto darbu atsevišķu pasūtīšanu</w:t>
      </w:r>
      <w:r w:rsidR="00C55A06" w:rsidRPr="00660EB3">
        <w:rPr>
          <w:rFonts w:eastAsiaTheme="minorEastAsia" w:cs="Times New Roman"/>
          <w:sz w:val="24"/>
          <w:szCs w:val="24"/>
          <w:lang w:eastAsia="lv-LV"/>
        </w:rPr>
        <w:t>, proti, i</w:t>
      </w:r>
      <w:r w:rsidR="00901B68" w:rsidRPr="00660EB3">
        <w:rPr>
          <w:rFonts w:eastAsiaTheme="minorEastAsia" w:cs="Times New Roman"/>
          <w:sz w:val="24"/>
          <w:szCs w:val="24"/>
          <w:lang w:eastAsia="lv-LV"/>
        </w:rPr>
        <w:t xml:space="preserve">evērojot šo principu, būvdarbi katrā no būvatļaujām var tik pasūtīti tikai tad, kad ir nodrošināta </w:t>
      </w:r>
      <w:r w:rsidRPr="00660EB3">
        <w:rPr>
          <w:rFonts w:eastAsiaTheme="minorEastAsia" w:cs="Times New Roman"/>
          <w:sz w:val="24"/>
          <w:szCs w:val="24"/>
          <w:lang w:eastAsia="lv-LV"/>
        </w:rPr>
        <w:t>būvdarbu uzsākšanas priekšnosacījumu</w:t>
      </w:r>
      <w:r w:rsidR="00901B68" w:rsidRPr="00660EB3">
        <w:rPr>
          <w:rFonts w:eastAsiaTheme="minorEastAsia" w:cs="Times New Roman"/>
          <w:sz w:val="24"/>
          <w:szCs w:val="24"/>
          <w:lang w:eastAsia="lv-LV"/>
        </w:rPr>
        <w:t xml:space="preserve"> </w:t>
      </w:r>
      <w:r w:rsidR="00761854" w:rsidRPr="00660EB3">
        <w:rPr>
          <w:rFonts w:eastAsiaTheme="minorEastAsia" w:cs="Times New Roman"/>
          <w:sz w:val="24"/>
          <w:szCs w:val="24"/>
          <w:lang w:eastAsia="lv-LV"/>
        </w:rPr>
        <w:t xml:space="preserve">kumulatīva </w:t>
      </w:r>
      <w:r w:rsidR="00DB421B" w:rsidRPr="00660EB3">
        <w:rPr>
          <w:rFonts w:eastAsiaTheme="minorEastAsia" w:cs="Times New Roman"/>
          <w:sz w:val="24"/>
          <w:szCs w:val="24"/>
          <w:lang w:eastAsia="lv-LV"/>
        </w:rPr>
        <w:t xml:space="preserve">izpilde </w:t>
      </w:r>
      <w:r w:rsidR="00901B68" w:rsidRPr="00660EB3">
        <w:rPr>
          <w:rFonts w:eastAsiaTheme="minorEastAsia" w:cs="Times New Roman"/>
          <w:sz w:val="24"/>
          <w:szCs w:val="24"/>
          <w:lang w:eastAsia="lv-LV"/>
        </w:rPr>
        <w:t>(pieejamība)</w:t>
      </w:r>
      <w:r w:rsidRPr="00660EB3">
        <w:rPr>
          <w:rFonts w:eastAsiaTheme="minorEastAsia" w:cs="Times New Roman"/>
          <w:sz w:val="24"/>
          <w:szCs w:val="24"/>
          <w:lang w:eastAsia="lv-LV"/>
        </w:rPr>
        <w:t>:</w:t>
      </w:r>
    </w:p>
    <w:p w14:paraId="22A82842" w14:textId="77777777" w:rsidR="009D2CAF" w:rsidRPr="00660EB3" w:rsidRDefault="009D2CAF" w:rsidP="00984F01">
      <w:pPr>
        <w:pStyle w:val="ListParagraph"/>
        <w:numPr>
          <w:ilvl w:val="0"/>
          <w:numId w:val="26"/>
        </w:numPr>
        <w:tabs>
          <w:tab w:val="left" w:pos="567"/>
        </w:tabs>
        <w:ind w:left="1560"/>
        <w:rPr>
          <w:rFonts w:eastAsiaTheme="minorEastAsia" w:cs="Times New Roman"/>
          <w:szCs w:val="24"/>
          <w:lang w:eastAsia="lv-LV"/>
        </w:rPr>
      </w:pPr>
      <w:r w:rsidRPr="00660EB3">
        <w:rPr>
          <w:rFonts w:eastAsiaTheme="minorEastAsia" w:cs="Times New Roman"/>
          <w:szCs w:val="24"/>
          <w:lang w:eastAsia="lv-LV"/>
        </w:rPr>
        <w:t>Būvprojekti tiks pabeigti pakāpeniski (būvatļauja pēc būvatļaujas);</w:t>
      </w:r>
    </w:p>
    <w:p w14:paraId="5E7764D5" w14:textId="77777777" w:rsidR="009D2CAF" w:rsidRPr="00660EB3" w:rsidRDefault="009D2CAF" w:rsidP="00984F01">
      <w:pPr>
        <w:pStyle w:val="ListParagraph"/>
        <w:numPr>
          <w:ilvl w:val="0"/>
          <w:numId w:val="26"/>
        </w:numPr>
        <w:tabs>
          <w:tab w:val="left" w:pos="567"/>
        </w:tabs>
        <w:ind w:left="1560"/>
        <w:rPr>
          <w:rFonts w:eastAsiaTheme="minorEastAsia" w:cs="Times New Roman"/>
          <w:szCs w:val="24"/>
          <w:lang w:eastAsia="lv-LV"/>
        </w:rPr>
      </w:pPr>
      <w:r w:rsidRPr="00660EB3">
        <w:rPr>
          <w:rFonts w:eastAsiaTheme="minorEastAsia" w:cs="Times New Roman"/>
          <w:szCs w:val="24"/>
          <w:lang w:eastAsia="lv-LV"/>
        </w:rPr>
        <w:t>Zemju atsavināšana tiks pabeigta pakāpeniski;</w:t>
      </w:r>
    </w:p>
    <w:p w14:paraId="6E7EBD33" w14:textId="186E6723" w:rsidR="009D2CAF" w:rsidRPr="00660EB3" w:rsidRDefault="009D2CAF" w:rsidP="00984F01">
      <w:pPr>
        <w:pStyle w:val="ListParagraph"/>
        <w:numPr>
          <w:ilvl w:val="0"/>
          <w:numId w:val="26"/>
        </w:numPr>
        <w:tabs>
          <w:tab w:val="left" w:pos="567"/>
        </w:tabs>
        <w:ind w:left="1560"/>
        <w:rPr>
          <w:rFonts w:eastAsiaTheme="minorEastAsia" w:cs="Times New Roman"/>
          <w:szCs w:val="24"/>
          <w:lang w:eastAsia="lv-LV"/>
        </w:rPr>
      </w:pPr>
      <w:r w:rsidRPr="00660EB3">
        <w:rPr>
          <w:rFonts w:eastAsiaTheme="minorEastAsia" w:cs="Times New Roman"/>
          <w:szCs w:val="24"/>
          <w:lang w:eastAsia="lv-LV"/>
        </w:rPr>
        <w:t>Pieteikšanās CEF un valsts finansējumam notiek pakāpeniski (gada cikls).</w:t>
      </w:r>
    </w:p>
    <w:p w14:paraId="30293B22" w14:textId="4E4E53E6" w:rsidR="00E8508E" w:rsidRPr="00BA4FD7" w:rsidRDefault="726EA005" w:rsidP="003F1977">
      <w:pPr>
        <w:spacing w:after="0" w:line="240" w:lineRule="auto"/>
        <w:contextualSpacing/>
        <w:jc w:val="both"/>
        <w:rPr>
          <w:rFonts w:eastAsiaTheme="minorEastAsia" w:cs="Times New Roman"/>
          <w:sz w:val="24"/>
          <w:szCs w:val="24"/>
          <w:lang w:eastAsia="lv-LV"/>
        </w:rPr>
      </w:pPr>
      <w:r w:rsidRPr="00BA4FD7">
        <w:rPr>
          <w:rFonts w:eastAsiaTheme="minorEastAsia" w:cs="Times New Roman"/>
          <w:sz w:val="24"/>
          <w:szCs w:val="24"/>
          <w:lang w:eastAsia="lv-LV"/>
        </w:rPr>
        <w:t xml:space="preserve">Ievērojot šo principu, </w:t>
      </w:r>
      <w:r w:rsidR="39601E0B" w:rsidRPr="00BA4FD7">
        <w:rPr>
          <w:rFonts w:eastAsiaTheme="minorEastAsia" w:cs="Times New Roman"/>
          <w:sz w:val="24"/>
          <w:szCs w:val="24"/>
          <w:lang w:eastAsia="lv-LV"/>
        </w:rPr>
        <w:t>darbu pasūtīšana tiek uzsākta pēc</w:t>
      </w:r>
      <w:r w:rsidRPr="00BA4FD7">
        <w:rPr>
          <w:rFonts w:eastAsiaTheme="minorEastAsia" w:cs="Times New Roman"/>
          <w:sz w:val="24"/>
          <w:szCs w:val="24"/>
          <w:lang w:eastAsia="lv-LV"/>
        </w:rPr>
        <w:t xml:space="preserve"> visu </w:t>
      </w:r>
      <w:r w:rsidR="39601E0B" w:rsidRPr="00BA4FD7">
        <w:rPr>
          <w:rFonts w:eastAsiaTheme="minorEastAsia" w:cs="Times New Roman"/>
          <w:sz w:val="24"/>
          <w:szCs w:val="24"/>
          <w:lang w:eastAsia="lv-LV"/>
        </w:rPr>
        <w:t>iepriekšminēto</w:t>
      </w:r>
      <w:r w:rsidRPr="00BA4FD7">
        <w:rPr>
          <w:rFonts w:eastAsiaTheme="minorEastAsia" w:cs="Times New Roman"/>
          <w:sz w:val="24"/>
          <w:szCs w:val="24"/>
          <w:lang w:eastAsia="lv-LV"/>
        </w:rPr>
        <w:t xml:space="preserve"> priekšnosacījumu </w:t>
      </w:r>
      <w:r w:rsidR="39601E0B" w:rsidRPr="00BA4FD7">
        <w:rPr>
          <w:rFonts w:eastAsiaTheme="minorEastAsia" w:cs="Times New Roman"/>
          <w:sz w:val="24"/>
          <w:szCs w:val="24"/>
          <w:lang w:eastAsia="lv-LV"/>
        </w:rPr>
        <w:t>izpildes – sekojoši</w:t>
      </w:r>
      <w:r w:rsidRPr="00BA4FD7">
        <w:rPr>
          <w:rFonts w:eastAsiaTheme="minorEastAsia" w:cs="Times New Roman"/>
          <w:sz w:val="24"/>
          <w:szCs w:val="24"/>
          <w:lang w:eastAsia="lv-LV"/>
        </w:rPr>
        <w:t xml:space="preserve"> abas </w:t>
      </w:r>
      <w:r w:rsidR="39601E0B" w:rsidRPr="00BA4FD7">
        <w:rPr>
          <w:rFonts w:eastAsiaTheme="minorEastAsia" w:cs="Times New Roman"/>
          <w:sz w:val="24"/>
          <w:szCs w:val="24"/>
          <w:lang w:eastAsia="lv-LV"/>
        </w:rPr>
        <w:t xml:space="preserve">līgumslēdzējas </w:t>
      </w:r>
      <w:r w:rsidRPr="00BA4FD7">
        <w:rPr>
          <w:rFonts w:eastAsiaTheme="minorEastAsia" w:cs="Times New Roman"/>
          <w:sz w:val="24"/>
          <w:szCs w:val="24"/>
          <w:lang w:eastAsia="lv-LV"/>
        </w:rPr>
        <w:t xml:space="preserve">puses </w:t>
      </w:r>
      <w:r w:rsidR="0EC2D784" w:rsidRPr="00BA4FD7">
        <w:rPr>
          <w:rFonts w:eastAsiaTheme="minorEastAsia" w:cs="Times New Roman"/>
          <w:sz w:val="24"/>
          <w:szCs w:val="24"/>
          <w:lang w:eastAsia="lv-LV"/>
        </w:rPr>
        <w:t>paraksta</w:t>
      </w:r>
      <w:r w:rsidRPr="00BA4FD7">
        <w:rPr>
          <w:rFonts w:eastAsiaTheme="minorEastAsia" w:cs="Times New Roman"/>
          <w:sz w:val="24"/>
          <w:szCs w:val="24"/>
          <w:lang w:eastAsia="lv-LV"/>
        </w:rPr>
        <w:t xml:space="preserve"> darbu uzsākšanas aktu, tādējādi uzņemoties saistības.</w:t>
      </w:r>
    </w:p>
    <w:p w14:paraId="08762702" w14:textId="77777777" w:rsidR="00B10D9B" w:rsidRPr="00660EB3" w:rsidRDefault="00B10D9B" w:rsidP="00911792">
      <w:pPr>
        <w:pStyle w:val="ListParagraph"/>
        <w:numPr>
          <w:ilvl w:val="0"/>
          <w:numId w:val="25"/>
        </w:numPr>
        <w:spacing w:before="120" w:after="120"/>
        <w:ind w:left="357" w:hanging="357"/>
        <w:contextualSpacing w:val="0"/>
        <w:jc w:val="center"/>
        <w:rPr>
          <w:rFonts w:eastAsiaTheme="minorEastAsia" w:cs="Times New Roman"/>
          <w:b/>
          <w:bCs/>
          <w:szCs w:val="24"/>
          <w:lang w:eastAsia="lv-LV"/>
        </w:rPr>
      </w:pPr>
      <w:r w:rsidRPr="00660EB3">
        <w:rPr>
          <w:rFonts w:eastAsiaTheme="minorEastAsia" w:cs="Times New Roman"/>
          <w:b/>
          <w:bCs/>
          <w:szCs w:val="24"/>
          <w:lang w:eastAsia="lv-LV"/>
        </w:rPr>
        <w:t>Līguma izmaksas un finansējums</w:t>
      </w:r>
    </w:p>
    <w:p w14:paraId="7233F63D" w14:textId="7CD9F18F" w:rsidR="00B10D9B" w:rsidRDefault="31ACFF76" w:rsidP="0595A900">
      <w:pPr>
        <w:pStyle w:val="ListParagraph"/>
        <w:numPr>
          <w:ilvl w:val="1"/>
          <w:numId w:val="25"/>
        </w:numPr>
        <w:ind w:left="788" w:hanging="431"/>
        <w:jc w:val="center"/>
        <w:rPr>
          <w:rFonts w:eastAsiaTheme="minorEastAsia" w:cs="Times New Roman"/>
          <w:b/>
          <w:bCs/>
          <w:lang w:eastAsia="lv-LV"/>
        </w:rPr>
      </w:pPr>
      <w:r w:rsidRPr="0595A900">
        <w:rPr>
          <w:rFonts w:eastAsiaTheme="minorEastAsia" w:cs="Times New Roman"/>
          <w:b/>
          <w:bCs/>
          <w:lang w:eastAsia="lv-LV"/>
        </w:rPr>
        <w:t>Līguma kopējā summa</w:t>
      </w:r>
    </w:p>
    <w:p w14:paraId="3959CAB2" w14:textId="5223BA12" w:rsidR="00B10D9B" w:rsidRDefault="00B10D9B" w:rsidP="007170E9">
      <w:pPr>
        <w:tabs>
          <w:tab w:val="left" w:pos="567"/>
        </w:tabs>
        <w:spacing w:after="0" w:line="240" w:lineRule="auto"/>
        <w:contextualSpacing/>
        <w:jc w:val="both"/>
        <w:rPr>
          <w:rFonts w:eastAsiaTheme="minorEastAsia" w:cs="Times New Roman"/>
          <w:sz w:val="24"/>
          <w:szCs w:val="24"/>
          <w:lang w:eastAsia="lv-LV"/>
        </w:rPr>
      </w:pPr>
    </w:p>
    <w:p w14:paraId="577B87F3" w14:textId="6617DD2C" w:rsidR="00B10D9B" w:rsidRDefault="007170E9" w:rsidP="003F19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761CE48C" w:rsidRPr="638FD9FE">
        <w:rPr>
          <w:rFonts w:eastAsiaTheme="minorEastAsia" w:cs="Times New Roman"/>
          <w:sz w:val="24"/>
          <w:szCs w:val="24"/>
          <w:lang w:eastAsia="lv-LV"/>
        </w:rPr>
        <w:t xml:space="preserve">Kopējā līguma summa 3 698 833 521 </w:t>
      </w:r>
      <w:r w:rsidR="002C5510" w:rsidRPr="002C5510">
        <w:rPr>
          <w:rFonts w:eastAsiaTheme="minorEastAsia" w:cs="Times New Roman"/>
          <w:i/>
          <w:sz w:val="24"/>
          <w:szCs w:val="24"/>
          <w:lang w:eastAsia="lv-LV"/>
        </w:rPr>
        <w:t>euro</w:t>
      </w:r>
      <w:r w:rsidR="761CE48C" w:rsidRPr="638FD9FE">
        <w:rPr>
          <w:rFonts w:eastAsiaTheme="minorEastAsia" w:cs="Times New Roman"/>
          <w:sz w:val="24"/>
          <w:szCs w:val="24"/>
          <w:lang w:eastAsia="lv-LV"/>
        </w:rPr>
        <w:t xml:space="preserve"> ir ietvarlīguma summa un darbu posmi tiks pasūtīti atbilstoši finansējuma pieejamībai – gan CEF, gan valsts līdzfinansējuma ietvaros. </w:t>
      </w:r>
      <w:r w:rsidR="0B4A87D3" w:rsidRPr="638FD9FE">
        <w:rPr>
          <w:rFonts w:eastAsiaTheme="minorEastAsia" w:cs="Times New Roman"/>
          <w:sz w:val="24"/>
          <w:szCs w:val="24"/>
          <w:lang w:eastAsia="lv-LV"/>
        </w:rPr>
        <w:t xml:space="preserve">Līgumā obligāti pasūtāmie darbi sastāda </w:t>
      </w:r>
      <w:r w:rsidR="00C77910">
        <w:rPr>
          <w:rFonts w:eastAsiaTheme="minorEastAsia" w:cs="Times New Roman"/>
          <w:sz w:val="24"/>
          <w:szCs w:val="24"/>
          <w:lang w:eastAsia="lv-LV"/>
        </w:rPr>
        <w:t>četras</w:t>
      </w:r>
      <w:r w:rsidR="2A0D1AAE" w:rsidRPr="638FD9FE">
        <w:rPr>
          <w:rFonts w:eastAsiaTheme="minorEastAsia" w:cs="Times New Roman"/>
          <w:sz w:val="24"/>
          <w:szCs w:val="24"/>
          <w:lang w:eastAsia="lv-LV"/>
        </w:rPr>
        <w:t xml:space="preserve"> būvatļaujas</w:t>
      </w:r>
      <w:r w:rsidR="481AF9D5" w:rsidRPr="638FD9FE">
        <w:rPr>
          <w:rFonts w:eastAsiaTheme="minorEastAsia" w:cs="Times New Roman"/>
          <w:sz w:val="24"/>
          <w:szCs w:val="24"/>
          <w:lang w:eastAsia="lv-LV"/>
        </w:rPr>
        <w:t>, kurām pieejams finansējums</w:t>
      </w:r>
      <w:r w:rsidR="5A1666EF" w:rsidRPr="638FD9FE">
        <w:rPr>
          <w:rFonts w:eastAsia="Times New Roman" w:cs="Times New Roman"/>
          <w:sz w:val="24"/>
          <w:szCs w:val="24"/>
          <w:lang w:val="lv"/>
        </w:rPr>
        <w:t xml:space="preserve"> 116 943 000</w:t>
      </w:r>
      <w:r w:rsidR="4B526494" w:rsidRPr="638FD9FE">
        <w:rPr>
          <w:rFonts w:eastAsia="Times New Roman" w:cs="Times New Roman"/>
          <w:sz w:val="24"/>
          <w:szCs w:val="24"/>
          <w:lang w:val="lv"/>
        </w:rPr>
        <w:t xml:space="preserve"> </w:t>
      </w:r>
      <w:r w:rsidR="002C5510" w:rsidRPr="002C5510">
        <w:rPr>
          <w:rFonts w:eastAsia="Times New Roman" w:cs="Times New Roman"/>
          <w:i/>
          <w:sz w:val="24"/>
          <w:szCs w:val="24"/>
          <w:lang w:val="lv"/>
        </w:rPr>
        <w:t>euro</w:t>
      </w:r>
      <w:r w:rsidR="4B526494" w:rsidRPr="638FD9FE">
        <w:rPr>
          <w:rFonts w:eastAsia="Times New Roman" w:cs="Times New Roman"/>
          <w:sz w:val="24"/>
          <w:szCs w:val="24"/>
          <w:lang w:val="lv"/>
        </w:rPr>
        <w:t xml:space="preserve"> apjomā no CEF8 finansēšanas avota</w:t>
      </w:r>
      <w:r w:rsidR="5A1666EF" w:rsidRPr="6075987E">
        <w:rPr>
          <w:rFonts w:eastAsia="Times New Roman" w:cs="Times New Roman"/>
          <w:sz w:val="24"/>
          <w:szCs w:val="24"/>
          <w:lang w:val="lv"/>
        </w:rPr>
        <w:t>, taču</w:t>
      </w:r>
      <w:r w:rsidR="7377BB75" w:rsidRPr="6075987E">
        <w:rPr>
          <w:rFonts w:eastAsia="Times New Roman" w:cs="Times New Roman"/>
          <w:sz w:val="24"/>
          <w:szCs w:val="24"/>
          <w:lang w:val="lv"/>
        </w:rPr>
        <w:t xml:space="preserve"> kopā</w:t>
      </w:r>
      <w:r w:rsidR="5A1666EF" w:rsidRPr="6075987E">
        <w:rPr>
          <w:rFonts w:eastAsia="Times New Roman" w:cs="Times New Roman"/>
          <w:sz w:val="24"/>
          <w:szCs w:val="24"/>
          <w:lang w:val="lv"/>
        </w:rPr>
        <w:t xml:space="preserve"> šobrīd</w:t>
      </w:r>
      <w:r w:rsidR="2E6F6F5C" w:rsidRPr="6075987E">
        <w:rPr>
          <w:rFonts w:eastAsia="Times New Roman" w:cs="Times New Roman"/>
          <w:sz w:val="24"/>
          <w:szCs w:val="24"/>
          <w:lang w:val="lv"/>
        </w:rPr>
        <w:t xml:space="preserve"> jau ir</w:t>
      </w:r>
      <w:r w:rsidR="5A1666EF" w:rsidRPr="6075987E">
        <w:rPr>
          <w:rFonts w:eastAsia="Times New Roman" w:cs="Times New Roman"/>
          <w:sz w:val="24"/>
          <w:szCs w:val="24"/>
          <w:lang w:val="lv"/>
        </w:rPr>
        <w:t xml:space="preserve"> pieejams finansējums 6 būvatļaujām</w:t>
      </w:r>
      <w:r w:rsidR="3767B80F" w:rsidRPr="638FD9FE">
        <w:rPr>
          <w:rFonts w:eastAsiaTheme="minorEastAsia" w:cs="Times New Roman"/>
          <w:sz w:val="24"/>
          <w:szCs w:val="24"/>
          <w:lang w:eastAsia="lv-LV"/>
        </w:rPr>
        <w:t xml:space="preserve"> </w:t>
      </w:r>
      <w:r w:rsidR="6A93FA22" w:rsidRPr="6075987E">
        <w:rPr>
          <w:sz w:val="24"/>
          <w:szCs w:val="24"/>
        </w:rPr>
        <w:t>165 443 000</w:t>
      </w:r>
      <w:r w:rsidR="3767B80F" w:rsidRPr="638FD9FE">
        <w:rPr>
          <w:rFonts w:eastAsiaTheme="minorEastAsia" w:cs="Times New Roman"/>
          <w:sz w:val="24"/>
          <w:szCs w:val="24"/>
          <w:lang w:eastAsia="lv-LV"/>
        </w:rPr>
        <w:t xml:space="preserve"> </w:t>
      </w:r>
      <w:r w:rsidR="002C5510" w:rsidRPr="002C5510">
        <w:rPr>
          <w:rFonts w:eastAsiaTheme="minorEastAsia" w:cs="Times New Roman"/>
          <w:i/>
          <w:sz w:val="24"/>
          <w:szCs w:val="24"/>
          <w:lang w:eastAsia="lv-LV"/>
        </w:rPr>
        <w:t>euro</w:t>
      </w:r>
      <w:r w:rsidR="3767B80F" w:rsidRPr="638FD9FE">
        <w:rPr>
          <w:rFonts w:eastAsiaTheme="minorEastAsia" w:cs="Times New Roman"/>
          <w:sz w:val="24"/>
          <w:szCs w:val="24"/>
          <w:lang w:eastAsia="lv-LV"/>
        </w:rPr>
        <w:t xml:space="preserve"> </w:t>
      </w:r>
      <w:r w:rsidR="2F89F56D" w:rsidRPr="638FD9FE">
        <w:rPr>
          <w:rFonts w:eastAsiaTheme="minorEastAsia" w:cs="Times New Roman"/>
          <w:sz w:val="24"/>
          <w:szCs w:val="24"/>
          <w:lang w:eastAsia="lv-LV"/>
        </w:rPr>
        <w:t>apmērā</w:t>
      </w:r>
      <w:r w:rsidR="0E10E28E" w:rsidRPr="638FD9FE">
        <w:rPr>
          <w:rFonts w:eastAsiaTheme="minorEastAsia" w:cs="Times New Roman"/>
          <w:sz w:val="24"/>
          <w:szCs w:val="24"/>
          <w:lang w:eastAsia="lv-LV"/>
        </w:rPr>
        <w:t>.</w:t>
      </w:r>
      <w:r w:rsidR="70CC4B64" w:rsidRPr="638FD9FE">
        <w:rPr>
          <w:rFonts w:eastAsiaTheme="minorEastAsia" w:cs="Times New Roman"/>
          <w:sz w:val="24"/>
          <w:szCs w:val="24"/>
          <w:lang w:eastAsia="lv-LV"/>
        </w:rPr>
        <w:t xml:space="preserve"> </w:t>
      </w:r>
      <w:r w:rsidR="007329AE" w:rsidRPr="638FD9FE">
        <w:rPr>
          <w:rFonts w:eastAsiaTheme="minorEastAsia" w:cs="Times New Roman"/>
          <w:sz w:val="24"/>
          <w:szCs w:val="24"/>
          <w:lang w:eastAsia="lv-LV"/>
        </w:rPr>
        <w:t>Līgumā</w:t>
      </w:r>
      <w:r w:rsidR="761CE48C" w:rsidRPr="638FD9FE">
        <w:rPr>
          <w:rFonts w:eastAsiaTheme="minorEastAsia" w:cs="Times New Roman"/>
          <w:sz w:val="24"/>
          <w:szCs w:val="24"/>
          <w:lang w:eastAsia="lv-LV"/>
        </w:rPr>
        <w:t xml:space="preserve"> ietvertie darbu apjomi balstīti uz RBR projektēšanas konsultantu (projektētāju) sniegtajiem datiem iepirkuma laikā, kuriem veikts turpmāks ekspertu izvērtējums.</w:t>
      </w:r>
    </w:p>
    <w:p w14:paraId="50289A44" w14:textId="3C8CC0BE" w:rsidR="2827E58F" w:rsidRDefault="007170E9" w:rsidP="003F19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2827E58F" w:rsidRPr="6075987E">
        <w:rPr>
          <w:rFonts w:eastAsiaTheme="minorEastAsia" w:cs="Times New Roman"/>
          <w:sz w:val="24"/>
          <w:szCs w:val="24"/>
          <w:lang w:eastAsia="lv-LV"/>
        </w:rPr>
        <w:t xml:space="preserve">Vienlaikus vēršam uzmanību, ka iepirkuma procedūras ietvaros veiktās sarunu procedūras rezultātā Uzņēmēja sākotnējā piedāvājuma kopējā Līguma summa samazinājās par aptuveni 9,8%, t.i., par aptuveni 400 miljoniem </w:t>
      </w:r>
      <w:r w:rsidR="002C5510" w:rsidRPr="002C5510">
        <w:rPr>
          <w:rFonts w:eastAsiaTheme="minorEastAsia" w:cs="Times New Roman"/>
          <w:i/>
          <w:sz w:val="24"/>
          <w:szCs w:val="24"/>
          <w:lang w:eastAsia="lv-LV"/>
        </w:rPr>
        <w:t>euro</w:t>
      </w:r>
      <w:r w:rsidR="2827E58F" w:rsidRPr="6075987E">
        <w:rPr>
          <w:rFonts w:eastAsiaTheme="minorEastAsia" w:cs="Times New Roman"/>
          <w:sz w:val="24"/>
          <w:szCs w:val="24"/>
          <w:lang w:eastAsia="lv-LV"/>
        </w:rPr>
        <w:t>. Izmaksas primāri tika ietaupītas balstoties uz sarunu procedūrā sniegtajiem precizējumiem par risku sadalījumu būvniecības laikā, kas ļāva pretendentam samazināt apdrošināšanas izdevumus, kā arī diskusijām par atsevišķu vienību izcenojumu Līgumā.</w:t>
      </w:r>
    </w:p>
    <w:p w14:paraId="36B14852" w14:textId="5068B0E7" w:rsidR="00B10D9B" w:rsidRDefault="00C76CB1" w:rsidP="1CD86B6D">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07170E9" w:rsidRPr="1CD86B6D">
        <w:rPr>
          <w:rFonts w:eastAsiaTheme="minorEastAsia" w:cs="Times New Roman"/>
          <w:sz w:val="24"/>
          <w:szCs w:val="24"/>
          <w:lang w:eastAsia="lv-LV"/>
        </w:rPr>
        <w:t xml:space="preserve">Atbilstoši 2021. gada veiktajām aplēsēm par projekta izmaksām, pamattrases izmaksas bija plānotas </w:t>
      </w:r>
      <w:r w:rsidR="007170E9" w:rsidRPr="1CD86B6D">
        <w:rPr>
          <w:rFonts w:eastAsiaTheme="minorEastAsia" w:cs="Times New Roman"/>
          <w:sz w:val="24"/>
          <w:szCs w:val="24"/>
          <w:lang w:val="lv" w:eastAsia="lv-LV"/>
        </w:rPr>
        <w:t xml:space="preserve">3 272 268 </w:t>
      </w:r>
      <w:r w:rsidR="007170E9" w:rsidRPr="001D5E77">
        <w:rPr>
          <w:rFonts w:eastAsiaTheme="minorEastAsia" w:cs="Times New Roman"/>
          <w:i/>
          <w:iCs/>
          <w:sz w:val="24"/>
          <w:szCs w:val="24"/>
          <w:lang w:val="lv" w:eastAsia="lv-LV"/>
        </w:rPr>
        <w:t>536</w:t>
      </w:r>
      <w:r w:rsidR="007170E9" w:rsidRPr="1CD86B6D">
        <w:rPr>
          <w:rFonts w:eastAsiaTheme="minorEastAsia" w:cs="Times New Roman"/>
          <w:sz w:val="24"/>
          <w:szCs w:val="24"/>
          <w:lang w:eastAsia="lv-LV"/>
        </w:rPr>
        <w:t xml:space="preserve"> </w:t>
      </w:r>
      <w:r w:rsidR="004C6428">
        <w:rPr>
          <w:rFonts w:eastAsiaTheme="minorEastAsia" w:cs="Times New Roman"/>
          <w:i/>
          <w:iCs/>
          <w:sz w:val="24"/>
          <w:szCs w:val="24"/>
          <w:lang w:eastAsia="lv-LV"/>
        </w:rPr>
        <w:t>euro</w:t>
      </w:r>
      <w:r w:rsidR="007170E9" w:rsidRPr="1CD86B6D">
        <w:rPr>
          <w:rFonts w:eastAsiaTheme="minorEastAsia" w:cs="Times New Roman"/>
          <w:sz w:val="24"/>
          <w:szCs w:val="24"/>
          <w:lang w:eastAsia="lv-LV"/>
        </w:rPr>
        <w:t xml:space="preserve"> apmērā bez indeksācijas un PVN. Tomēr balstoties uz RBR veikto jaunāko projekta izmaksu-ieguvumu analīzi, kas aktualizēta 2023.</w:t>
      </w:r>
      <w:r w:rsidR="00F46AB9" w:rsidRPr="1CD86B6D">
        <w:rPr>
          <w:rFonts w:eastAsiaTheme="minorEastAsia" w:cs="Times New Roman"/>
          <w:sz w:val="24"/>
          <w:szCs w:val="24"/>
          <w:lang w:eastAsia="lv-LV"/>
        </w:rPr>
        <w:t xml:space="preserve"> </w:t>
      </w:r>
      <w:r w:rsidR="007170E9" w:rsidRPr="1CD86B6D">
        <w:rPr>
          <w:rFonts w:eastAsiaTheme="minorEastAsia" w:cs="Times New Roman"/>
          <w:sz w:val="24"/>
          <w:szCs w:val="24"/>
          <w:lang w:eastAsia="lv-LV"/>
        </w:rPr>
        <w:t xml:space="preserve">gadā (turpmāk - IIA), pilna </w:t>
      </w:r>
      <w:r w:rsidR="007170E9" w:rsidRPr="1CD86B6D">
        <w:rPr>
          <w:rFonts w:eastAsiaTheme="minorEastAsia" w:cs="Times New Roman"/>
          <w:sz w:val="24"/>
          <w:szCs w:val="24"/>
          <w:lang w:eastAsia="lv-LV"/>
        </w:rPr>
        <w:lastRenderedPageBreak/>
        <w:t xml:space="preserve">tvēruma Rail Baltica pamattrases būvniecības izmaksas Latvijā ir aplēstas kā </w:t>
      </w:r>
      <w:r w:rsidR="007170E9" w:rsidRPr="1CD86B6D">
        <w:rPr>
          <w:rFonts w:eastAsiaTheme="minorEastAsia" w:cs="Times New Roman"/>
          <w:b/>
          <w:bCs/>
          <w:sz w:val="24"/>
          <w:szCs w:val="24"/>
          <w:lang w:eastAsia="lv-LV"/>
        </w:rPr>
        <w:t>6,243 miljardi EUR</w:t>
      </w:r>
      <w:r w:rsidRPr="1CD86B6D">
        <w:rPr>
          <w:rStyle w:val="FootnoteReference"/>
          <w:rFonts w:eastAsiaTheme="minorEastAsia" w:cs="Times New Roman"/>
          <w:b/>
          <w:bCs/>
          <w:sz w:val="24"/>
          <w:szCs w:val="24"/>
          <w:lang w:eastAsia="lv-LV"/>
        </w:rPr>
        <w:footnoteReference w:id="6"/>
      </w:r>
      <w:r w:rsidR="007170E9" w:rsidRPr="1CD86B6D">
        <w:rPr>
          <w:rFonts w:eastAsiaTheme="minorEastAsia" w:cs="Times New Roman"/>
          <w:sz w:val="24"/>
          <w:szCs w:val="24"/>
          <w:lang w:eastAsia="lv-LV"/>
        </w:rPr>
        <w:t xml:space="preserve">. </w:t>
      </w:r>
      <w:r w:rsidR="14BB1B36" w:rsidRPr="1CD86B6D">
        <w:rPr>
          <w:rFonts w:eastAsiaTheme="minorEastAsia" w:cs="Times New Roman"/>
          <w:sz w:val="24"/>
          <w:szCs w:val="24"/>
          <w:lang w:eastAsia="lv-LV"/>
        </w:rPr>
        <w:t>Jāņem vērā, ka IIA pašlaik vēl ir izstrādes stadijā un tiks pabeigta 2024.</w:t>
      </w:r>
      <w:r w:rsidR="00EE14CE">
        <w:rPr>
          <w:rFonts w:eastAsiaTheme="minorEastAsia" w:cs="Times New Roman"/>
          <w:sz w:val="24"/>
          <w:szCs w:val="24"/>
          <w:lang w:eastAsia="lv-LV"/>
        </w:rPr>
        <w:t xml:space="preserve"> </w:t>
      </w:r>
      <w:r w:rsidR="14BB1B36" w:rsidRPr="1CD86B6D">
        <w:rPr>
          <w:rFonts w:eastAsiaTheme="minorEastAsia" w:cs="Times New Roman"/>
          <w:sz w:val="24"/>
          <w:szCs w:val="24"/>
          <w:lang w:eastAsia="lv-LV"/>
        </w:rPr>
        <w:t xml:space="preserve">gada sākumā. Vienlaikus, </w:t>
      </w:r>
      <w:r w:rsidR="1C514352" w:rsidRPr="1CD86B6D">
        <w:rPr>
          <w:rFonts w:eastAsiaTheme="minorEastAsia" w:cs="Times New Roman"/>
          <w:sz w:val="24"/>
          <w:szCs w:val="24"/>
          <w:lang w:eastAsia="lv-LV"/>
        </w:rPr>
        <w:t>ņ</w:t>
      </w:r>
      <w:r w:rsidR="6A2295EB" w:rsidRPr="1CD86B6D">
        <w:rPr>
          <w:rFonts w:eastAsiaTheme="minorEastAsia" w:cs="Times New Roman"/>
          <w:sz w:val="24"/>
          <w:szCs w:val="24"/>
          <w:lang w:eastAsia="lv-LV"/>
        </w:rPr>
        <w:t xml:space="preserve">emot vērā, ka šīs </w:t>
      </w:r>
      <w:r w:rsidRPr="1CD86B6D">
        <w:rPr>
          <w:rFonts w:eastAsiaTheme="minorEastAsia" w:cs="Times New Roman"/>
          <w:sz w:val="24"/>
          <w:szCs w:val="24"/>
          <w:lang w:eastAsia="lv-LV"/>
        </w:rPr>
        <w:t>a</w:t>
      </w:r>
      <w:r w:rsidR="397A4F60" w:rsidRPr="1CD86B6D">
        <w:rPr>
          <w:rFonts w:eastAsiaTheme="minorEastAsia" w:cs="Times New Roman"/>
          <w:sz w:val="24"/>
          <w:szCs w:val="24"/>
          <w:lang w:eastAsia="lv-LV"/>
        </w:rPr>
        <w:t>plēses ir ievērojami pieaugušas kopš 2021. gada, RBR šobrīd strādā pie scenārijiem, kuru rezultātā kopējās trases izmaksas tiks optimizētas. Šī summa arī neņem vērā iespējamo izmaksu ietaupījumu rašanu caur tehnisko risinājumu optimizāciju vai, piemēram, iespējamās neprecizitātes būvprojektu darba apjomu aplēsēs, kas radušās nepietiekošā būvprojektēšanas progresa dēļ uz finanšu formas izstrādes brīdi, kā rezultātā summa varētu samazināties.</w:t>
      </w:r>
    </w:p>
    <w:p w14:paraId="2B0960B3" w14:textId="272E9653" w:rsidR="00625D2C" w:rsidRDefault="007170E9" w:rsidP="00625D2C">
      <w:pPr>
        <w:tabs>
          <w:tab w:val="left" w:pos="567"/>
        </w:tabs>
        <w:spacing w:after="0" w:line="240" w:lineRule="auto"/>
        <w:contextualSpacing/>
        <w:jc w:val="both"/>
        <w:rPr>
          <w:rFonts w:eastAsiaTheme="minorEastAsia" w:cs="Times New Roman"/>
          <w:b/>
          <w:bCs/>
          <w:sz w:val="24"/>
          <w:szCs w:val="24"/>
          <w:lang w:eastAsia="lv-LV"/>
        </w:rPr>
      </w:pPr>
      <w:r>
        <w:rPr>
          <w:rFonts w:eastAsiaTheme="minorEastAsia" w:cs="Times New Roman"/>
          <w:sz w:val="24"/>
          <w:szCs w:val="24"/>
          <w:lang w:eastAsia="lv-LV"/>
        </w:rPr>
        <w:tab/>
      </w:r>
      <w:r w:rsidR="31ACFF76" w:rsidRPr="0595A900">
        <w:rPr>
          <w:rFonts w:eastAsiaTheme="minorEastAsia" w:cs="Times New Roman"/>
          <w:sz w:val="24"/>
          <w:szCs w:val="24"/>
          <w:lang w:eastAsia="lv-LV"/>
        </w:rPr>
        <w:t xml:space="preserve">Kopējo izmaksu sadalījums atbilstoši saņemtajam </w:t>
      </w:r>
      <w:r w:rsidR="5D0B110A" w:rsidRPr="0595A900">
        <w:rPr>
          <w:rFonts w:eastAsiaTheme="minorEastAsia" w:cs="Times New Roman"/>
          <w:sz w:val="24"/>
          <w:szCs w:val="24"/>
          <w:lang w:eastAsia="lv-LV"/>
        </w:rPr>
        <w:t xml:space="preserve">personu apvienības </w:t>
      </w:r>
      <w:r w:rsidR="31ACFF76" w:rsidRPr="0595A900">
        <w:rPr>
          <w:rFonts w:eastAsiaTheme="minorEastAsia" w:cs="Times New Roman"/>
          <w:sz w:val="24"/>
          <w:szCs w:val="24"/>
          <w:lang w:eastAsia="lv-LV"/>
        </w:rPr>
        <w:t xml:space="preserve">„E.R.B. Rail Baltica JV” galīgajam piedāvājumam skatāms </w:t>
      </w:r>
      <w:r w:rsidR="7E0119F7" w:rsidRPr="0595A900">
        <w:rPr>
          <w:rFonts w:eastAsiaTheme="minorEastAsia" w:cs="Times New Roman"/>
          <w:sz w:val="24"/>
          <w:szCs w:val="24"/>
          <w:lang w:eastAsia="lv-LV"/>
        </w:rPr>
        <w:t>1. tabulā</w:t>
      </w:r>
      <w:r w:rsidR="31ACFF76" w:rsidRPr="0595A900">
        <w:rPr>
          <w:rFonts w:eastAsiaTheme="minorEastAsia" w:cs="Times New Roman"/>
          <w:sz w:val="24"/>
          <w:szCs w:val="24"/>
          <w:lang w:eastAsia="lv-LV"/>
        </w:rPr>
        <w:t xml:space="preserve">. Izmaksas norādītas ieskaitot virsizdevumus un peļņu, bet neieskaitot </w:t>
      </w:r>
      <w:r w:rsidR="2E5EE464" w:rsidRPr="0595A900">
        <w:rPr>
          <w:rFonts w:eastAsiaTheme="minorEastAsia" w:cs="Times New Roman"/>
          <w:sz w:val="24"/>
          <w:szCs w:val="24"/>
          <w:lang w:eastAsia="lv-LV"/>
        </w:rPr>
        <w:t>indeksāciju</w:t>
      </w:r>
      <w:r w:rsidR="31ACFF76" w:rsidRPr="0595A900">
        <w:rPr>
          <w:rFonts w:eastAsiaTheme="minorEastAsia" w:cs="Times New Roman"/>
          <w:sz w:val="24"/>
          <w:szCs w:val="24"/>
          <w:lang w:eastAsia="lv-LV"/>
        </w:rPr>
        <w:t xml:space="preserve"> un apdrošināšanas izmaksas.</w:t>
      </w:r>
      <w:r w:rsidR="4C2CDC1C" w:rsidRPr="0595A900">
        <w:rPr>
          <w:rFonts w:eastAsiaTheme="minorEastAsia" w:cs="Times New Roman"/>
          <w:sz w:val="24"/>
          <w:szCs w:val="24"/>
          <w:lang w:eastAsia="lv-LV"/>
        </w:rPr>
        <w:t xml:space="preserve"> </w:t>
      </w:r>
    </w:p>
    <w:p w14:paraId="13045C63" w14:textId="77777777" w:rsidR="007C6D97" w:rsidRDefault="007C6D97" w:rsidP="00625D2C">
      <w:pPr>
        <w:tabs>
          <w:tab w:val="left" w:pos="567"/>
        </w:tabs>
        <w:spacing w:after="0" w:line="240" w:lineRule="auto"/>
        <w:contextualSpacing/>
        <w:jc w:val="right"/>
        <w:rPr>
          <w:rFonts w:eastAsiaTheme="minorEastAsia" w:cs="Times New Roman"/>
          <w:b/>
          <w:bCs/>
          <w:sz w:val="24"/>
          <w:szCs w:val="24"/>
          <w:lang w:eastAsia="lv-LV"/>
        </w:rPr>
      </w:pPr>
    </w:p>
    <w:p w14:paraId="3DE8F4DA" w14:textId="4149C3CC" w:rsidR="00E27992" w:rsidRDefault="79017C3F" w:rsidP="001D5E77">
      <w:pPr>
        <w:tabs>
          <w:tab w:val="left" w:pos="567"/>
        </w:tabs>
        <w:spacing w:after="0" w:line="240" w:lineRule="auto"/>
        <w:contextualSpacing/>
        <w:jc w:val="right"/>
        <w:rPr>
          <w:rFonts w:eastAsiaTheme="minorEastAsia" w:cs="Times New Roman"/>
          <w:b/>
          <w:bCs/>
          <w:sz w:val="24"/>
          <w:szCs w:val="24"/>
          <w:lang w:eastAsia="lv-LV"/>
        </w:rPr>
      </w:pPr>
      <w:r w:rsidRPr="6075987E">
        <w:rPr>
          <w:rFonts w:eastAsiaTheme="minorEastAsia" w:cs="Times New Roman"/>
          <w:b/>
          <w:bCs/>
          <w:sz w:val="24"/>
          <w:szCs w:val="24"/>
          <w:lang w:eastAsia="lv-LV"/>
        </w:rPr>
        <w:t>Būvdarbu Līguma i</w:t>
      </w:r>
      <w:r w:rsidR="401D81A4" w:rsidRPr="6075987E">
        <w:rPr>
          <w:rFonts w:eastAsiaTheme="minorEastAsia" w:cs="Times New Roman"/>
          <w:b/>
          <w:bCs/>
          <w:sz w:val="24"/>
          <w:szCs w:val="24"/>
          <w:lang w:eastAsia="lv-LV"/>
        </w:rPr>
        <w:t>zmaksu</w:t>
      </w:r>
      <w:r w:rsidRPr="6075987E">
        <w:rPr>
          <w:rFonts w:eastAsiaTheme="minorEastAsia" w:cs="Times New Roman"/>
          <w:b/>
          <w:bCs/>
          <w:sz w:val="24"/>
          <w:szCs w:val="24"/>
          <w:lang w:eastAsia="lv-LV"/>
        </w:rPr>
        <w:t xml:space="preserve"> pozīciju</w:t>
      </w:r>
      <w:r w:rsidR="401D81A4" w:rsidRPr="6075987E">
        <w:rPr>
          <w:rFonts w:eastAsiaTheme="minorEastAsia" w:cs="Times New Roman"/>
          <w:b/>
          <w:bCs/>
          <w:sz w:val="24"/>
          <w:szCs w:val="24"/>
          <w:lang w:eastAsia="lv-LV"/>
        </w:rPr>
        <w:t xml:space="preserve"> sadalījums</w:t>
      </w:r>
      <w:r w:rsidR="00A161F6">
        <w:rPr>
          <w:rFonts w:eastAsiaTheme="minorEastAsia" w:cs="Times New Roman"/>
          <w:b/>
          <w:bCs/>
          <w:sz w:val="24"/>
          <w:szCs w:val="24"/>
          <w:lang w:eastAsia="lv-LV"/>
        </w:rPr>
        <w:t xml:space="preserve">, </w:t>
      </w:r>
      <w:r w:rsidR="002C5510" w:rsidRPr="002C5510">
        <w:rPr>
          <w:rFonts w:eastAsiaTheme="minorEastAsia" w:cs="Times New Roman"/>
          <w:b/>
          <w:bCs/>
          <w:i/>
          <w:sz w:val="24"/>
          <w:szCs w:val="24"/>
          <w:lang w:eastAsia="lv-LV"/>
        </w:rPr>
        <w:t>euro</w:t>
      </w:r>
    </w:p>
    <w:p w14:paraId="153A7F53" w14:textId="383BC757" w:rsidR="00E27992" w:rsidRPr="005F3777" w:rsidRDefault="005F3777" w:rsidP="00056AFE">
      <w:pPr>
        <w:pStyle w:val="ListParagraph"/>
        <w:tabs>
          <w:tab w:val="left" w:pos="709"/>
        </w:tabs>
        <w:jc w:val="right"/>
        <w:rPr>
          <w:rFonts w:eastAsiaTheme="minorEastAsia" w:cs="Times New Roman"/>
          <w:szCs w:val="24"/>
          <w:lang w:eastAsia="lv-LV"/>
        </w:rPr>
      </w:pPr>
      <w:r w:rsidRPr="005F3777">
        <w:rPr>
          <w:rFonts w:eastAsiaTheme="minorEastAsia" w:cs="Times New Roman"/>
          <w:szCs w:val="24"/>
          <w:lang w:eastAsia="lv-LV"/>
        </w:rPr>
        <w:t>1.</w:t>
      </w:r>
      <w:r w:rsidR="00E27992" w:rsidRPr="005F3777">
        <w:rPr>
          <w:rFonts w:eastAsiaTheme="minorEastAsia" w:cs="Times New Roman"/>
          <w:szCs w:val="24"/>
          <w:lang w:eastAsia="lv-LV"/>
        </w:rPr>
        <w:t xml:space="preserve">tabula </w:t>
      </w:r>
    </w:p>
    <w:tbl>
      <w:tblPr>
        <w:tblStyle w:val="TableGrid1"/>
        <w:tblW w:w="7351" w:type="dxa"/>
        <w:jc w:val="center"/>
        <w:tblLayout w:type="fixed"/>
        <w:tblLook w:val="04A0" w:firstRow="1" w:lastRow="0" w:firstColumn="1" w:lastColumn="0" w:noHBand="0" w:noVBand="1"/>
      </w:tblPr>
      <w:tblGrid>
        <w:gridCol w:w="1965"/>
        <w:gridCol w:w="1291"/>
        <w:gridCol w:w="2130"/>
        <w:gridCol w:w="1965"/>
      </w:tblGrid>
      <w:tr w:rsidR="00020B70" w:rsidRPr="00287134" w14:paraId="2BDB16A7" w14:textId="77777777" w:rsidTr="638FD9FE">
        <w:trPr>
          <w:trHeight w:val="349"/>
          <w:jc w:val="center"/>
        </w:trPr>
        <w:tc>
          <w:tcPr>
            <w:tcW w:w="1965" w:type="dxa"/>
            <w:vAlign w:val="center"/>
          </w:tcPr>
          <w:p w14:paraId="609141C2" w14:textId="77777777" w:rsidR="00020B70" w:rsidRPr="00660EB3" w:rsidRDefault="00020B70" w:rsidP="00056AFE">
            <w:pPr>
              <w:autoSpaceDE w:val="0"/>
              <w:autoSpaceDN w:val="0"/>
              <w:adjustRightInd w:val="0"/>
              <w:contextualSpacing/>
              <w:jc w:val="center"/>
              <w:rPr>
                <w:rFonts w:ascii="Times New Roman" w:hAnsi="Times New Roman" w:cs="Times New Roman"/>
                <w:sz w:val="20"/>
                <w:szCs w:val="20"/>
              </w:rPr>
            </w:pPr>
          </w:p>
        </w:tc>
        <w:tc>
          <w:tcPr>
            <w:tcW w:w="1291" w:type="dxa"/>
            <w:vAlign w:val="center"/>
          </w:tcPr>
          <w:p w14:paraId="3F94A33E" w14:textId="45E93430" w:rsidR="00020B70" w:rsidRPr="00287134" w:rsidRDefault="00020B70" w:rsidP="00056AFE">
            <w:pPr>
              <w:autoSpaceDE w:val="0"/>
              <w:autoSpaceDN w:val="0"/>
              <w:adjustRightInd w:val="0"/>
              <w:contextualSpacing/>
              <w:jc w:val="center"/>
              <w:rPr>
                <w:rFonts w:ascii="Times New Roman" w:hAnsi="Times New Roman" w:cs="Times New Roman"/>
                <w:b/>
                <w:bCs/>
                <w:sz w:val="20"/>
                <w:szCs w:val="20"/>
              </w:rPr>
            </w:pPr>
            <w:r w:rsidRPr="00287134">
              <w:rPr>
                <w:rFonts w:ascii="Times New Roman" w:hAnsi="Times New Roman" w:cs="Times New Roman"/>
                <w:b/>
                <w:bCs/>
                <w:sz w:val="20"/>
                <w:szCs w:val="20"/>
              </w:rPr>
              <w:t xml:space="preserve">Kopējās izmaksas, </w:t>
            </w:r>
            <w:r w:rsidR="002C5510" w:rsidRPr="002C5510">
              <w:rPr>
                <w:rFonts w:ascii="Times New Roman" w:hAnsi="Times New Roman" w:cs="Times New Roman"/>
                <w:b/>
                <w:bCs/>
                <w:i/>
                <w:sz w:val="20"/>
                <w:szCs w:val="20"/>
              </w:rPr>
              <w:t>euro</w:t>
            </w:r>
          </w:p>
        </w:tc>
        <w:tc>
          <w:tcPr>
            <w:tcW w:w="2130" w:type="dxa"/>
            <w:vAlign w:val="center"/>
          </w:tcPr>
          <w:p w14:paraId="53D458BC" w14:textId="7FA1704A" w:rsidR="00020B70" w:rsidRPr="00287134" w:rsidRDefault="0D2B3BA2" w:rsidP="0595A900">
            <w:pPr>
              <w:autoSpaceDE w:val="0"/>
              <w:autoSpaceDN w:val="0"/>
              <w:adjustRightInd w:val="0"/>
              <w:contextualSpacing/>
              <w:jc w:val="center"/>
              <w:rPr>
                <w:rFonts w:ascii="Times New Roman" w:hAnsi="Times New Roman" w:cs="Times New Roman"/>
                <w:b/>
                <w:bCs/>
                <w:color w:val="000000" w:themeColor="text1"/>
                <w:sz w:val="20"/>
                <w:szCs w:val="20"/>
              </w:rPr>
            </w:pPr>
            <w:r w:rsidRPr="0595A900">
              <w:rPr>
                <w:rFonts w:ascii="Times New Roman" w:hAnsi="Times New Roman" w:cs="Times New Roman"/>
                <w:b/>
                <w:bCs/>
                <w:color w:val="000000" w:themeColor="text1"/>
                <w:sz w:val="20"/>
                <w:szCs w:val="20"/>
              </w:rPr>
              <w:t xml:space="preserve">Plānotais </w:t>
            </w:r>
            <w:r w:rsidR="4FDE0347" w:rsidRPr="0595A900">
              <w:rPr>
                <w:rFonts w:ascii="Times New Roman" w:hAnsi="Times New Roman" w:cs="Times New Roman"/>
                <w:b/>
                <w:bCs/>
                <w:color w:val="000000" w:themeColor="text1"/>
                <w:sz w:val="20"/>
                <w:szCs w:val="20"/>
              </w:rPr>
              <w:t>ārējais finansējums</w:t>
            </w:r>
          </w:p>
          <w:p w14:paraId="44474D5A" w14:textId="607897F0" w:rsidR="00020B70" w:rsidRPr="00287134" w:rsidRDefault="00020B70" w:rsidP="0595A900">
            <w:pPr>
              <w:autoSpaceDE w:val="0"/>
              <w:autoSpaceDN w:val="0"/>
              <w:adjustRightInd w:val="0"/>
              <w:contextualSpacing/>
              <w:jc w:val="center"/>
              <w:rPr>
                <w:rFonts w:ascii="Times New Roman" w:hAnsi="Times New Roman" w:cs="Times New Roman"/>
                <w:b/>
                <w:bCs/>
                <w:color w:val="000000" w:themeColor="text1"/>
                <w:sz w:val="20"/>
                <w:szCs w:val="20"/>
              </w:rPr>
            </w:pPr>
          </w:p>
        </w:tc>
        <w:tc>
          <w:tcPr>
            <w:tcW w:w="1965" w:type="dxa"/>
            <w:vAlign w:val="center"/>
          </w:tcPr>
          <w:p w14:paraId="7E6F48A3" w14:textId="2B2A0C82" w:rsidR="00020B70" w:rsidRPr="00287134" w:rsidRDefault="0C695F86" w:rsidP="0595A900">
            <w:pPr>
              <w:autoSpaceDE w:val="0"/>
              <w:autoSpaceDN w:val="0"/>
              <w:adjustRightInd w:val="0"/>
              <w:contextualSpacing/>
              <w:jc w:val="center"/>
              <w:rPr>
                <w:rFonts w:ascii="Times New Roman" w:hAnsi="Times New Roman" w:cs="Times New Roman"/>
                <w:b/>
                <w:bCs/>
                <w:color w:val="000000" w:themeColor="text1"/>
                <w:sz w:val="20"/>
                <w:szCs w:val="20"/>
              </w:rPr>
            </w:pPr>
            <w:r w:rsidRPr="0595A900">
              <w:rPr>
                <w:rFonts w:ascii="Times New Roman" w:hAnsi="Times New Roman" w:cs="Times New Roman"/>
                <w:b/>
                <w:bCs/>
                <w:color w:val="000000" w:themeColor="text1"/>
                <w:sz w:val="20"/>
                <w:szCs w:val="20"/>
              </w:rPr>
              <w:t>Valsts budžet</w:t>
            </w:r>
            <w:r w:rsidR="48BA9D9E" w:rsidRPr="0595A900">
              <w:rPr>
                <w:rFonts w:ascii="Times New Roman" w:hAnsi="Times New Roman" w:cs="Times New Roman"/>
                <w:b/>
                <w:bCs/>
                <w:color w:val="000000" w:themeColor="text1"/>
                <w:sz w:val="20"/>
                <w:szCs w:val="20"/>
              </w:rPr>
              <w:t>a līdzfinansējums</w:t>
            </w:r>
            <w:r w:rsidR="5847A58A" w:rsidRPr="0595A900">
              <w:rPr>
                <w:rFonts w:ascii="Times New Roman" w:hAnsi="Times New Roman" w:cs="Times New Roman"/>
                <w:b/>
                <w:bCs/>
                <w:color w:val="000000" w:themeColor="text1"/>
                <w:sz w:val="20"/>
                <w:szCs w:val="20"/>
              </w:rPr>
              <w:t xml:space="preserve"> </w:t>
            </w:r>
          </w:p>
        </w:tc>
      </w:tr>
      <w:tr w:rsidR="00020B70" w:rsidRPr="00287134" w14:paraId="4F8F637F" w14:textId="77777777" w:rsidTr="638FD9FE">
        <w:trPr>
          <w:trHeight w:val="499"/>
          <w:jc w:val="center"/>
        </w:trPr>
        <w:tc>
          <w:tcPr>
            <w:tcW w:w="1965" w:type="dxa"/>
            <w:vAlign w:val="center"/>
          </w:tcPr>
          <w:p w14:paraId="0F00BE5E" w14:textId="4828E3F7" w:rsidR="00020B70" w:rsidRPr="00287134" w:rsidRDefault="577304E1" w:rsidP="0595A900">
            <w:pPr>
              <w:autoSpaceDE w:val="0"/>
              <w:autoSpaceDN w:val="0"/>
              <w:adjustRightInd w:val="0"/>
              <w:contextualSpacing/>
              <w:jc w:val="center"/>
              <w:rPr>
                <w:rFonts w:ascii="Times New Roman" w:hAnsi="Times New Roman" w:cs="Times New Roman"/>
                <w:i/>
                <w:iCs/>
                <w:sz w:val="20"/>
                <w:szCs w:val="20"/>
              </w:rPr>
            </w:pPr>
            <w:r w:rsidRPr="0595A900">
              <w:rPr>
                <w:rFonts w:ascii="Times New Roman" w:hAnsi="Times New Roman" w:cs="Times New Roman"/>
                <w:sz w:val="20"/>
                <w:szCs w:val="20"/>
              </w:rPr>
              <w:t>Cilvēkresursi, DRCP fāze</w:t>
            </w:r>
            <w:r w:rsidR="00020B70" w:rsidRPr="0595A900">
              <w:rPr>
                <w:rStyle w:val="FootnoteReference"/>
                <w:rFonts w:ascii="Times New Roman" w:hAnsi="Times New Roman" w:cs="Times New Roman"/>
                <w:sz w:val="20"/>
                <w:szCs w:val="20"/>
              </w:rPr>
              <w:footnoteReference w:id="7"/>
            </w:r>
            <w:r w:rsidRPr="0595A900">
              <w:rPr>
                <w:rFonts w:ascii="Times New Roman" w:hAnsi="Times New Roman" w:cs="Times New Roman"/>
                <w:sz w:val="20"/>
                <w:szCs w:val="20"/>
              </w:rPr>
              <w:t>, nodevumi un izpilddokumentācija</w:t>
            </w:r>
          </w:p>
        </w:tc>
        <w:tc>
          <w:tcPr>
            <w:tcW w:w="1291" w:type="dxa"/>
            <w:vAlign w:val="center"/>
          </w:tcPr>
          <w:p w14:paraId="2A93CA61"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color w:val="000000"/>
                <w:sz w:val="20"/>
                <w:szCs w:val="20"/>
              </w:rPr>
              <w:t>91 086 546</w:t>
            </w:r>
          </w:p>
        </w:tc>
        <w:tc>
          <w:tcPr>
            <w:tcW w:w="2130" w:type="dxa"/>
            <w:vAlign w:val="center"/>
          </w:tcPr>
          <w:p w14:paraId="02C7C7DB" w14:textId="4D1615AF" w:rsidR="00020B70" w:rsidRPr="00287134" w:rsidRDefault="4CB24029" w:rsidP="6075987E">
            <w:pPr>
              <w:autoSpaceDE w:val="0"/>
              <w:autoSpaceDN w:val="0"/>
              <w:adjustRightInd w:val="0"/>
              <w:contextualSpacing/>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77 423 564</w:t>
            </w:r>
          </w:p>
        </w:tc>
        <w:tc>
          <w:tcPr>
            <w:tcW w:w="1965" w:type="dxa"/>
            <w:vAlign w:val="center"/>
          </w:tcPr>
          <w:p w14:paraId="454ABD27" w14:textId="77777777" w:rsidR="00020B70" w:rsidRPr="00287134" w:rsidRDefault="00020B70" w:rsidP="00056AFE">
            <w:pPr>
              <w:autoSpaceDE w:val="0"/>
              <w:autoSpaceDN w:val="0"/>
              <w:adjustRightInd w:val="0"/>
              <w:contextualSpacing/>
              <w:jc w:val="center"/>
              <w:rPr>
                <w:rFonts w:ascii="Times New Roman" w:hAnsi="Times New Roman" w:cs="Times New Roman"/>
                <w:i/>
                <w:iCs/>
                <w:sz w:val="20"/>
                <w:szCs w:val="20"/>
              </w:rPr>
            </w:pPr>
            <w:r w:rsidRPr="00287134">
              <w:rPr>
                <w:rFonts w:ascii="Times New Roman" w:hAnsi="Times New Roman" w:cs="Times New Roman"/>
                <w:color w:val="000000"/>
                <w:sz w:val="20"/>
                <w:szCs w:val="20"/>
              </w:rPr>
              <w:t>13 662 982</w:t>
            </w:r>
          </w:p>
        </w:tc>
      </w:tr>
      <w:tr w:rsidR="00020B70" w:rsidRPr="00287134" w14:paraId="1EBD58A9" w14:textId="77777777" w:rsidTr="638FD9FE">
        <w:trPr>
          <w:trHeight w:val="476"/>
          <w:jc w:val="center"/>
        </w:trPr>
        <w:tc>
          <w:tcPr>
            <w:tcW w:w="1965" w:type="dxa"/>
            <w:vAlign w:val="center"/>
          </w:tcPr>
          <w:p w14:paraId="4AE8D8FA" w14:textId="77777777" w:rsidR="00020B70" w:rsidRPr="00287134" w:rsidRDefault="00020B70" w:rsidP="00056AFE">
            <w:pPr>
              <w:autoSpaceDE w:val="0"/>
              <w:autoSpaceDN w:val="0"/>
              <w:adjustRightInd w:val="0"/>
              <w:contextualSpacing/>
              <w:jc w:val="center"/>
              <w:rPr>
                <w:rFonts w:ascii="Times New Roman" w:hAnsi="Times New Roman" w:cs="Times New Roman"/>
                <w:i/>
                <w:iCs/>
                <w:sz w:val="20"/>
                <w:szCs w:val="20"/>
              </w:rPr>
            </w:pPr>
            <w:r w:rsidRPr="00287134">
              <w:rPr>
                <w:rFonts w:ascii="Times New Roman" w:hAnsi="Times New Roman" w:cs="Times New Roman"/>
                <w:sz w:val="20"/>
                <w:szCs w:val="20"/>
              </w:rPr>
              <w:t>Būvlaukumu izveide un saistītās izmaksas</w:t>
            </w:r>
          </w:p>
        </w:tc>
        <w:tc>
          <w:tcPr>
            <w:tcW w:w="1291" w:type="dxa"/>
            <w:vAlign w:val="center"/>
          </w:tcPr>
          <w:p w14:paraId="61D8C07E"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color w:val="000000"/>
                <w:sz w:val="20"/>
                <w:szCs w:val="20"/>
              </w:rPr>
              <w:t>241 797 705</w:t>
            </w:r>
          </w:p>
        </w:tc>
        <w:tc>
          <w:tcPr>
            <w:tcW w:w="2130" w:type="dxa"/>
            <w:vAlign w:val="center"/>
          </w:tcPr>
          <w:p w14:paraId="535D7B29" w14:textId="11BAFAB6" w:rsidR="00020B70" w:rsidRPr="00287134" w:rsidRDefault="4CB24029" w:rsidP="00056AFE">
            <w:pPr>
              <w:autoSpaceDE w:val="0"/>
              <w:autoSpaceDN w:val="0"/>
              <w:adjustRightInd w:val="0"/>
              <w:contextualSpacing/>
              <w:jc w:val="center"/>
              <w:rPr>
                <w:rFonts w:ascii="Times New Roman" w:hAnsi="Times New Roman" w:cs="Times New Roman"/>
                <w:color w:val="000000"/>
                <w:sz w:val="20"/>
                <w:szCs w:val="20"/>
              </w:rPr>
            </w:pPr>
            <w:r w:rsidRPr="6075987E">
              <w:rPr>
                <w:rFonts w:ascii="Times New Roman" w:hAnsi="Times New Roman" w:cs="Times New Roman"/>
                <w:color w:val="000000" w:themeColor="text1"/>
                <w:sz w:val="20"/>
                <w:szCs w:val="20"/>
              </w:rPr>
              <w:t>205 528 049</w:t>
            </w:r>
          </w:p>
        </w:tc>
        <w:tc>
          <w:tcPr>
            <w:tcW w:w="1965" w:type="dxa"/>
            <w:vAlign w:val="center"/>
          </w:tcPr>
          <w:p w14:paraId="444AC87C" w14:textId="77777777" w:rsidR="00020B70" w:rsidRPr="00287134" w:rsidRDefault="00020B70" w:rsidP="00056AFE">
            <w:pPr>
              <w:autoSpaceDE w:val="0"/>
              <w:autoSpaceDN w:val="0"/>
              <w:adjustRightInd w:val="0"/>
              <w:contextualSpacing/>
              <w:jc w:val="center"/>
              <w:rPr>
                <w:rFonts w:ascii="Times New Roman" w:hAnsi="Times New Roman" w:cs="Times New Roman"/>
                <w:color w:val="000000"/>
                <w:sz w:val="20"/>
                <w:szCs w:val="20"/>
              </w:rPr>
            </w:pPr>
            <w:r w:rsidRPr="00287134">
              <w:rPr>
                <w:rFonts w:ascii="Times New Roman" w:hAnsi="Times New Roman" w:cs="Times New Roman"/>
                <w:color w:val="000000"/>
                <w:sz w:val="20"/>
                <w:szCs w:val="20"/>
              </w:rPr>
              <w:t>36 269 656*</w:t>
            </w:r>
          </w:p>
        </w:tc>
      </w:tr>
      <w:tr w:rsidR="00020B70" w:rsidRPr="00287134" w14:paraId="78692023" w14:textId="77777777" w:rsidTr="638FD9FE">
        <w:trPr>
          <w:trHeight w:val="476"/>
          <w:jc w:val="center"/>
        </w:trPr>
        <w:tc>
          <w:tcPr>
            <w:tcW w:w="1965" w:type="dxa"/>
            <w:vAlign w:val="center"/>
          </w:tcPr>
          <w:p w14:paraId="60FF1FE9"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sz w:val="20"/>
                <w:szCs w:val="20"/>
              </w:rPr>
              <w:t>Pastāvīgie darbi</w:t>
            </w:r>
          </w:p>
          <w:p w14:paraId="367829A7"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sz w:val="20"/>
                <w:szCs w:val="20"/>
              </w:rPr>
              <w:t>Būvdarbu bāzes Iecavā un Skultē un saistītās izmaksas</w:t>
            </w:r>
          </w:p>
        </w:tc>
        <w:tc>
          <w:tcPr>
            <w:tcW w:w="1291" w:type="dxa"/>
            <w:vAlign w:val="center"/>
          </w:tcPr>
          <w:p w14:paraId="3AE2B6BF" w14:textId="77777777" w:rsidR="00020B70" w:rsidRPr="00287134" w:rsidRDefault="00020B70" w:rsidP="00056AFE">
            <w:pPr>
              <w:autoSpaceDE w:val="0"/>
              <w:autoSpaceDN w:val="0"/>
              <w:adjustRightInd w:val="0"/>
              <w:contextualSpacing/>
              <w:jc w:val="center"/>
              <w:rPr>
                <w:rFonts w:ascii="Times New Roman" w:hAnsi="Times New Roman" w:cs="Times New Roman"/>
                <w:color w:val="000000"/>
                <w:sz w:val="20"/>
                <w:szCs w:val="20"/>
              </w:rPr>
            </w:pPr>
            <w:r w:rsidRPr="00287134">
              <w:rPr>
                <w:rFonts w:ascii="Times New Roman" w:hAnsi="Times New Roman" w:cs="Times New Roman"/>
                <w:color w:val="000000"/>
                <w:sz w:val="20"/>
                <w:szCs w:val="20"/>
              </w:rPr>
              <w:t>62 576 749</w:t>
            </w:r>
          </w:p>
        </w:tc>
        <w:tc>
          <w:tcPr>
            <w:tcW w:w="2130" w:type="dxa"/>
            <w:vAlign w:val="center"/>
          </w:tcPr>
          <w:p w14:paraId="26899761" w14:textId="25988499" w:rsidR="00020B70" w:rsidRPr="00287134" w:rsidRDefault="4CB24029" w:rsidP="00056AFE">
            <w:pPr>
              <w:autoSpaceDE w:val="0"/>
              <w:autoSpaceDN w:val="0"/>
              <w:adjustRightInd w:val="0"/>
              <w:contextualSpacing/>
              <w:jc w:val="center"/>
              <w:rPr>
                <w:rFonts w:ascii="Times New Roman" w:hAnsi="Times New Roman" w:cs="Times New Roman"/>
                <w:color w:val="000000"/>
                <w:sz w:val="20"/>
                <w:szCs w:val="20"/>
              </w:rPr>
            </w:pPr>
            <w:r w:rsidRPr="6075987E">
              <w:rPr>
                <w:rFonts w:ascii="Times New Roman" w:hAnsi="Times New Roman" w:cs="Times New Roman"/>
                <w:color w:val="000000" w:themeColor="text1"/>
                <w:sz w:val="20"/>
                <w:szCs w:val="20"/>
              </w:rPr>
              <w:t>35 981 631</w:t>
            </w:r>
          </w:p>
        </w:tc>
        <w:tc>
          <w:tcPr>
            <w:tcW w:w="1965" w:type="dxa"/>
            <w:vAlign w:val="center"/>
          </w:tcPr>
          <w:p w14:paraId="07811D7D" w14:textId="77777777" w:rsidR="00020B70" w:rsidRPr="00287134" w:rsidRDefault="00020B70" w:rsidP="00056AFE">
            <w:pPr>
              <w:autoSpaceDE w:val="0"/>
              <w:autoSpaceDN w:val="0"/>
              <w:adjustRightInd w:val="0"/>
              <w:contextualSpacing/>
              <w:jc w:val="center"/>
              <w:rPr>
                <w:rFonts w:ascii="Times New Roman" w:hAnsi="Times New Roman" w:cs="Times New Roman"/>
                <w:color w:val="000000"/>
                <w:sz w:val="20"/>
                <w:szCs w:val="20"/>
              </w:rPr>
            </w:pPr>
            <w:r w:rsidRPr="00287134">
              <w:rPr>
                <w:rFonts w:ascii="Times New Roman" w:hAnsi="Times New Roman" w:cs="Times New Roman"/>
                <w:color w:val="000000"/>
                <w:sz w:val="20"/>
                <w:szCs w:val="20"/>
              </w:rPr>
              <w:t>26 595 118</w:t>
            </w:r>
          </w:p>
        </w:tc>
      </w:tr>
      <w:tr w:rsidR="00020B70" w:rsidRPr="00287134" w14:paraId="19A88C18" w14:textId="77777777" w:rsidTr="638FD9FE">
        <w:trPr>
          <w:trHeight w:val="426"/>
          <w:jc w:val="center"/>
        </w:trPr>
        <w:tc>
          <w:tcPr>
            <w:tcW w:w="1965" w:type="dxa"/>
            <w:vAlign w:val="center"/>
          </w:tcPr>
          <w:p w14:paraId="7402C9EF"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sz w:val="20"/>
                <w:szCs w:val="20"/>
              </w:rPr>
              <w:t>Pastāvīgie darbi</w:t>
            </w:r>
          </w:p>
        </w:tc>
        <w:tc>
          <w:tcPr>
            <w:tcW w:w="1291" w:type="dxa"/>
            <w:vAlign w:val="center"/>
          </w:tcPr>
          <w:p w14:paraId="2A09D355"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color w:val="000000"/>
                <w:sz w:val="20"/>
                <w:szCs w:val="20"/>
              </w:rPr>
              <w:t>2 881 909 851</w:t>
            </w:r>
          </w:p>
        </w:tc>
        <w:tc>
          <w:tcPr>
            <w:tcW w:w="2130" w:type="dxa"/>
            <w:vAlign w:val="center"/>
          </w:tcPr>
          <w:p w14:paraId="55FD20F2" w14:textId="167E1733" w:rsidR="00020B70" w:rsidRPr="00287134" w:rsidRDefault="4CB24029" w:rsidP="6075987E">
            <w:pPr>
              <w:autoSpaceDE w:val="0"/>
              <w:autoSpaceDN w:val="0"/>
              <w:adjustRightInd w:val="0"/>
              <w:contextualSpacing/>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2 449 623 373</w:t>
            </w:r>
          </w:p>
        </w:tc>
        <w:tc>
          <w:tcPr>
            <w:tcW w:w="1965" w:type="dxa"/>
            <w:vAlign w:val="center"/>
          </w:tcPr>
          <w:p w14:paraId="6AE5BF2D" w14:textId="77777777" w:rsidR="00020B70" w:rsidRPr="00287134" w:rsidRDefault="00020B70" w:rsidP="00056AFE">
            <w:pPr>
              <w:autoSpaceDE w:val="0"/>
              <w:autoSpaceDN w:val="0"/>
              <w:adjustRightInd w:val="0"/>
              <w:contextualSpacing/>
              <w:jc w:val="center"/>
              <w:rPr>
                <w:rFonts w:ascii="Times New Roman" w:hAnsi="Times New Roman" w:cs="Times New Roman"/>
                <w:i/>
                <w:iCs/>
                <w:sz w:val="20"/>
                <w:szCs w:val="20"/>
              </w:rPr>
            </w:pPr>
            <w:r w:rsidRPr="00287134">
              <w:rPr>
                <w:rFonts w:ascii="Times New Roman" w:hAnsi="Times New Roman" w:cs="Times New Roman"/>
                <w:color w:val="000000"/>
                <w:sz w:val="20"/>
                <w:szCs w:val="20"/>
              </w:rPr>
              <w:t>432 286 478*</w:t>
            </w:r>
          </w:p>
        </w:tc>
      </w:tr>
      <w:tr w:rsidR="00020B70" w:rsidRPr="00287134" w14:paraId="34FA0E47" w14:textId="77777777" w:rsidTr="638FD9FE">
        <w:trPr>
          <w:trHeight w:val="418"/>
          <w:jc w:val="center"/>
        </w:trPr>
        <w:tc>
          <w:tcPr>
            <w:tcW w:w="1965" w:type="dxa"/>
            <w:vAlign w:val="center"/>
          </w:tcPr>
          <w:p w14:paraId="7213462A" w14:textId="495741AA" w:rsidR="00020B70" w:rsidRPr="00287134" w:rsidRDefault="0EEE8BD1" w:rsidP="00056AFE">
            <w:pPr>
              <w:autoSpaceDE w:val="0"/>
              <w:autoSpaceDN w:val="0"/>
              <w:adjustRightInd w:val="0"/>
              <w:contextualSpacing/>
              <w:jc w:val="center"/>
              <w:rPr>
                <w:rFonts w:ascii="Times New Roman" w:hAnsi="Times New Roman" w:cs="Times New Roman"/>
                <w:sz w:val="20"/>
                <w:szCs w:val="20"/>
              </w:rPr>
            </w:pPr>
            <w:r w:rsidRPr="0595A900">
              <w:rPr>
                <w:rFonts w:ascii="Times New Roman" w:hAnsi="Times New Roman" w:cs="Times New Roman"/>
                <w:sz w:val="20"/>
                <w:szCs w:val="20"/>
              </w:rPr>
              <w:t>Konsolidēto materiālu</w:t>
            </w:r>
            <w:r w:rsidR="686CC4BD" w:rsidRPr="0595A900">
              <w:rPr>
                <w:rFonts w:ascii="Times New Roman" w:hAnsi="Times New Roman" w:cs="Times New Roman"/>
                <w:sz w:val="20"/>
                <w:szCs w:val="20"/>
              </w:rPr>
              <w:t xml:space="preserve"> uzstādīšana un saistītās izmaksas</w:t>
            </w:r>
            <w:r w:rsidR="2E6D4C3C" w:rsidRPr="0595A900">
              <w:rPr>
                <w:rStyle w:val="FootnoteReference"/>
                <w:rFonts w:ascii="Times New Roman" w:hAnsi="Times New Roman" w:cs="Times New Roman"/>
                <w:sz w:val="20"/>
                <w:szCs w:val="20"/>
              </w:rPr>
              <w:footnoteReference w:id="8"/>
            </w:r>
          </w:p>
        </w:tc>
        <w:tc>
          <w:tcPr>
            <w:tcW w:w="1291" w:type="dxa"/>
            <w:vAlign w:val="center"/>
          </w:tcPr>
          <w:p w14:paraId="6877A41A" w14:textId="77777777" w:rsidR="00020B70" w:rsidRPr="00287134" w:rsidRDefault="616F8260" w:rsidP="00056AFE">
            <w:pPr>
              <w:autoSpaceDE w:val="0"/>
              <w:autoSpaceDN w:val="0"/>
              <w:adjustRightInd w:val="0"/>
              <w:contextualSpacing/>
              <w:jc w:val="center"/>
              <w:rPr>
                <w:rFonts w:ascii="Times New Roman" w:hAnsi="Times New Roman" w:cs="Times New Roman"/>
                <w:sz w:val="20"/>
                <w:szCs w:val="20"/>
              </w:rPr>
            </w:pPr>
            <w:r w:rsidRPr="0595A900">
              <w:rPr>
                <w:rFonts w:ascii="Times New Roman" w:hAnsi="Times New Roman" w:cs="Times New Roman"/>
                <w:color w:val="000000" w:themeColor="text1"/>
                <w:sz w:val="20"/>
                <w:szCs w:val="20"/>
              </w:rPr>
              <w:t>415 505 089</w:t>
            </w:r>
          </w:p>
        </w:tc>
        <w:tc>
          <w:tcPr>
            <w:tcW w:w="2130" w:type="dxa"/>
            <w:vAlign w:val="center"/>
          </w:tcPr>
          <w:p w14:paraId="50DF7A8C" w14:textId="607B1295" w:rsidR="00020B70" w:rsidRPr="00287134" w:rsidRDefault="4CB24029" w:rsidP="6075987E">
            <w:pPr>
              <w:autoSpaceDE w:val="0"/>
              <w:autoSpaceDN w:val="0"/>
              <w:adjustRightInd w:val="0"/>
              <w:contextualSpacing/>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353 179 326</w:t>
            </w:r>
          </w:p>
        </w:tc>
        <w:tc>
          <w:tcPr>
            <w:tcW w:w="1965" w:type="dxa"/>
            <w:vAlign w:val="center"/>
          </w:tcPr>
          <w:p w14:paraId="286D256D" w14:textId="77777777" w:rsidR="00020B70" w:rsidRPr="00287134" w:rsidRDefault="00020B70" w:rsidP="00056AFE">
            <w:pPr>
              <w:autoSpaceDE w:val="0"/>
              <w:autoSpaceDN w:val="0"/>
              <w:adjustRightInd w:val="0"/>
              <w:contextualSpacing/>
              <w:jc w:val="center"/>
              <w:rPr>
                <w:rFonts w:ascii="Times New Roman" w:hAnsi="Times New Roman" w:cs="Times New Roman"/>
                <w:i/>
                <w:iCs/>
                <w:sz w:val="20"/>
                <w:szCs w:val="20"/>
              </w:rPr>
            </w:pPr>
            <w:r w:rsidRPr="00287134">
              <w:rPr>
                <w:rFonts w:ascii="Times New Roman" w:hAnsi="Times New Roman" w:cs="Times New Roman"/>
                <w:color w:val="000000"/>
                <w:sz w:val="20"/>
                <w:szCs w:val="20"/>
              </w:rPr>
              <w:t>62 325 763</w:t>
            </w:r>
          </w:p>
        </w:tc>
      </w:tr>
      <w:tr w:rsidR="00020B70" w:rsidRPr="00287134" w14:paraId="7CFF80D6" w14:textId="77777777" w:rsidTr="638FD9FE">
        <w:trPr>
          <w:trHeight w:val="409"/>
          <w:jc w:val="center"/>
        </w:trPr>
        <w:tc>
          <w:tcPr>
            <w:tcW w:w="1965" w:type="dxa"/>
            <w:vAlign w:val="center"/>
          </w:tcPr>
          <w:p w14:paraId="780281A5" w14:textId="642F56A4" w:rsidR="00020B70" w:rsidRPr="00287134" w:rsidRDefault="577304E1" w:rsidP="0595A900">
            <w:pPr>
              <w:autoSpaceDE w:val="0"/>
              <w:autoSpaceDN w:val="0"/>
              <w:adjustRightInd w:val="0"/>
              <w:contextualSpacing/>
              <w:jc w:val="center"/>
              <w:rPr>
                <w:rFonts w:ascii="Times New Roman" w:hAnsi="Times New Roman" w:cs="Times New Roman"/>
                <w:i/>
                <w:iCs/>
                <w:sz w:val="20"/>
                <w:szCs w:val="20"/>
              </w:rPr>
            </w:pPr>
            <w:r w:rsidRPr="0595A900">
              <w:rPr>
                <w:rFonts w:ascii="Times New Roman" w:hAnsi="Times New Roman" w:cs="Times New Roman"/>
                <w:sz w:val="20"/>
                <w:szCs w:val="20"/>
              </w:rPr>
              <w:t>Uzturēšanas starp kārtām izmaksas, ja darbi netiks veikti no infrastruktūras pārvaldītāja puses</w:t>
            </w:r>
            <w:r w:rsidR="00020B70" w:rsidRPr="638FD9FE">
              <w:rPr>
                <w:rStyle w:val="FootnoteReference"/>
                <w:rFonts w:ascii="Times New Roman" w:hAnsi="Times New Roman" w:cs="Times New Roman"/>
                <w:i/>
                <w:iCs/>
                <w:sz w:val="20"/>
                <w:szCs w:val="20"/>
              </w:rPr>
              <w:footnoteReference w:id="9"/>
            </w:r>
          </w:p>
        </w:tc>
        <w:tc>
          <w:tcPr>
            <w:tcW w:w="1291" w:type="dxa"/>
            <w:vAlign w:val="center"/>
          </w:tcPr>
          <w:p w14:paraId="13349E91" w14:textId="77777777" w:rsidR="00020B70" w:rsidRPr="00287134" w:rsidRDefault="00020B70" w:rsidP="00056AFE">
            <w:pPr>
              <w:autoSpaceDE w:val="0"/>
              <w:autoSpaceDN w:val="0"/>
              <w:adjustRightInd w:val="0"/>
              <w:contextualSpacing/>
              <w:jc w:val="center"/>
              <w:rPr>
                <w:rFonts w:ascii="Times New Roman" w:hAnsi="Times New Roman" w:cs="Times New Roman"/>
                <w:sz w:val="20"/>
                <w:szCs w:val="20"/>
              </w:rPr>
            </w:pPr>
            <w:r w:rsidRPr="00287134">
              <w:rPr>
                <w:rFonts w:ascii="Times New Roman" w:hAnsi="Times New Roman" w:cs="Times New Roman"/>
                <w:color w:val="000000"/>
                <w:sz w:val="20"/>
                <w:szCs w:val="20"/>
              </w:rPr>
              <w:t>5 957 581</w:t>
            </w:r>
          </w:p>
        </w:tc>
        <w:tc>
          <w:tcPr>
            <w:tcW w:w="2130" w:type="dxa"/>
            <w:vAlign w:val="center"/>
          </w:tcPr>
          <w:p w14:paraId="64B3CB75" w14:textId="77777777" w:rsidR="00020B70" w:rsidRPr="00287134" w:rsidRDefault="00020B70" w:rsidP="00056AFE">
            <w:pPr>
              <w:autoSpaceDE w:val="0"/>
              <w:autoSpaceDN w:val="0"/>
              <w:adjustRightInd w:val="0"/>
              <w:contextualSpacing/>
              <w:jc w:val="center"/>
              <w:rPr>
                <w:rFonts w:ascii="Times New Roman" w:hAnsi="Times New Roman" w:cs="Times New Roman"/>
                <w:i/>
                <w:iCs/>
                <w:sz w:val="20"/>
                <w:szCs w:val="20"/>
              </w:rPr>
            </w:pPr>
            <w:r w:rsidRPr="00287134">
              <w:rPr>
                <w:rFonts w:ascii="Times New Roman" w:hAnsi="Times New Roman" w:cs="Times New Roman"/>
                <w:color w:val="000000"/>
                <w:sz w:val="20"/>
                <w:szCs w:val="20"/>
              </w:rPr>
              <w:t>0</w:t>
            </w:r>
          </w:p>
        </w:tc>
        <w:tc>
          <w:tcPr>
            <w:tcW w:w="1965" w:type="dxa"/>
            <w:vAlign w:val="center"/>
          </w:tcPr>
          <w:p w14:paraId="60913CD7" w14:textId="0F99F382" w:rsidR="00020B70" w:rsidRPr="00287134" w:rsidRDefault="00020B70" w:rsidP="00056AFE">
            <w:pPr>
              <w:autoSpaceDE w:val="0"/>
              <w:autoSpaceDN w:val="0"/>
              <w:adjustRightInd w:val="0"/>
              <w:contextualSpacing/>
              <w:jc w:val="center"/>
              <w:rPr>
                <w:rFonts w:ascii="Times New Roman" w:hAnsi="Times New Roman" w:cs="Times New Roman"/>
                <w:i/>
                <w:iCs/>
                <w:sz w:val="20"/>
                <w:szCs w:val="20"/>
              </w:rPr>
            </w:pPr>
            <w:r w:rsidRPr="00287134">
              <w:rPr>
                <w:rFonts w:ascii="Times New Roman" w:hAnsi="Times New Roman" w:cs="Times New Roman"/>
                <w:color w:val="000000"/>
                <w:sz w:val="20"/>
                <w:szCs w:val="20"/>
              </w:rPr>
              <w:t>5 957</w:t>
            </w:r>
            <w:r w:rsidR="00FD182D">
              <w:rPr>
                <w:rFonts w:ascii="Times New Roman" w:hAnsi="Times New Roman" w:cs="Times New Roman"/>
                <w:color w:val="000000"/>
                <w:sz w:val="20"/>
                <w:szCs w:val="20"/>
              </w:rPr>
              <w:t> </w:t>
            </w:r>
            <w:r w:rsidRPr="00287134">
              <w:rPr>
                <w:rFonts w:ascii="Times New Roman" w:hAnsi="Times New Roman" w:cs="Times New Roman"/>
                <w:color w:val="000000"/>
                <w:sz w:val="20"/>
                <w:szCs w:val="20"/>
              </w:rPr>
              <w:t>581</w:t>
            </w:r>
            <w:r w:rsidR="00FD182D">
              <w:rPr>
                <w:rFonts w:ascii="Times New Roman" w:hAnsi="Times New Roman" w:cs="Times New Roman"/>
                <w:color w:val="000000"/>
                <w:sz w:val="20"/>
                <w:szCs w:val="20"/>
              </w:rPr>
              <w:t>****</w:t>
            </w:r>
          </w:p>
        </w:tc>
      </w:tr>
      <w:tr w:rsidR="00020B70" w:rsidRPr="00287134" w14:paraId="426BFE09" w14:textId="77777777" w:rsidTr="638FD9FE">
        <w:trPr>
          <w:trHeight w:val="548"/>
          <w:jc w:val="center"/>
        </w:trPr>
        <w:tc>
          <w:tcPr>
            <w:tcW w:w="1965" w:type="dxa"/>
            <w:vAlign w:val="center"/>
          </w:tcPr>
          <w:p w14:paraId="70FE9CBB" w14:textId="1E83EF6E" w:rsidR="00020B70" w:rsidRPr="00287134" w:rsidRDefault="00020B70" w:rsidP="00056AFE">
            <w:pPr>
              <w:autoSpaceDE w:val="0"/>
              <w:autoSpaceDN w:val="0"/>
              <w:adjustRightInd w:val="0"/>
              <w:contextualSpacing/>
              <w:jc w:val="center"/>
              <w:rPr>
                <w:rFonts w:ascii="Times New Roman" w:hAnsi="Times New Roman" w:cs="Times New Roman"/>
                <w:b/>
                <w:bCs/>
                <w:sz w:val="20"/>
                <w:szCs w:val="20"/>
              </w:rPr>
            </w:pPr>
            <w:r w:rsidRPr="00287134">
              <w:rPr>
                <w:rFonts w:ascii="Times New Roman" w:hAnsi="Times New Roman" w:cs="Times New Roman"/>
                <w:b/>
                <w:bCs/>
                <w:sz w:val="20"/>
                <w:szCs w:val="20"/>
              </w:rPr>
              <w:t xml:space="preserve">Kopējā Līguma summa, </w:t>
            </w:r>
            <w:r w:rsidR="002C5510" w:rsidRPr="002C5510">
              <w:rPr>
                <w:rFonts w:ascii="Times New Roman" w:hAnsi="Times New Roman" w:cs="Times New Roman"/>
                <w:b/>
                <w:bCs/>
                <w:i/>
                <w:sz w:val="20"/>
                <w:szCs w:val="20"/>
              </w:rPr>
              <w:t>euro</w:t>
            </w:r>
            <w:r w:rsidR="00795BA4" w:rsidRPr="00287134">
              <w:rPr>
                <w:rFonts w:ascii="Times New Roman" w:hAnsi="Times New Roman" w:cs="Times New Roman"/>
                <w:b/>
                <w:bCs/>
                <w:sz w:val="20"/>
                <w:szCs w:val="20"/>
              </w:rPr>
              <w:t xml:space="preserve"> </w:t>
            </w:r>
            <w:r w:rsidRPr="00287134">
              <w:rPr>
                <w:rFonts w:ascii="Times New Roman" w:hAnsi="Times New Roman" w:cs="Times New Roman"/>
                <w:b/>
                <w:bCs/>
                <w:sz w:val="20"/>
                <w:szCs w:val="20"/>
              </w:rPr>
              <w:t>(neskaitot PVN)</w:t>
            </w:r>
          </w:p>
        </w:tc>
        <w:tc>
          <w:tcPr>
            <w:tcW w:w="1291" w:type="dxa"/>
            <w:vAlign w:val="center"/>
          </w:tcPr>
          <w:p w14:paraId="72CFB009" w14:textId="77777777" w:rsidR="00020B70" w:rsidRPr="00287134" w:rsidRDefault="00020B70" w:rsidP="00056AFE">
            <w:pPr>
              <w:autoSpaceDE w:val="0"/>
              <w:autoSpaceDN w:val="0"/>
              <w:adjustRightInd w:val="0"/>
              <w:contextualSpacing/>
              <w:jc w:val="center"/>
              <w:rPr>
                <w:rFonts w:ascii="Times New Roman" w:hAnsi="Times New Roman" w:cs="Times New Roman"/>
                <w:b/>
                <w:bCs/>
                <w:sz w:val="20"/>
                <w:szCs w:val="20"/>
              </w:rPr>
            </w:pPr>
            <w:r w:rsidRPr="00287134">
              <w:rPr>
                <w:rFonts w:ascii="Times New Roman" w:hAnsi="Times New Roman" w:cs="Times New Roman"/>
                <w:color w:val="000000"/>
                <w:sz w:val="20"/>
                <w:szCs w:val="20"/>
              </w:rPr>
              <w:t>3 698 833 521</w:t>
            </w:r>
          </w:p>
        </w:tc>
        <w:tc>
          <w:tcPr>
            <w:tcW w:w="2130" w:type="dxa"/>
            <w:vAlign w:val="center"/>
          </w:tcPr>
          <w:p w14:paraId="24A13E16" w14:textId="77777777" w:rsidR="00020B70" w:rsidRPr="00287134" w:rsidRDefault="00020B70" w:rsidP="00056AFE">
            <w:pPr>
              <w:autoSpaceDE w:val="0"/>
              <w:autoSpaceDN w:val="0"/>
              <w:adjustRightInd w:val="0"/>
              <w:contextualSpacing/>
              <w:jc w:val="center"/>
              <w:rPr>
                <w:rFonts w:ascii="Times New Roman" w:hAnsi="Times New Roman" w:cs="Times New Roman"/>
                <w:b/>
                <w:bCs/>
                <w:sz w:val="20"/>
                <w:szCs w:val="20"/>
              </w:rPr>
            </w:pPr>
            <w:r w:rsidRPr="00287134">
              <w:rPr>
                <w:rFonts w:ascii="Times New Roman" w:hAnsi="Times New Roman" w:cs="Times New Roman"/>
                <w:color w:val="000000"/>
                <w:sz w:val="20"/>
                <w:szCs w:val="20"/>
              </w:rPr>
              <w:t>3 121 735 943</w:t>
            </w:r>
          </w:p>
        </w:tc>
        <w:tc>
          <w:tcPr>
            <w:tcW w:w="1965" w:type="dxa"/>
            <w:vAlign w:val="center"/>
          </w:tcPr>
          <w:p w14:paraId="58D78C5C" w14:textId="77777777" w:rsidR="00020B70" w:rsidRPr="00287134" w:rsidRDefault="00020B70" w:rsidP="00056AFE">
            <w:pPr>
              <w:autoSpaceDE w:val="0"/>
              <w:autoSpaceDN w:val="0"/>
              <w:adjustRightInd w:val="0"/>
              <w:contextualSpacing/>
              <w:jc w:val="center"/>
              <w:rPr>
                <w:rFonts w:ascii="Times New Roman" w:hAnsi="Times New Roman" w:cs="Times New Roman"/>
                <w:b/>
                <w:bCs/>
                <w:sz w:val="20"/>
                <w:szCs w:val="20"/>
              </w:rPr>
            </w:pPr>
            <w:r w:rsidRPr="00287134">
              <w:rPr>
                <w:rFonts w:ascii="Times New Roman" w:hAnsi="Times New Roman" w:cs="Times New Roman"/>
                <w:color w:val="000000"/>
                <w:sz w:val="20"/>
                <w:szCs w:val="20"/>
              </w:rPr>
              <w:t>577 097 578</w:t>
            </w:r>
          </w:p>
        </w:tc>
      </w:tr>
      <w:tr w:rsidR="00020B70" w:rsidRPr="00287134" w14:paraId="32DA5E13" w14:textId="77777777" w:rsidTr="638FD9FE">
        <w:trPr>
          <w:trHeight w:val="300"/>
          <w:jc w:val="center"/>
        </w:trPr>
        <w:tc>
          <w:tcPr>
            <w:tcW w:w="1965" w:type="dxa"/>
            <w:vAlign w:val="center"/>
          </w:tcPr>
          <w:p w14:paraId="6670A7E7" w14:textId="46850835" w:rsidR="00020B70" w:rsidRPr="00287134" w:rsidRDefault="5F33CF30" w:rsidP="6075987E">
            <w:pPr>
              <w:autoSpaceDE w:val="0"/>
              <w:autoSpaceDN w:val="0"/>
              <w:adjustRightInd w:val="0"/>
              <w:contextualSpacing/>
              <w:jc w:val="center"/>
              <w:rPr>
                <w:rFonts w:cs="Times New Roman"/>
                <w:b/>
                <w:bCs/>
                <w:sz w:val="20"/>
                <w:szCs w:val="20"/>
              </w:rPr>
            </w:pPr>
            <w:r w:rsidRPr="6075987E">
              <w:rPr>
                <w:rFonts w:ascii="Times New Roman" w:hAnsi="Times New Roman" w:cs="Times New Roman"/>
                <w:b/>
                <w:bCs/>
                <w:sz w:val="20"/>
                <w:szCs w:val="20"/>
              </w:rPr>
              <w:t xml:space="preserve">Kopējā Līguma summa, </w:t>
            </w:r>
            <w:r w:rsidR="002C5510" w:rsidRPr="002C5510">
              <w:rPr>
                <w:rFonts w:ascii="Times New Roman" w:hAnsi="Times New Roman" w:cs="Times New Roman"/>
                <w:b/>
                <w:bCs/>
                <w:i/>
                <w:sz w:val="20"/>
                <w:szCs w:val="20"/>
              </w:rPr>
              <w:t>euro</w:t>
            </w:r>
            <w:r w:rsidR="00795BA4">
              <w:rPr>
                <w:rFonts w:ascii="Times New Roman" w:hAnsi="Times New Roman" w:cs="Times New Roman"/>
                <w:b/>
                <w:bCs/>
                <w:sz w:val="20"/>
                <w:szCs w:val="20"/>
              </w:rPr>
              <w:t xml:space="preserve"> </w:t>
            </w:r>
            <w:r w:rsidRPr="6075987E">
              <w:rPr>
                <w:rFonts w:ascii="Times New Roman" w:hAnsi="Times New Roman" w:cs="Times New Roman"/>
                <w:b/>
                <w:bCs/>
                <w:sz w:val="20"/>
                <w:szCs w:val="20"/>
              </w:rPr>
              <w:t>(ieskaitot PVN)</w:t>
            </w:r>
          </w:p>
          <w:p w14:paraId="43FD6999" w14:textId="42E82FB9" w:rsidR="00020B70" w:rsidRPr="00287134" w:rsidRDefault="00020B70" w:rsidP="6075987E">
            <w:pPr>
              <w:autoSpaceDE w:val="0"/>
              <w:autoSpaceDN w:val="0"/>
              <w:adjustRightInd w:val="0"/>
              <w:contextualSpacing/>
              <w:jc w:val="center"/>
              <w:rPr>
                <w:rFonts w:ascii="Times New Roman" w:hAnsi="Times New Roman" w:cs="Times New Roman"/>
                <w:b/>
                <w:bCs/>
                <w:sz w:val="20"/>
                <w:szCs w:val="20"/>
              </w:rPr>
            </w:pPr>
          </w:p>
        </w:tc>
        <w:tc>
          <w:tcPr>
            <w:tcW w:w="1291" w:type="dxa"/>
            <w:vAlign w:val="center"/>
          </w:tcPr>
          <w:p w14:paraId="6BC8F39D" w14:textId="77777777" w:rsidR="00020B70" w:rsidRPr="00287134" w:rsidRDefault="00020B70" w:rsidP="00056AFE">
            <w:pPr>
              <w:autoSpaceDE w:val="0"/>
              <w:autoSpaceDN w:val="0"/>
              <w:adjustRightInd w:val="0"/>
              <w:contextualSpacing/>
              <w:jc w:val="center"/>
              <w:rPr>
                <w:rFonts w:ascii="Times New Roman" w:hAnsi="Times New Roman" w:cs="Times New Roman"/>
                <w:color w:val="000000"/>
                <w:sz w:val="20"/>
                <w:szCs w:val="20"/>
              </w:rPr>
            </w:pPr>
            <w:r w:rsidRPr="00287134">
              <w:rPr>
                <w:rFonts w:ascii="Times New Roman" w:hAnsi="Times New Roman" w:cs="Times New Roman"/>
                <w:color w:val="000000"/>
                <w:sz w:val="20"/>
                <w:szCs w:val="20"/>
              </w:rPr>
              <w:t>4 475 588 560</w:t>
            </w:r>
          </w:p>
        </w:tc>
        <w:tc>
          <w:tcPr>
            <w:tcW w:w="2130" w:type="dxa"/>
            <w:vAlign w:val="center"/>
          </w:tcPr>
          <w:p w14:paraId="515F16B7" w14:textId="1C94C280" w:rsidR="00020B70" w:rsidRPr="00287134" w:rsidRDefault="7D363D73" w:rsidP="00056AFE">
            <w:pPr>
              <w:autoSpaceDE w:val="0"/>
              <w:autoSpaceDN w:val="0"/>
              <w:adjustRightInd w:val="0"/>
              <w:contextualSpacing/>
              <w:jc w:val="center"/>
              <w:rPr>
                <w:rFonts w:ascii="Times New Roman" w:hAnsi="Times New Roman" w:cs="Times New Roman"/>
                <w:color w:val="000000" w:themeColor="text1"/>
                <w:sz w:val="20"/>
                <w:szCs w:val="20"/>
              </w:rPr>
            </w:pPr>
            <w:r w:rsidRPr="1FB2D6C5">
              <w:rPr>
                <w:rFonts w:ascii="Times New Roman" w:hAnsi="Times New Roman" w:cs="Times New Roman"/>
                <w:color w:val="000000" w:themeColor="text1"/>
                <w:sz w:val="20"/>
                <w:szCs w:val="20"/>
              </w:rPr>
              <w:t xml:space="preserve"> </w:t>
            </w:r>
          </w:p>
          <w:p w14:paraId="581AED86" w14:textId="5A8F3843" w:rsidR="00020B70" w:rsidRPr="00287134" w:rsidRDefault="0FD2B4A2" w:rsidP="00056AFE">
            <w:pPr>
              <w:autoSpaceDE w:val="0"/>
              <w:autoSpaceDN w:val="0"/>
              <w:adjustRightInd w:val="0"/>
              <w:contextualSpacing/>
              <w:jc w:val="center"/>
              <w:rPr>
                <w:rFonts w:ascii="Times New Roman" w:hAnsi="Times New Roman" w:cs="Times New Roman"/>
                <w:b/>
                <w:bCs/>
                <w:sz w:val="20"/>
                <w:szCs w:val="20"/>
              </w:rPr>
            </w:pPr>
            <w:r w:rsidRPr="1FB2D6C5">
              <w:rPr>
                <w:rFonts w:ascii="Times New Roman" w:hAnsi="Times New Roman" w:cs="Times New Roman"/>
                <w:color w:val="000000" w:themeColor="text1"/>
                <w:sz w:val="20"/>
                <w:szCs w:val="20"/>
              </w:rPr>
              <w:t>3</w:t>
            </w:r>
            <w:r w:rsidR="1F19917A" w:rsidRPr="1FB2D6C5">
              <w:rPr>
                <w:rFonts w:ascii="Times New Roman" w:hAnsi="Times New Roman" w:cs="Times New Roman"/>
                <w:color w:val="000000" w:themeColor="text1"/>
                <w:sz w:val="20"/>
                <w:szCs w:val="20"/>
              </w:rPr>
              <w:t xml:space="preserve"> </w:t>
            </w:r>
            <w:r w:rsidRPr="1FB2D6C5">
              <w:rPr>
                <w:rFonts w:ascii="Times New Roman" w:hAnsi="Times New Roman" w:cs="Times New Roman"/>
                <w:color w:val="000000" w:themeColor="text1"/>
                <w:sz w:val="20"/>
                <w:szCs w:val="20"/>
              </w:rPr>
              <w:t>121 735 943</w:t>
            </w:r>
          </w:p>
          <w:p w14:paraId="1736B07E" w14:textId="4FDABAB0" w:rsidR="00020B70" w:rsidRPr="00287134" w:rsidRDefault="00020B70" w:rsidP="00056AFE">
            <w:pPr>
              <w:autoSpaceDE w:val="0"/>
              <w:autoSpaceDN w:val="0"/>
              <w:adjustRightInd w:val="0"/>
              <w:contextualSpacing/>
              <w:jc w:val="center"/>
              <w:rPr>
                <w:rFonts w:ascii="Times New Roman" w:hAnsi="Times New Roman" w:cs="Times New Roman"/>
                <w:color w:val="000000"/>
                <w:sz w:val="20"/>
                <w:szCs w:val="20"/>
              </w:rPr>
            </w:pPr>
          </w:p>
        </w:tc>
        <w:tc>
          <w:tcPr>
            <w:tcW w:w="1965" w:type="dxa"/>
            <w:vAlign w:val="center"/>
          </w:tcPr>
          <w:p w14:paraId="33209536" w14:textId="11F6705C" w:rsidR="00020B70" w:rsidRPr="00287134" w:rsidRDefault="00020B70" w:rsidP="00056AFE">
            <w:pPr>
              <w:contextualSpacing/>
              <w:jc w:val="center"/>
              <w:rPr>
                <w:rFonts w:ascii="Times New Roman" w:hAnsi="Times New Roman" w:cs="Times New Roman"/>
                <w:color w:val="000000" w:themeColor="text1"/>
                <w:sz w:val="20"/>
                <w:szCs w:val="20"/>
              </w:rPr>
            </w:pPr>
          </w:p>
          <w:p w14:paraId="281D9F53" w14:textId="55842856" w:rsidR="00020B70" w:rsidRPr="00287134" w:rsidRDefault="7B510131" w:rsidP="00056AFE">
            <w:pPr>
              <w:contextualSpacing/>
              <w:jc w:val="center"/>
              <w:rPr>
                <w:rFonts w:ascii="Times New Roman" w:hAnsi="Times New Roman" w:cs="Times New Roman"/>
                <w:color w:val="000000" w:themeColor="text1"/>
                <w:sz w:val="20"/>
                <w:szCs w:val="20"/>
              </w:rPr>
            </w:pPr>
            <w:r w:rsidRPr="1FB2D6C5">
              <w:rPr>
                <w:rFonts w:ascii="Times New Roman" w:hAnsi="Times New Roman" w:cs="Times New Roman"/>
                <w:color w:val="000000" w:themeColor="text1"/>
                <w:sz w:val="20"/>
                <w:szCs w:val="20"/>
              </w:rPr>
              <w:t>1 353 852 617</w:t>
            </w:r>
          </w:p>
        </w:tc>
      </w:tr>
      <w:tr w:rsidR="6075987E" w14:paraId="5FF74170" w14:textId="77777777" w:rsidTr="638FD9FE">
        <w:trPr>
          <w:trHeight w:val="300"/>
          <w:jc w:val="center"/>
        </w:trPr>
        <w:tc>
          <w:tcPr>
            <w:tcW w:w="1965" w:type="dxa"/>
            <w:vAlign w:val="center"/>
          </w:tcPr>
          <w:p w14:paraId="5E2E9CA1" w14:textId="5179F6C2" w:rsidR="6075987E" w:rsidRDefault="6075987E"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lastRenderedPageBreak/>
              <w:t>Aktuālais CEF piešķīrums</w:t>
            </w:r>
            <w:r w:rsidR="00A718BC">
              <w:rPr>
                <w:rFonts w:ascii="Times New Roman" w:hAnsi="Times New Roman" w:cs="Times New Roman"/>
                <w:color w:val="000000" w:themeColor="text1"/>
                <w:sz w:val="20"/>
                <w:szCs w:val="20"/>
              </w:rPr>
              <w:t>, bez PVN</w:t>
            </w:r>
          </w:p>
        </w:tc>
        <w:tc>
          <w:tcPr>
            <w:tcW w:w="1291" w:type="dxa"/>
            <w:vAlign w:val="center"/>
          </w:tcPr>
          <w:p w14:paraId="47171D5E" w14:textId="5E567729" w:rsidR="6075987E" w:rsidRDefault="6075987E"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165 443 000</w:t>
            </w:r>
          </w:p>
        </w:tc>
        <w:tc>
          <w:tcPr>
            <w:tcW w:w="2130" w:type="dxa"/>
            <w:vAlign w:val="center"/>
          </w:tcPr>
          <w:p w14:paraId="7A5D77D2" w14:textId="69CCDCA3" w:rsidR="6075987E" w:rsidRPr="00D31147" w:rsidRDefault="6075987E" w:rsidP="00A27B89">
            <w:pPr>
              <w:jc w:val="center"/>
              <w:rPr>
                <w:rFonts w:ascii="Times New Roman" w:eastAsia="Calibri" w:hAnsi="Times New Roman" w:cs="Times New Roman"/>
                <w:color w:val="000000" w:themeColor="text1"/>
                <w:sz w:val="20"/>
                <w:szCs w:val="20"/>
              </w:rPr>
            </w:pPr>
            <w:r w:rsidRPr="00D31147">
              <w:rPr>
                <w:rFonts w:ascii="Times New Roman" w:eastAsia="Calibri" w:hAnsi="Times New Roman" w:cs="Times New Roman"/>
                <w:color w:val="000000" w:themeColor="text1"/>
                <w:sz w:val="20"/>
                <w:szCs w:val="20"/>
              </w:rPr>
              <w:t xml:space="preserve"> </w:t>
            </w:r>
            <w:r w:rsidR="00004512" w:rsidRPr="00D31147">
              <w:rPr>
                <w:rFonts w:ascii="Times New Roman" w:eastAsia="Calibri" w:hAnsi="Times New Roman" w:cs="Times New Roman"/>
                <w:color w:val="000000" w:themeColor="text1"/>
                <w:sz w:val="20"/>
                <w:szCs w:val="20"/>
              </w:rPr>
              <w:t xml:space="preserve">122 256 </w:t>
            </w:r>
            <w:r w:rsidR="00725C27" w:rsidRPr="00D31147">
              <w:rPr>
                <w:rFonts w:ascii="Times New Roman" w:eastAsia="Calibri" w:hAnsi="Times New Roman" w:cs="Times New Roman"/>
                <w:color w:val="000000" w:themeColor="text1"/>
                <w:sz w:val="20"/>
                <w:szCs w:val="20"/>
              </w:rPr>
              <w:t>550</w:t>
            </w:r>
          </w:p>
        </w:tc>
        <w:tc>
          <w:tcPr>
            <w:tcW w:w="1965" w:type="dxa"/>
            <w:vAlign w:val="center"/>
          </w:tcPr>
          <w:p w14:paraId="3C5FE41E" w14:textId="201F6A04" w:rsidR="6075987E" w:rsidRPr="00D31147" w:rsidRDefault="00725C27" w:rsidP="00A27B89">
            <w:pPr>
              <w:jc w:val="center"/>
              <w:rPr>
                <w:rFonts w:ascii="Times New Roman" w:eastAsia="Calibri" w:hAnsi="Times New Roman" w:cs="Times New Roman"/>
                <w:color w:val="000000" w:themeColor="text1"/>
                <w:sz w:val="20"/>
                <w:szCs w:val="20"/>
              </w:rPr>
            </w:pPr>
            <w:r w:rsidRPr="00D31147">
              <w:rPr>
                <w:rFonts w:ascii="Times New Roman" w:eastAsia="Calibri" w:hAnsi="Times New Roman" w:cs="Times New Roman"/>
                <w:color w:val="000000" w:themeColor="text1"/>
                <w:sz w:val="20"/>
                <w:szCs w:val="20"/>
              </w:rPr>
              <w:t>43 186</w:t>
            </w:r>
            <w:r w:rsidR="007D0892">
              <w:rPr>
                <w:rFonts w:ascii="Times New Roman" w:eastAsia="Calibri" w:hAnsi="Times New Roman" w:cs="Times New Roman"/>
                <w:color w:val="000000" w:themeColor="text1"/>
                <w:sz w:val="20"/>
                <w:szCs w:val="20"/>
              </w:rPr>
              <w:t> </w:t>
            </w:r>
            <w:r w:rsidRPr="00D31147">
              <w:rPr>
                <w:rFonts w:ascii="Times New Roman" w:eastAsia="Calibri" w:hAnsi="Times New Roman" w:cs="Times New Roman"/>
                <w:color w:val="000000" w:themeColor="text1"/>
                <w:sz w:val="20"/>
                <w:szCs w:val="20"/>
              </w:rPr>
              <w:t>450</w:t>
            </w:r>
            <w:r w:rsidR="007D0892">
              <w:rPr>
                <w:rFonts w:ascii="Times New Roman" w:eastAsia="Calibri" w:hAnsi="Times New Roman" w:cs="Times New Roman"/>
                <w:color w:val="000000" w:themeColor="text1"/>
                <w:sz w:val="20"/>
                <w:szCs w:val="20"/>
              </w:rPr>
              <w:t>****</w:t>
            </w:r>
            <w:r w:rsidR="6075987E" w:rsidRPr="00D31147">
              <w:rPr>
                <w:rFonts w:ascii="Times New Roman" w:eastAsia="Calibri" w:hAnsi="Times New Roman" w:cs="Times New Roman"/>
                <w:color w:val="000000" w:themeColor="text1"/>
                <w:sz w:val="20"/>
                <w:szCs w:val="20"/>
              </w:rPr>
              <w:t xml:space="preserve"> </w:t>
            </w:r>
          </w:p>
        </w:tc>
      </w:tr>
      <w:tr w:rsidR="6075987E" w14:paraId="0D62F99E" w14:textId="77777777" w:rsidTr="638FD9FE">
        <w:trPr>
          <w:trHeight w:val="300"/>
          <w:jc w:val="center"/>
        </w:trPr>
        <w:tc>
          <w:tcPr>
            <w:tcW w:w="1965" w:type="dxa"/>
            <w:vAlign w:val="center"/>
          </w:tcPr>
          <w:p w14:paraId="2970C729" w14:textId="5F46686D" w:rsidR="6075987E" w:rsidRDefault="6075987E"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Plānotais CEF piešķīrums</w:t>
            </w:r>
            <w:r w:rsidR="00F10869">
              <w:rPr>
                <w:rFonts w:ascii="Times New Roman" w:hAnsi="Times New Roman" w:cs="Times New Roman"/>
                <w:color w:val="000000" w:themeColor="text1"/>
                <w:sz w:val="20"/>
                <w:szCs w:val="20"/>
              </w:rPr>
              <w:t>, bez PVN</w:t>
            </w:r>
            <w:r w:rsidR="007D769F">
              <w:rPr>
                <w:rFonts w:ascii="Times New Roman" w:hAnsi="Times New Roman" w:cs="Times New Roman"/>
                <w:color w:val="000000" w:themeColor="text1"/>
                <w:sz w:val="20"/>
                <w:szCs w:val="20"/>
              </w:rPr>
              <w:t>, līdz 2030. gadam</w:t>
            </w:r>
          </w:p>
        </w:tc>
        <w:tc>
          <w:tcPr>
            <w:tcW w:w="1291" w:type="dxa"/>
            <w:vAlign w:val="center"/>
          </w:tcPr>
          <w:p w14:paraId="6904B2AF" w14:textId="6A0A316E" w:rsidR="6075987E" w:rsidRDefault="6075987E"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1 162 300 000</w:t>
            </w:r>
          </w:p>
        </w:tc>
        <w:tc>
          <w:tcPr>
            <w:tcW w:w="2130" w:type="dxa"/>
            <w:vAlign w:val="center"/>
          </w:tcPr>
          <w:p w14:paraId="2FBC4510" w14:textId="681DA6DB" w:rsidR="6075987E" w:rsidRPr="00D31147" w:rsidRDefault="6075987E" w:rsidP="00A27B89">
            <w:pPr>
              <w:jc w:val="center"/>
              <w:rPr>
                <w:rFonts w:ascii="Times New Roman" w:eastAsia="Times New Roman" w:hAnsi="Times New Roman" w:cs="Times New Roman"/>
                <w:color w:val="000000" w:themeColor="text1"/>
                <w:sz w:val="20"/>
                <w:szCs w:val="20"/>
              </w:rPr>
            </w:pPr>
            <w:r w:rsidRPr="00D31147">
              <w:rPr>
                <w:rFonts w:ascii="Times New Roman" w:eastAsia="Times New Roman" w:hAnsi="Times New Roman" w:cs="Times New Roman"/>
                <w:color w:val="000000" w:themeColor="text1"/>
                <w:sz w:val="20"/>
                <w:szCs w:val="20"/>
              </w:rPr>
              <w:t xml:space="preserve"> </w:t>
            </w:r>
            <w:r w:rsidR="00151E5C" w:rsidRPr="00D31147">
              <w:rPr>
                <w:rFonts w:ascii="Times New Roman" w:eastAsia="Times New Roman" w:hAnsi="Times New Roman" w:cs="Times New Roman"/>
                <w:color w:val="000000" w:themeColor="text1"/>
                <w:sz w:val="20"/>
                <w:szCs w:val="20"/>
              </w:rPr>
              <w:t>987</w:t>
            </w:r>
            <w:r w:rsidR="00191310" w:rsidRPr="00D31147">
              <w:rPr>
                <w:rFonts w:ascii="Times New Roman" w:eastAsia="Times New Roman" w:hAnsi="Times New Roman" w:cs="Times New Roman"/>
                <w:color w:val="000000" w:themeColor="text1"/>
                <w:sz w:val="20"/>
                <w:szCs w:val="20"/>
              </w:rPr>
              <w:t> 955</w:t>
            </w:r>
            <w:r w:rsidR="00F010D2" w:rsidRPr="00D31147">
              <w:rPr>
                <w:rFonts w:ascii="Times New Roman" w:eastAsia="Times New Roman" w:hAnsi="Times New Roman" w:cs="Times New Roman"/>
                <w:color w:val="000000" w:themeColor="text1"/>
                <w:sz w:val="20"/>
                <w:szCs w:val="20"/>
              </w:rPr>
              <w:t> </w:t>
            </w:r>
            <w:r w:rsidR="00191310" w:rsidRPr="00D31147">
              <w:rPr>
                <w:rFonts w:ascii="Times New Roman" w:eastAsia="Times New Roman" w:hAnsi="Times New Roman" w:cs="Times New Roman"/>
                <w:color w:val="000000" w:themeColor="text1"/>
                <w:sz w:val="20"/>
                <w:szCs w:val="20"/>
              </w:rPr>
              <w:t>000</w:t>
            </w:r>
            <w:r w:rsidR="00F010D2" w:rsidRPr="00D31147">
              <w:rPr>
                <w:rFonts w:ascii="Times New Roman" w:eastAsia="Times New Roman" w:hAnsi="Times New Roman" w:cs="Times New Roman"/>
                <w:color w:val="000000" w:themeColor="text1"/>
                <w:sz w:val="20"/>
                <w:szCs w:val="20"/>
              </w:rPr>
              <w:t>***</w:t>
            </w:r>
          </w:p>
        </w:tc>
        <w:tc>
          <w:tcPr>
            <w:tcW w:w="1965" w:type="dxa"/>
            <w:vAlign w:val="center"/>
          </w:tcPr>
          <w:p w14:paraId="05CF0182" w14:textId="114F7A19" w:rsidR="6075987E" w:rsidRPr="00D31147" w:rsidRDefault="006C2123" w:rsidP="00A27B89">
            <w:pPr>
              <w:jc w:val="center"/>
              <w:rPr>
                <w:rFonts w:ascii="Times New Roman" w:eastAsia="Times New Roman" w:hAnsi="Times New Roman" w:cs="Times New Roman"/>
                <w:color w:val="000000" w:themeColor="text1"/>
                <w:sz w:val="20"/>
                <w:szCs w:val="20"/>
              </w:rPr>
            </w:pPr>
            <w:r w:rsidRPr="00D31147">
              <w:rPr>
                <w:rFonts w:ascii="Times New Roman" w:eastAsia="Times New Roman" w:hAnsi="Times New Roman" w:cs="Times New Roman"/>
                <w:color w:val="000000" w:themeColor="text1"/>
                <w:sz w:val="20"/>
                <w:szCs w:val="20"/>
              </w:rPr>
              <w:t>174 345</w:t>
            </w:r>
            <w:r w:rsidR="00F010D2" w:rsidRPr="00D31147">
              <w:rPr>
                <w:rFonts w:ascii="Times New Roman" w:eastAsia="Times New Roman" w:hAnsi="Times New Roman" w:cs="Times New Roman"/>
                <w:color w:val="000000" w:themeColor="text1"/>
                <w:sz w:val="20"/>
                <w:szCs w:val="20"/>
              </w:rPr>
              <w:t> </w:t>
            </w:r>
            <w:r w:rsidRPr="00D31147">
              <w:rPr>
                <w:rFonts w:ascii="Times New Roman" w:eastAsia="Times New Roman" w:hAnsi="Times New Roman" w:cs="Times New Roman"/>
                <w:color w:val="000000" w:themeColor="text1"/>
                <w:sz w:val="20"/>
                <w:szCs w:val="20"/>
              </w:rPr>
              <w:t>000</w:t>
            </w:r>
            <w:r w:rsidR="00F010D2" w:rsidRPr="00D31147">
              <w:rPr>
                <w:rFonts w:ascii="Times New Roman" w:eastAsia="Times New Roman" w:hAnsi="Times New Roman" w:cs="Times New Roman"/>
                <w:color w:val="000000" w:themeColor="text1"/>
                <w:sz w:val="20"/>
                <w:szCs w:val="20"/>
              </w:rPr>
              <w:t>***</w:t>
            </w:r>
            <w:r w:rsidR="6075987E" w:rsidRPr="00D31147">
              <w:rPr>
                <w:rFonts w:ascii="Times New Roman" w:eastAsia="Times New Roman" w:hAnsi="Times New Roman" w:cs="Times New Roman"/>
                <w:color w:val="000000" w:themeColor="text1"/>
                <w:sz w:val="20"/>
                <w:szCs w:val="20"/>
              </w:rPr>
              <w:t xml:space="preserve"> </w:t>
            </w:r>
          </w:p>
        </w:tc>
      </w:tr>
      <w:tr w:rsidR="6075987E" w14:paraId="4A12A49A" w14:textId="77777777" w:rsidTr="638FD9FE">
        <w:trPr>
          <w:trHeight w:val="300"/>
          <w:jc w:val="center"/>
        </w:trPr>
        <w:tc>
          <w:tcPr>
            <w:tcW w:w="1965" w:type="dxa"/>
            <w:vAlign w:val="center"/>
          </w:tcPr>
          <w:p w14:paraId="44B58232" w14:textId="5A4BA21E" w:rsidR="6075987E" w:rsidRDefault="6075987E"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Nepieciešamais finansējums (citi avoti bez CEF) bez PVN</w:t>
            </w:r>
          </w:p>
        </w:tc>
        <w:tc>
          <w:tcPr>
            <w:tcW w:w="1291" w:type="dxa"/>
            <w:vAlign w:val="center"/>
          </w:tcPr>
          <w:p w14:paraId="26EEA552" w14:textId="7FBED698" w:rsidR="6075987E" w:rsidRDefault="6075987E"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2 371 090 521</w:t>
            </w:r>
          </w:p>
        </w:tc>
        <w:tc>
          <w:tcPr>
            <w:tcW w:w="2130" w:type="dxa"/>
            <w:vAlign w:val="center"/>
          </w:tcPr>
          <w:p w14:paraId="35FDAB8C" w14:textId="5CA59782" w:rsidR="6075987E" w:rsidRPr="00D31147" w:rsidRDefault="6075987E" w:rsidP="00A27B89">
            <w:pPr>
              <w:jc w:val="center"/>
              <w:rPr>
                <w:rFonts w:ascii="Times New Roman" w:eastAsia="Calibri" w:hAnsi="Times New Roman" w:cs="Times New Roman"/>
                <w:color w:val="000000" w:themeColor="text1"/>
                <w:sz w:val="20"/>
                <w:szCs w:val="20"/>
              </w:rPr>
            </w:pPr>
            <w:r w:rsidRPr="00D31147">
              <w:rPr>
                <w:rFonts w:ascii="Times New Roman" w:eastAsia="Calibri" w:hAnsi="Times New Roman" w:cs="Times New Roman"/>
                <w:color w:val="000000" w:themeColor="text1"/>
                <w:sz w:val="20"/>
                <w:szCs w:val="20"/>
              </w:rPr>
              <w:t xml:space="preserve"> </w:t>
            </w:r>
            <w:r w:rsidR="000103AB" w:rsidRPr="00D31147">
              <w:rPr>
                <w:rFonts w:ascii="Times New Roman" w:eastAsia="Calibri" w:hAnsi="Times New Roman" w:cs="Times New Roman"/>
                <w:color w:val="000000" w:themeColor="text1"/>
                <w:sz w:val="20"/>
                <w:szCs w:val="20"/>
              </w:rPr>
              <w:t>1</w:t>
            </w:r>
            <w:r w:rsidR="00123570" w:rsidRPr="00D31147">
              <w:rPr>
                <w:rFonts w:ascii="Times New Roman" w:eastAsia="Calibri" w:hAnsi="Times New Roman" w:cs="Times New Roman"/>
                <w:color w:val="000000" w:themeColor="text1"/>
                <w:sz w:val="20"/>
                <w:szCs w:val="20"/>
              </w:rPr>
              <w:t> 185 545</w:t>
            </w:r>
            <w:r w:rsidR="00F010D2" w:rsidRPr="00D31147">
              <w:rPr>
                <w:rFonts w:ascii="Times New Roman" w:eastAsia="Calibri" w:hAnsi="Times New Roman" w:cs="Times New Roman"/>
                <w:color w:val="000000" w:themeColor="text1"/>
                <w:sz w:val="20"/>
                <w:szCs w:val="20"/>
              </w:rPr>
              <w:t> </w:t>
            </w:r>
            <w:r w:rsidR="00123570" w:rsidRPr="00D31147">
              <w:rPr>
                <w:rFonts w:ascii="Times New Roman" w:eastAsia="Calibri" w:hAnsi="Times New Roman" w:cs="Times New Roman"/>
                <w:color w:val="000000" w:themeColor="text1"/>
                <w:sz w:val="20"/>
                <w:szCs w:val="20"/>
              </w:rPr>
              <w:t>260</w:t>
            </w:r>
            <w:r w:rsidR="00F010D2" w:rsidRPr="00D31147">
              <w:rPr>
                <w:rFonts w:ascii="Times New Roman" w:eastAsia="Calibri" w:hAnsi="Times New Roman" w:cs="Times New Roman"/>
                <w:color w:val="000000" w:themeColor="text1"/>
                <w:sz w:val="20"/>
                <w:szCs w:val="20"/>
              </w:rPr>
              <w:t>***</w:t>
            </w:r>
          </w:p>
        </w:tc>
        <w:tc>
          <w:tcPr>
            <w:tcW w:w="1965" w:type="dxa"/>
            <w:vAlign w:val="center"/>
          </w:tcPr>
          <w:p w14:paraId="19FA0053" w14:textId="69DC0003" w:rsidR="6075987E" w:rsidRPr="00D31147" w:rsidRDefault="00123570" w:rsidP="00A27B89">
            <w:pPr>
              <w:jc w:val="center"/>
              <w:rPr>
                <w:rFonts w:ascii="Times New Roman" w:eastAsia="Calibri" w:hAnsi="Times New Roman" w:cs="Times New Roman"/>
                <w:color w:val="000000" w:themeColor="text1"/>
                <w:sz w:val="20"/>
                <w:szCs w:val="20"/>
              </w:rPr>
            </w:pPr>
            <w:r w:rsidRPr="00D31147">
              <w:rPr>
                <w:rFonts w:ascii="Times New Roman" w:eastAsia="Calibri" w:hAnsi="Times New Roman" w:cs="Times New Roman"/>
                <w:color w:val="000000" w:themeColor="text1"/>
                <w:sz w:val="20"/>
                <w:szCs w:val="20"/>
              </w:rPr>
              <w:t>1 185 545</w:t>
            </w:r>
            <w:r w:rsidR="00F010D2" w:rsidRPr="00D31147">
              <w:rPr>
                <w:rFonts w:ascii="Times New Roman" w:eastAsia="Calibri" w:hAnsi="Times New Roman" w:cs="Times New Roman"/>
                <w:color w:val="000000" w:themeColor="text1"/>
                <w:sz w:val="20"/>
                <w:szCs w:val="20"/>
              </w:rPr>
              <w:t> </w:t>
            </w:r>
            <w:r w:rsidRPr="00D31147">
              <w:rPr>
                <w:rFonts w:ascii="Times New Roman" w:eastAsia="Calibri" w:hAnsi="Times New Roman" w:cs="Times New Roman"/>
                <w:color w:val="000000" w:themeColor="text1"/>
                <w:sz w:val="20"/>
                <w:szCs w:val="20"/>
              </w:rPr>
              <w:t>261</w:t>
            </w:r>
            <w:r w:rsidR="00F010D2" w:rsidRPr="00D31147">
              <w:rPr>
                <w:rFonts w:ascii="Times New Roman" w:eastAsia="Calibri" w:hAnsi="Times New Roman" w:cs="Times New Roman"/>
                <w:color w:val="000000" w:themeColor="text1"/>
                <w:sz w:val="20"/>
                <w:szCs w:val="20"/>
              </w:rPr>
              <w:t>***</w:t>
            </w:r>
            <w:r w:rsidR="6075987E" w:rsidRPr="00D31147">
              <w:rPr>
                <w:rFonts w:ascii="Times New Roman" w:eastAsia="Calibri" w:hAnsi="Times New Roman" w:cs="Times New Roman"/>
                <w:color w:val="000000" w:themeColor="text1"/>
                <w:sz w:val="20"/>
                <w:szCs w:val="20"/>
              </w:rPr>
              <w:t xml:space="preserve"> </w:t>
            </w:r>
          </w:p>
        </w:tc>
      </w:tr>
    </w:tbl>
    <w:p w14:paraId="4CEFA610" w14:textId="0ECE9AD0" w:rsidR="00560B6E" w:rsidRPr="00FC053B" w:rsidRDefault="633D83B3" w:rsidP="00A27B89">
      <w:pPr>
        <w:tabs>
          <w:tab w:val="left" w:pos="709"/>
        </w:tabs>
        <w:ind w:left="360"/>
        <w:contextualSpacing/>
        <w:rPr>
          <w:rFonts w:eastAsiaTheme="minorEastAsia" w:cs="Times New Roman"/>
          <w:sz w:val="20"/>
          <w:szCs w:val="20"/>
          <w:lang w:eastAsia="lv-LV"/>
        </w:rPr>
      </w:pPr>
      <w:r w:rsidRPr="00FC053B">
        <w:rPr>
          <w:rFonts w:eastAsiaTheme="minorEastAsia" w:cs="Times New Roman"/>
          <w:sz w:val="20"/>
          <w:szCs w:val="20"/>
          <w:lang w:eastAsia="lv-LV"/>
        </w:rPr>
        <w:t xml:space="preserve">*Valsts budžeta ietekme sadaļās “Būvlaukumu izveide un saistītās izmaksas” un “Pastāvīgie darbi” nav precīzi nosakāma, </w:t>
      </w:r>
      <w:r w:rsidR="43234787" w:rsidRPr="00FC053B">
        <w:rPr>
          <w:rFonts w:eastAsiaTheme="minorEastAsia" w:cs="Times New Roman"/>
          <w:sz w:val="20"/>
          <w:szCs w:val="20"/>
          <w:lang w:eastAsia="lv-LV"/>
        </w:rPr>
        <w:t>jo</w:t>
      </w:r>
      <w:r w:rsidRPr="00FC053B">
        <w:rPr>
          <w:rFonts w:eastAsiaTheme="minorEastAsia" w:cs="Times New Roman"/>
          <w:sz w:val="20"/>
          <w:szCs w:val="20"/>
          <w:lang w:eastAsia="lv-LV"/>
        </w:rPr>
        <w:t xml:space="preserve"> Daugavas dubultā tilta gadījumā valsts līdzfinansējuma daļa pārsniegs 15%, tomēr pašlaik tā nav precīzi nosakāma.</w:t>
      </w:r>
    </w:p>
    <w:p w14:paraId="38277249" w14:textId="7BFE8B6E" w:rsidR="0595A900" w:rsidRDefault="6D1292CA" w:rsidP="00FC053B">
      <w:pPr>
        <w:tabs>
          <w:tab w:val="left" w:pos="709"/>
        </w:tabs>
        <w:ind w:left="360"/>
        <w:contextualSpacing/>
        <w:rPr>
          <w:rFonts w:eastAsiaTheme="minorEastAsia" w:cs="Times New Roman"/>
          <w:sz w:val="20"/>
          <w:szCs w:val="20"/>
          <w:lang w:eastAsia="lv-LV"/>
        </w:rPr>
      </w:pPr>
      <w:r w:rsidRPr="00FC053B">
        <w:rPr>
          <w:rFonts w:eastAsiaTheme="minorEastAsia" w:cs="Times New Roman"/>
          <w:sz w:val="20"/>
          <w:szCs w:val="20"/>
          <w:lang w:eastAsia="lv-LV"/>
        </w:rPr>
        <w:t>**</w:t>
      </w:r>
      <w:r w:rsidR="3D9410CE" w:rsidRPr="00FC053B">
        <w:rPr>
          <w:rFonts w:eastAsiaTheme="minorEastAsia" w:cs="Times New Roman"/>
          <w:sz w:val="20"/>
          <w:szCs w:val="20"/>
          <w:lang w:eastAsia="lv-LV"/>
        </w:rPr>
        <w:t xml:space="preserve"> </w:t>
      </w:r>
      <w:r w:rsidR="11CC8A3A" w:rsidRPr="00FC053B">
        <w:rPr>
          <w:rFonts w:eastAsiaTheme="minorEastAsia" w:cs="Times New Roman"/>
          <w:sz w:val="20"/>
          <w:szCs w:val="20"/>
          <w:lang w:eastAsia="lv-LV"/>
        </w:rPr>
        <w:t xml:space="preserve">PVN </w:t>
      </w:r>
      <w:r w:rsidR="7CDF00D6" w:rsidRPr="00FC053B">
        <w:rPr>
          <w:rFonts w:eastAsiaTheme="minorEastAsia" w:cs="Times New Roman"/>
          <w:sz w:val="20"/>
          <w:szCs w:val="20"/>
          <w:lang w:eastAsia="lv-LV"/>
        </w:rPr>
        <w:t xml:space="preserve">likme </w:t>
      </w:r>
      <w:r w:rsidR="43234787" w:rsidRPr="00FC053B">
        <w:rPr>
          <w:rFonts w:eastAsiaTheme="minorEastAsia" w:cs="Times New Roman"/>
          <w:sz w:val="20"/>
          <w:szCs w:val="20"/>
          <w:lang w:eastAsia="lv-LV"/>
        </w:rPr>
        <w:t xml:space="preserve">šī </w:t>
      </w:r>
      <w:r w:rsidR="49A4F890" w:rsidRPr="00FC053B">
        <w:rPr>
          <w:rFonts w:eastAsiaTheme="minorEastAsia" w:cs="Times New Roman"/>
          <w:sz w:val="20"/>
          <w:szCs w:val="20"/>
          <w:lang w:eastAsia="lv-LV"/>
        </w:rPr>
        <w:t>I</w:t>
      </w:r>
      <w:r w:rsidR="43234787" w:rsidRPr="00FC053B">
        <w:rPr>
          <w:rFonts w:eastAsiaTheme="minorEastAsia" w:cs="Times New Roman"/>
          <w:sz w:val="20"/>
          <w:szCs w:val="20"/>
          <w:lang w:eastAsia="lv-LV"/>
        </w:rPr>
        <w:t>nformatīvā ziņojuma</w:t>
      </w:r>
      <w:r w:rsidR="49A4F890" w:rsidRPr="00FC053B">
        <w:rPr>
          <w:rFonts w:eastAsiaTheme="minorEastAsia" w:cs="Times New Roman"/>
          <w:sz w:val="20"/>
          <w:szCs w:val="20"/>
          <w:lang w:eastAsia="lv-LV"/>
        </w:rPr>
        <w:t xml:space="preserve"> sagatavošanas brīdī ir 21 %</w:t>
      </w:r>
      <w:r w:rsidR="43234787" w:rsidRPr="00FC053B">
        <w:rPr>
          <w:rFonts w:eastAsiaTheme="minorEastAsia" w:cs="Times New Roman"/>
          <w:sz w:val="20"/>
          <w:szCs w:val="20"/>
          <w:lang w:eastAsia="lv-LV"/>
        </w:rPr>
        <w:t>.</w:t>
      </w:r>
      <w:r w:rsidR="49A4F890" w:rsidRPr="00FC053B">
        <w:rPr>
          <w:rFonts w:eastAsiaTheme="minorEastAsia" w:cs="Times New Roman"/>
          <w:sz w:val="20"/>
          <w:szCs w:val="20"/>
          <w:lang w:eastAsia="lv-LV"/>
        </w:rPr>
        <w:t xml:space="preserve"> </w:t>
      </w:r>
    </w:p>
    <w:p w14:paraId="0EB94FD9" w14:textId="55F1845F" w:rsidR="00F010D2" w:rsidRPr="00FC053B" w:rsidRDefault="00F010D2" w:rsidP="00FC053B">
      <w:pPr>
        <w:tabs>
          <w:tab w:val="left" w:pos="709"/>
        </w:tabs>
        <w:ind w:left="360"/>
        <w:contextualSpacing/>
        <w:rPr>
          <w:rFonts w:eastAsiaTheme="minorEastAsia" w:cs="Times New Roman"/>
          <w:sz w:val="20"/>
          <w:szCs w:val="20"/>
          <w:lang w:eastAsia="lv-LV"/>
        </w:rPr>
      </w:pPr>
      <w:r>
        <w:rPr>
          <w:rFonts w:eastAsiaTheme="minorEastAsia" w:cs="Times New Roman"/>
          <w:sz w:val="20"/>
          <w:szCs w:val="20"/>
          <w:lang w:eastAsia="lv-LV"/>
        </w:rPr>
        <w:t>*** sadal</w:t>
      </w:r>
      <w:r w:rsidR="004E5987">
        <w:rPr>
          <w:rFonts w:eastAsiaTheme="minorEastAsia" w:cs="Times New Roman"/>
          <w:sz w:val="20"/>
          <w:szCs w:val="20"/>
          <w:lang w:eastAsia="lv-LV"/>
        </w:rPr>
        <w:t xml:space="preserve">ījums ir indikatīvs, jo </w:t>
      </w:r>
      <w:r w:rsidR="00F25F77">
        <w:rPr>
          <w:rFonts w:eastAsiaTheme="minorEastAsia" w:cs="Times New Roman"/>
          <w:sz w:val="20"/>
          <w:szCs w:val="20"/>
          <w:lang w:eastAsia="lv-LV"/>
        </w:rPr>
        <w:t xml:space="preserve">CEF finansējuma likme var mainīties un ministrijai var neizdoties piesaistīt </w:t>
      </w:r>
      <w:r w:rsidR="0005227B">
        <w:rPr>
          <w:rFonts w:eastAsiaTheme="minorEastAsia" w:cs="Times New Roman"/>
          <w:sz w:val="20"/>
          <w:szCs w:val="20"/>
          <w:lang w:eastAsia="lv-LV"/>
        </w:rPr>
        <w:t>plānoto ārējo finansējumu</w:t>
      </w:r>
    </w:p>
    <w:p w14:paraId="57EBA855" w14:textId="7CD51CFE" w:rsidR="00A76AD4" w:rsidRPr="00FC053B" w:rsidRDefault="00B1227C" w:rsidP="00FC053B">
      <w:pPr>
        <w:tabs>
          <w:tab w:val="left" w:pos="709"/>
        </w:tabs>
        <w:ind w:left="360"/>
        <w:contextualSpacing/>
        <w:rPr>
          <w:rFonts w:eastAsiaTheme="minorEastAsia" w:cs="Times New Roman"/>
          <w:sz w:val="20"/>
          <w:szCs w:val="20"/>
          <w:lang w:eastAsia="lv-LV"/>
        </w:rPr>
      </w:pPr>
      <w:r>
        <w:rPr>
          <w:rFonts w:eastAsiaTheme="minorEastAsia" w:cs="Times New Roman"/>
          <w:sz w:val="20"/>
          <w:szCs w:val="20"/>
          <w:lang w:eastAsia="lv-LV"/>
        </w:rPr>
        <w:t xml:space="preserve">**** </w:t>
      </w:r>
      <w:r w:rsidR="005B1762">
        <w:rPr>
          <w:rFonts w:eastAsiaTheme="minorEastAsia" w:cs="Times New Roman"/>
          <w:sz w:val="20"/>
          <w:szCs w:val="20"/>
          <w:lang w:eastAsia="lv-LV"/>
        </w:rPr>
        <w:t xml:space="preserve">tā kā </w:t>
      </w:r>
      <w:r w:rsidR="00FD182D">
        <w:rPr>
          <w:rFonts w:eastAsiaTheme="minorEastAsia" w:cs="Times New Roman"/>
          <w:sz w:val="20"/>
          <w:szCs w:val="20"/>
          <w:lang w:eastAsia="lv-LV"/>
        </w:rPr>
        <w:t>uzturēšana starp k</w:t>
      </w:r>
      <w:r w:rsidR="00DF3C46">
        <w:rPr>
          <w:rFonts w:eastAsiaTheme="minorEastAsia" w:cs="Times New Roman"/>
          <w:sz w:val="20"/>
          <w:szCs w:val="20"/>
          <w:lang w:eastAsia="lv-LV"/>
        </w:rPr>
        <w:t xml:space="preserve">ārtām </w:t>
      </w:r>
      <w:r w:rsidR="00045E3B">
        <w:rPr>
          <w:rFonts w:eastAsiaTheme="minorEastAsia" w:cs="Times New Roman"/>
          <w:sz w:val="20"/>
          <w:szCs w:val="20"/>
          <w:lang w:eastAsia="lv-LV"/>
        </w:rPr>
        <w:t xml:space="preserve">var tikt finansēta tikai no </w:t>
      </w:r>
      <w:r w:rsidR="00CF6F5F">
        <w:rPr>
          <w:rFonts w:eastAsiaTheme="minorEastAsia" w:cs="Times New Roman"/>
          <w:sz w:val="20"/>
          <w:szCs w:val="20"/>
          <w:lang w:eastAsia="lv-LV"/>
        </w:rPr>
        <w:t>valsts budžeta līdze</w:t>
      </w:r>
      <w:r w:rsidR="00902478">
        <w:rPr>
          <w:rFonts w:eastAsiaTheme="minorEastAsia" w:cs="Times New Roman"/>
          <w:sz w:val="20"/>
          <w:szCs w:val="20"/>
          <w:lang w:eastAsia="lv-LV"/>
        </w:rPr>
        <w:t xml:space="preserve">kļiem, </w:t>
      </w:r>
      <w:r w:rsidR="009B214B">
        <w:rPr>
          <w:rFonts w:eastAsiaTheme="minorEastAsia" w:cs="Times New Roman"/>
          <w:sz w:val="20"/>
          <w:szCs w:val="20"/>
          <w:lang w:eastAsia="lv-LV"/>
        </w:rPr>
        <w:t xml:space="preserve">būvdarbu </w:t>
      </w:r>
      <w:r w:rsidR="00BF3E05">
        <w:rPr>
          <w:rFonts w:eastAsiaTheme="minorEastAsia" w:cs="Times New Roman"/>
          <w:sz w:val="20"/>
          <w:szCs w:val="20"/>
          <w:lang w:eastAsia="lv-LV"/>
        </w:rPr>
        <w:t xml:space="preserve">līguma </w:t>
      </w:r>
      <w:r w:rsidR="00E840CA">
        <w:rPr>
          <w:rFonts w:eastAsiaTheme="minorEastAsia" w:cs="Times New Roman"/>
          <w:sz w:val="20"/>
          <w:szCs w:val="20"/>
          <w:lang w:eastAsia="lv-LV"/>
        </w:rPr>
        <w:t xml:space="preserve">izmaksu </w:t>
      </w:r>
      <w:r w:rsidR="00C93382">
        <w:rPr>
          <w:rFonts w:eastAsiaTheme="minorEastAsia" w:cs="Times New Roman"/>
          <w:sz w:val="20"/>
          <w:szCs w:val="20"/>
          <w:lang w:eastAsia="lv-LV"/>
        </w:rPr>
        <w:t>sadalījumā ne</w:t>
      </w:r>
      <w:r w:rsidR="000B6258">
        <w:rPr>
          <w:rFonts w:eastAsiaTheme="minorEastAsia" w:cs="Times New Roman"/>
          <w:sz w:val="20"/>
          <w:szCs w:val="20"/>
          <w:lang w:eastAsia="lv-LV"/>
        </w:rPr>
        <w:t>saglabājas</w:t>
      </w:r>
      <w:r w:rsidR="0088791C">
        <w:rPr>
          <w:rFonts w:eastAsiaTheme="minorEastAsia" w:cs="Times New Roman"/>
          <w:sz w:val="20"/>
          <w:szCs w:val="20"/>
          <w:lang w:eastAsia="lv-LV"/>
        </w:rPr>
        <w:t xml:space="preserve"> </w:t>
      </w:r>
      <w:r w:rsidR="00EF6D49">
        <w:rPr>
          <w:rFonts w:eastAsiaTheme="minorEastAsia" w:cs="Times New Roman"/>
          <w:sz w:val="20"/>
          <w:szCs w:val="20"/>
          <w:lang w:eastAsia="lv-LV"/>
        </w:rPr>
        <w:t xml:space="preserve">CEF8 </w:t>
      </w:r>
      <w:r w:rsidR="00096E3E">
        <w:rPr>
          <w:rFonts w:eastAsiaTheme="minorEastAsia" w:cs="Times New Roman"/>
          <w:sz w:val="20"/>
          <w:szCs w:val="20"/>
          <w:lang w:eastAsia="lv-LV"/>
        </w:rPr>
        <w:t xml:space="preserve">un CEF9 </w:t>
      </w:r>
      <w:r w:rsidR="0024464F">
        <w:rPr>
          <w:rFonts w:eastAsiaTheme="minorEastAsia" w:cs="Times New Roman"/>
          <w:sz w:val="20"/>
          <w:szCs w:val="20"/>
          <w:lang w:eastAsia="lv-LV"/>
        </w:rPr>
        <w:t xml:space="preserve">finansēšanas līgumu </w:t>
      </w:r>
      <w:r w:rsidR="00D12955">
        <w:rPr>
          <w:rFonts w:eastAsiaTheme="minorEastAsia" w:cs="Times New Roman"/>
          <w:sz w:val="20"/>
          <w:szCs w:val="20"/>
          <w:lang w:eastAsia="lv-LV"/>
        </w:rPr>
        <w:t>finansējuma : līdzf</w:t>
      </w:r>
      <w:r w:rsidR="00B46CDD">
        <w:rPr>
          <w:rFonts w:eastAsiaTheme="minorEastAsia" w:cs="Times New Roman"/>
          <w:sz w:val="20"/>
          <w:szCs w:val="20"/>
          <w:lang w:eastAsia="lv-LV"/>
        </w:rPr>
        <w:t>i</w:t>
      </w:r>
      <w:r w:rsidR="00D12955">
        <w:rPr>
          <w:rFonts w:eastAsiaTheme="minorEastAsia" w:cs="Times New Roman"/>
          <w:sz w:val="20"/>
          <w:szCs w:val="20"/>
          <w:lang w:eastAsia="lv-LV"/>
        </w:rPr>
        <w:t>nansējuma</w:t>
      </w:r>
      <w:r w:rsidR="00B46CDD">
        <w:rPr>
          <w:rFonts w:eastAsiaTheme="minorEastAsia" w:cs="Times New Roman"/>
          <w:sz w:val="20"/>
          <w:szCs w:val="20"/>
          <w:lang w:eastAsia="lv-LV"/>
        </w:rPr>
        <w:t xml:space="preserve"> </w:t>
      </w:r>
      <w:r w:rsidR="00FE04AC">
        <w:rPr>
          <w:rFonts w:eastAsiaTheme="minorEastAsia" w:cs="Times New Roman"/>
          <w:sz w:val="20"/>
          <w:szCs w:val="20"/>
          <w:lang w:eastAsia="lv-LV"/>
        </w:rPr>
        <w:t>likmes</w:t>
      </w:r>
      <w:r w:rsidR="00D12955">
        <w:rPr>
          <w:rFonts w:eastAsiaTheme="minorEastAsia" w:cs="Times New Roman"/>
          <w:sz w:val="20"/>
          <w:szCs w:val="20"/>
          <w:lang w:eastAsia="lv-LV"/>
        </w:rPr>
        <w:t xml:space="preserve"> </w:t>
      </w:r>
      <w:r w:rsidR="00096E3E">
        <w:rPr>
          <w:rFonts w:eastAsiaTheme="minorEastAsia" w:cs="Times New Roman"/>
          <w:sz w:val="20"/>
          <w:szCs w:val="20"/>
          <w:lang w:eastAsia="lv-LV"/>
        </w:rPr>
        <w:t xml:space="preserve"> </w:t>
      </w:r>
    </w:p>
    <w:p w14:paraId="690413CB" w14:textId="7898AA66" w:rsidR="3C610601" w:rsidRDefault="0060676C" w:rsidP="003F1977">
      <w:pPr>
        <w:tabs>
          <w:tab w:val="left" w:pos="567"/>
        </w:tabs>
        <w:spacing w:after="0" w:line="240" w:lineRule="auto"/>
        <w:contextualSpacing/>
        <w:jc w:val="both"/>
        <w:rPr>
          <w:sz w:val="24"/>
          <w:szCs w:val="24"/>
        </w:rPr>
      </w:pPr>
      <w:r>
        <w:rPr>
          <w:rFonts w:eastAsiaTheme="minorEastAsia" w:cs="Times New Roman"/>
          <w:sz w:val="24"/>
          <w:szCs w:val="24"/>
          <w:lang w:eastAsia="lv-LV"/>
        </w:rPr>
        <w:tab/>
      </w:r>
      <w:r w:rsidR="152577E5" w:rsidRPr="394CD76E">
        <w:rPr>
          <w:rFonts w:eastAsiaTheme="minorEastAsia" w:cs="Times New Roman"/>
          <w:sz w:val="24"/>
          <w:szCs w:val="24"/>
          <w:lang w:eastAsia="lv-LV"/>
        </w:rPr>
        <w:t xml:space="preserve">Sākotnēji plānots </w:t>
      </w:r>
      <w:r w:rsidR="3C610601" w:rsidRPr="394CD76E">
        <w:rPr>
          <w:rFonts w:eastAsiaTheme="minorEastAsia" w:cs="Times New Roman"/>
          <w:sz w:val="24"/>
          <w:szCs w:val="24"/>
          <w:lang w:eastAsia="lv-LV"/>
        </w:rPr>
        <w:t xml:space="preserve">finansējumu </w:t>
      </w:r>
      <w:r w:rsidR="05268E37" w:rsidRPr="394CD76E">
        <w:rPr>
          <w:rFonts w:eastAsiaTheme="minorEastAsia" w:cs="Times New Roman"/>
          <w:sz w:val="24"/>
          <w:szCs w:val="24"/>
          <w:lang w:eastAsia="lv-LV"/>
        </w:rPr>
        <w:t>L</w:t>
      </w:r>
      <w:r w:rsidR="3C610601" w:rsidRPr="394CD76E">
        <w:rPr>
          <w:rFonts w:eastAsiaTheme="minorEastAsia" w:cs="Times New Roman"/>
          <w:sz w:val="24"/>
          <w:szCs w:val="24"/>
          <w:lang w:eastAsia="lv-LV"/>
        </w:rPr>
        <w:t>īguma ieviešan</w:t>
      </w:r>
      <w:r w:rsidR="1F6C953C" w:rsidRPr="394CD76E">
        <w:rPr>
          <w:rFonts w:eastAsiaTheme="minorEastAsia" w:cs="Times New Roman"/>
          <w:sz w:val="24"/>
          <w:szCs w:val="24"/>
          <w:lang w:eastAsia="lv-LV"/>
        </w:rPr>
        <w:t>ai</w:t>
      </w:r>
      <w:r w:rsidR="3C610601" w:rsidRPr="394CD76E">
        <w:rPr>
          <w:rFonts w:eastAsiaTheme="minorEastAsia" w:cs="Times New Roman"/>
          <w:sz w:val="24"/>
          <w:szCs w:val="24"/>
          <w:lang w:eastAsia="lv-LV"/>
        </w:rPr>
        <w:t xml:space="preserve">  segt no jau apstiprinātā finansējuma CEF</w:t>
      </w:r>
      <w:r w:rsidR="00D77F6E">
        <w:rPr>
          <w:rFonts w:eastAsiaTheme="minorEastAsia" w:cs="Times New Roman"/>
          <w:sz w:val="24"/>
          <w:szCs w:val="24"/>
          <w:lang w:eastAsia="lv-LV"/>
        </w:rPr>
        <w:t xml:space="preserve"> </w:t>
      </w:r>
      <w:r w:rsidR="3C610601" w:rsidRPr="394CD76E">
        <w:rPr>
          <w:rFonts w:eastAsiaTheme="minorEastAsia" w:cs="Times New Roman"/>
          <w:sz w:val="24"/>
          <w:szCs w:val="24"/>
          <w:lang w:eastAsia="lv-LV"/>
        </w:rPr>
        <w:t>8 un CEF</w:t>
      </w:r>
      <w:r w:rsidR="00D77F6E">
        <w:rPr>
          <w:rFonts w:eastAsiaTheme="minorEastAsia" w:cs="Times New Roman"/>
          <w:sz w:val="24"/>
          <w:szCs w:val="24"/>
          <w:lang w:eastAsia="lv-LV"/>
        </w:rPr>
        <w:t xml:space="preserve"> </w:t>
      </w:r>
      <w:r w:rsidR="3C610601" w:rsidRPr="394CD76E">
        <w:rPr>
          <w:rFonts w:eastAsiaTheme="minorEastAsia" w:cs="Times New Roman"/>
          <w:sz w:val="24"/>
          <w:szCs w:val="24"/>
          <w:lang w:eastAsia="lv-LV"/>
        </w:rPr>
        <w:t xml:space="preserve">9 </w:t>
      </w:r>
      <w:r w:rsidR="183F572B" w:rsidRPr="394CD76E">
        <w:rPr>
          <w:rFonts w:eastAsiaTheme="minorEastAsia" w:cs="Times New Roman"/>
          <w:sz w:val="24"/>
          <w:szCs w:val="24"/>
          <w:lang w:eastAsia="lv-LV"/>
        </w:rPr>
        <w:t xml:space="preserve">uzsaukumos, kā arī no nākotnes CEF </w:t>
      </w:r>
      <w:r w:rsidR="3DC893D4" w:rsidRPr="394CD76E">
        <w:rPr>
          <w:rFonts w:eastAsiaTheme="minorEastAsia" w:cs="Times New Roman"/>
          <w:sz w:val="24"/>
          <w:szCs w:val="24"/>
          <w:lang w:eastAsia="lv-LV"/>
        </w:rPr>
        <w:t>uzsaukumiem</w:t>
      </w:r>
      <w:r w:rsidR="682EEFD7" w:rsidRPr="394CD76E">
        <w:rPr>
          <w:rFonts w:eastAsiaTheme="minorEastAsia" w:cs="Times New Roman"/>
          <w:sz w:val="24"/>
          <w:szCs w:val="24"/>
          <w:lang w:eastAsia="lv-LV"/>
        </w:rPr>
        <w:t xml:space="preserve"> un valsts budžeta līdzfinansējuma</w:t>
      </w:r>
      <w:r w:rsidR="183F572B" w:rsidRPr="394CD76E">
        <w:rPr>
          <w:rFonts w:eastAsiaTheme="minorEastAsia" w:cs="Times New Roman"/>
          <w:sz w:val="24"/>
          <w:szCs w:val="24"/>
          <w:lang w:eastAsia="lv-LV"/>
        </w:rPr>
        <w:t xml:space="preserve">. </w:t>
      </w:r>
      <w:r w:rsidR="314B4427" w:rsidRPr="394CD76E">
        <w:rPr>
          <w:rFonts w:eastAsiaTheme="minorEastAsia" w:cs="Times New Roman"/>
          <w:sz w:val="24"/>
          <w:szCs w:val="24"/>
          <w:lang w:eastAsia="lv-LV"/>
        </w:rPr>
        <w:t xml:space="preserve">Svarīgi norādīt, ka šobrīd nav </w:t>
      </w:r>
      <w:r w:rsidR="79E6717D" w:rsidRPr="394CD76E">
        <w:rPr>
          <w:rFonts w:eastAsiaTheme="minorEastAsia" w:cs="Times New Roman"/>
          <w:sz w:val="24"/>
          <w:szCs w:val="24"/>
          <w:lang w:eastAsia="lv-LV"/>
        </w:rPr>
        <w:t xml:space="preserve">precīzi </w:t>
      </w:r>
      <w:r w:rsidR="314B4427" w:rsidRPr="394CD76E">
        <w:rPr>
          <w:rFonts w:eastAsiaTheme="minorEastAsia" w:cs="Times New Roman"/>
          <w:sz w:val="24"/>
          <w:szCs w:val="24"/>
          <w:lang w:eastAsia="lv-LV"/>
        </w:rPr>
        <w:t>zināms, cik liels finansējums</w:t>
      </w:r>
      <w:r w:rsidR="58DE1984" w:rsidRPr="394CD76E">
        <w:rPr>
          <w:rFonts w:eastAsiaTheme="minorEastAsia" w:cs="Times New Roman"/>
          <w:sz w:val="24"/>
          <w:szCs w:val="24"/>
          <w:lang w:eastAsia="lv-LV"/>
        </w:rPr>
        <w:t xml:space="preserve"> no CEF</w:t>
      </w:r>
      <w:r w:rsidR="314B4427" w:rsidRPr="394CD76E">
        <w:rPr>
          <w:rFonts w:eastAsiaTheme="minorEastAsia" w:cs="Times New Roman"/>
          <w:sz w:val="24"/>
          <w:szCs w:val="24"/>
          <w:lang w:eastAsia="lv-LV"/>
        </w:rPr>
        <w:t xml:space="preserve"> Latvijai būs pieejams </w:t>
      </w:r>
      <w:r w:rsidR="5356B10B" w:rsidRPr="394CD76E">
        <w:rPr>
          <w:rFonts w:eastAsiaTheme="minorEastAsia" w:cs="Times New Roman"/>
          <w:sz w:val="24"/>
          <w:szCs w:val="24"/>
          <w:lang w:eastAsia="lv-LV"/>
        </w:rPr>
        <w:t>līdz 2030</w:t>
      </w:r>
      <w:r w:rsidR="476D982F" w:rsidRPr="394CD76E">
        <w:rPr>
          <w:rFonts w:eastAsiaTheme="minorEastAsia" w:cs="Times New Roman"/>
          <w:sz w:val="24"/>
          <w:szCs w:val="24"/>
          <w:lang w:eastAsia="lv-LV"/>
        </w:rPr>
        <w:t>.</w:t>
      </w:r>
      <w:r w:rsidR="5356B10B" w:rsidRPr="394CD76E">
        <w:rPr>
          <w:rFonts w:eastAsiaTheme="minorEastAsia" w:cs="Times New Roman"/>
          <w:sz w:val="24"/>
          <w:szCs w:val="24"/>
          <w:lang w:eastAsia="lv-LV"/>
        </w:rPr>
        <w:t xml:space="preserve"> gadam</w:t>
      </w:r>
      <w:r w:rsidR="4A51139B" w:rsidRPr="394CD76E">
        <w:rPr>
          <w:rFonts w:eastAsiaTheme="minorEastAsia" w:cs="Times New Roman"/>
          <w:sz w:val="24"/>
          <w:szCs w:val="24"/>
          <w:lang w:eastAsia="lv-LV"/>
        </w:rPr>
        <w:t xml:space="preserve">. </w:t>
      </w:r>
      <w:r w:rsidR="3B3867CA" w:rsidRPr="6075987E">
        <w:rPr>
          <w:rFonts w:eastAsia="Times New Roman" w:cs="Times New Roman"/>
          <w:sz w:val="24"/>
          <w:szCs w:val="24"/>
        </w:rPr>
        <w:t xml:space="preserve">Pašreizējās aplēses rāda, ka </w:t>
      </w:r>
      <w:r w:rsidR="3B3867CA" w:rsidRPr="394CD76E">
        <w:rPr>
          <w:rFonts w:eastAsia="Times New Roman" w:cs="Times New Roman"/>
          <w:sz w:val="24"/>
          <w:szCs w:val="24"/>
        </w:rPr>
        <w:t>papildu</w:t>
      </w:r>
      <w:r w:rsidR="3B3867CA" w:rsidRPr="6075987E">
        <w:rPr>
          <w:rFonts w:eastAsia="Times New Roman" w:cs="Times New Roman"/>
          <w:sz w:val="24"/>
          <w:szCs w:val="24"/>
        </w:rPr>
        <w:t xml:space="preserve"> CEF finansējumam varētu būt nepieciešams </w:t>
      </w:r>
      <w:r w:rsidR="3B3867CA" w:rsidRPr="6075987E">
        <w:rPr>
          <w:rFonts w:eastAsia="Times New Roman" w:cs="Times New Roman"/>
          <w:color w:val="000000" w:themeColor="text1"/>
          <w:sz w:val="24"/>
          <w:szCs w:val="24"/>
        </w:rPr>
        <w:t xml:space="preserve">2 371 090 521 </w:t>
      </w:r>
      <w:r w:rsidR="002C5510" w:rsidRPr="002C5510">
        <w:rPr>
          <w:rFonts w:eastAsia="Times New Roman" w:cs="Times New Roman"/>
          <w:i/>
          <w:color w:val="000000" w:themeColor="text1"/>
          <w:sz w:val="24"/>
          <w:szCs w:val="24"/>
        </w:rPr>
        <w:t>euro</w:t>
      </w:r>
      <w:r w:rsidR="3B3867CA" w:rsidRPr="6075987E">
        <w:rPr>
          <w:rFonts w:eastAsia="Times New Roman" w:cs="Times New Roman"/>
          <w:color w:val="000000" w:themeColor="text1"/>
          <w:sz w:val="20"/>
          <w:szCs w:val="20"/>
        </w:rPr>
        <w:t xml:space="preserve"> </w:t>
      </w:r>
      <w:r w:rsidR="3B3867CA" w:rsidRPr="6075987E">
        <w:rPr>
          <w:rFonts w:eastAsia="Times New Roman" w:cs="Times New Roman"/>
          <w:sz w:val="24"/>
          <w:szCs w:val="24"/>
        </w:rPr>
        <w:t xml:space="preserve">finansējums. </w:t>
      </w:r>
      <w:r w:rsidR="001AF190" w:rsidRPr="394CD76E">
        <w:rPr>
          <w:rFonts w:eastAsiaTheme="minorEastAsia" w:cs="Times New Roman"/>
          <w:sz w:val="24"/>
          <w:szCs w:val="24"/>
          <w:lang w:eastAsia="lv-LV"/>
        </w:rPr>
        <w:t>Tāpat, ņ</w:t>
      </w:r>
      <w:r w:rsidR="001AF190" w:rsidRPr="6075987E">
        <w:rPr>
          <w:sz w:val="24"/>
          <w:szCs w:val="24"/>
        </w:rPr>
        <w:t>emot vērā 2023. gad</w:t>
      </w:r>
      <w:r w:rsidR="458B01EE" w:rsidRPr="6075987E">
        <w:rPr>
          <w:sz w:val="24"/>
          <w:szCs w:val="24"/>
        </w:rPr>
        <w:t xml:space="preserve">a </w:t>
      </w:r>
      <w:r w:rsidR="03C9F761" w:rsidRPr="394CD76E">
        <w:rPr>
          <w:sz w:val="24"/>
          <w:szCs w:val="24"/>
        </w:rPr>
        <w:t>II</w:t>
      </w:r>
      <w:r w:rsidR="004636CD" w:rsidRPr="394CD76E">
        <w:rPr>
          <w:sz w:val="24"/>
          <w:szCs w:val="24"/>
        </w:rPr>
        <w:t>A</w:t>
      </w:r>
      <w:r w:rsidR="001AF190" w:rsidRPr="394CD76E">
        <w:rPr>
          <w:sz w:val="24"/>
          <w:szCs w:val="24"/>
        </w:rPr>
        <w:t>,</w:t>
      </w:r>
      <w:r w:rsidR="001AF190" w:rsidRPr="6075987E">
        <w:rPr>
          <w:sz w:val="24"/>
          <w:szCs w:val="24"/>
        </w:rPr>
        <w:t xml:space="preserve"> kurā kopējās projekta ieviešanas izmaksas ir pieaugušas vismaz </w:t>
      </w:r>
      <w:r w:rsidR="006A2A16">
        <w:rPr>
          <w:sz w:val="24"/>
          <w:szCs w:val="24"/>
        </w:rPr>
        <w:t>4</w:t>
      </w:r>
      <w:r w:rsidR="001AF190" w:rsidRPr="6075987E">
        <w:rPr>
          <w:sz w:val="24"/>
          <w:szCs w:val="24"/>
        </w:rPr>
        <w:t>,</w:t>
      </w:r>
      <w:r w:rsidR="006A2A16">
        <w:rPr>
          <w:sz w:val="24"/>
          <w:szCs w:val="24"/>
        </w:rPr>
        <w:t>1</w:t>
      </w:r>
      <w:r w:rsidR="001AF190" w:rsidRPr="6075987E">
        <w:rPr>
          <w:sz w:val="24"/>
          <w:szCs w:val="24"/>
        </w:rPr>
        <w:t xml:space="preserve"> reiz</w:t>
      </w:r>
      <w:r w:rsidR="006A2A16">
        <w:rPr>
          <w:sz w:val="24"/>
          <w:szCs w:val="24"/>
        </w:rPr>
        <w:t>i</w:t>
      </w:r>
      <w:r w:rsidR="4706CACB" w:rsidRPr="6075987E">
        <w:rPr>
          <w:sz w:val="24"/>
          <w:szCs w:val="24"/>
        </w:rPr>
        <w:t xml:space="preserve">, </w:t>
      </w:r>
      <w:r w:rsidR="4706CACB" w:rsidRPr="6075987E">
        <w:rPr>
          <w:rFonts w:eastAsia="Times New Roman" w:cs="Times New Roman"/>
          <w:sz w:val="24"/>
          <w:szCs w:val="24"/>
        </w:rPr>
        <w:t>minētā papildu nepieciešamā finansējuma apjoms varētu vēl pieaugt.</w:t>
      </w:r>
      <w:r w:rsidR="001AF190" w:rsidRPr="6075987E">
        <w:rPr>
          <w:sz w:val="24"/>
          <w:szCs w:val="24"/>
        </w:rPr>
        <w:t xml:space="preserve"> Šobrī</w:t>
      </w:r>
      <w:r w:rsidR="0595A900" w:rsidRPr="6075987E">
        <w:rPr>
          <w:sz w:val="24"/>
          <w:szCs w:val="24"/>
        </w:rPr>
        <w:t xml:space="preserve">d </w:t>
      </w:r>
      <w:r w:rsidR="15420246" w:rsidRPr="6075987E">
        <w:rPr>
          <w:sz w:val="24"/>
          <w:szCs w:val="24"/>
        </w:rPr>
        <w:t xml:space="preserve">arī </w:t>
      </w:r>
      <w:r w:rsidR="0595A900" w:rsidRPr="6075987E">
        <w:rPr>
          <w:sz w:val="24"/>
          <w:szCs w:val="24"/>
        </w:rPr>
        <w:t>na</w:t>
      </w:r>
      <w:r w:rsidR="001AF190" w:rsidRPr="6075987E">
        <w:rPr>
          <w:sz w:val="24"/>
          <w:szCs w:val="24"/>
        </w:rPr>
        <w:t xml:space="preserve">v zināms, kā sarunas par nākamo ES daudzgadu budžetu ietekmēs EISI finansējuma pieejamību sākot no 2028. gada. Tādēļ ir iespējams, ka arī šajā līgumā paredzēto būvdarbu izpildei būs nepieciešams strādāt pie alternatīvā finansējuma piesaistes jau sākot no 2025. </w:t>
      </w:r>
      <w:r w:rsidR="33AE4D0A" w:rsidRPr="6075987E">
        <w:rPr>
          <w:sz w:val="24"/>
          <w:szCs w:val="24"/>
        </w:rPr>
        <w:t>g</w:t>
      </w:r>
      <w:r w:rsidR="001AF190" w:rsidRPr="6075987E">
        <w:rPr>
          <w:sz w:val="24"/>
          <w:szCs w:val="24"/>
        </w:rPr>
        <w:t>ada.</w:t>
      </w:r>
      <w:r w:rsidR="00E44899">
        <w:rPr>
          <w:sz w:val="24"/>
          <w:szCs w:val="24"/>
        </w:rPr>
        <w:t xml:space="preserve"> Lai risinātu </w:t>
      </w:r>
      <w:r w:rsidR="00A03861">
        <w:rPr>
          <w:sz w:val="24"/>
          <w:szCs w:val="24"/>
        </w:rPr>
        <w:t xml:space="preserve">alternatīvā finansējuma </w:t>
      </w:r>
      <w:r w:rsidR="00A209DD">
        <w:rPr>
          <w:sz w:val="24"/>
          <w:szCs w:val="24"/>
        </w:rPr>
        <w:t xml:space="preserve">piesaistes </w:t>
      </w:r>
      <w:r w:rsidR="00A03861">
        <w:rPr>
          <w:sz w:val="24"/>
          <w:szCs w:val="24"/>
        </w:rPr>
        <w:t>jautājumu</w:t>
      </w:r>
      <w:r w:rsidR="00B656CE">
        <w:rPr>
          <w:sz w:val="24"/>
          <w:szCs w:val="24"/>
        </w:rPr>
        <w:t>,</w:t>
      </w:r>
      <w:r w:rsidR="00A03861">
        <w:rPr>
          <w:sz w:val="24"/>
          <w:szCs w:val="24"/>
        </w:rPr>
        <w:t xml:space="preserve"> </w:t>
      </w:r>
      <w:r w:rsidR="009934C7">
        <w:rPr>
          <w:sz w:val="24"/>
          <w:szCs w:val="24"/>
        </w:rPr>
        <w:t>Satiksmes ministrija informatīvajā ziņojumā</w:t>
      </w:r>
      <w:r w:rsidR="006608C2">
        <w:rPr>
          <w:sz w:val="24"/>
          <w:szCs w:val="24"/>
        </w:rPr>
        <w:t xml:space="preserve"> </w:t>
      </w:r>
      <w:r w:rsidR="006608C2">
        <w:rPr>
          <w:rFonts w:eastAsia="Times New Roman" w:cs="Times New Roman"/>
          <w:sz w:val="24"/>
          <w:szCs w:val="24"/>
        </w:rPr>
        <w:t>„</w:t>
      </w:r>
      <w:r w:rsidR="006608C2" w:rsidRPr="009934C7">
        <w:rPr>
          <w:rFonts w:eastAsia="Times New Roman" w:cs="Times New Roman"/>
          <w:sz w:val="24"/>
          <w:szCs w:val="24"/>
        </w:rPr>
        <w:t>Par Rail Baltica projekta tvērumu un īstenošanas plāniem, nodrošinot projekta funkcionalitāti un starpvalstu dzelzceļa līniju savienojumu</w:t>
      </w:r>
      <w:r w:rsidR="006608C2">
        <w:rPr>
          <w:rFonts w:eastAsia="Times New Roman" w:cs="Times New Roman"/>
          <w:sz w:val="24"/>
          <w:szCs w:val="24"/>
        </w:rPr>
        <w:t xml:space="preserve">” (ID Nr. </w:t>
      </w:r>
      <w:r w:rsidR="006608C2" w:rsidRPr="006608C2">
        <w:rPr>
          <w:rFonts w:eastAsia="Times New Roman" w:cs="Times New Roman"/>
          <w:sz w:val="24"/>
          <w:szCs w:val="24"/>
        </w:rPr>
        <w:t>23-TA-3176</w:t>
      </w:r>
      <w:r w:rsidR="006608C2">
        <w:rPr>
          <w:rFonts w:eastAsia="Times New Roman" w:cs="Times New Roman"/>
          <w:sz w:val="24"/>
          <w:szCs w:val="24"/>
        </w:rPr>
        <w:t xml:space="preserve">-IP) </w:t>
      </w:r>
      <w:r w:rsidR="00B651BD">
        <w:rPr>
          <w:rFonts w:eastAsia="Times New Roman" w:cs="Times New Roman"/>
          <w:sz w:val="24"/>
          <w:szCs w:val="24"/>
        </w:rPr>
        <w:t xml:space="preserve">analizējusi </w:t>
      </w:r>
      <w:r w:rsidR="002217A4">
        <w:rPr>
          <w:sz w:val="24"/>
          <w:szCs w:val="24"/>
        </w:rPr>
        <w:t xml:space="preserve">iespējas piesaistīt citas ES programmas, tostarp </w:t>
      </w:r>
      <w:r w:rsidR="00C62B37">
        <w:rPr>
          <w:sz w:val="24"/>
          <w:szCs w:val="24"/>
        </w:rPr>
        <w:t>Atveseļošanās un noturības</w:t>
      </w:r>
      <w:r w:rsidR="0041180B">
        <w:rPr>
          <w:sz w:val="24"/>
          <w:szCs w:val="24"/>
        </w:rPr>
        <w:t xml:space="preserve"> </w:t>
      </w:r>
      <w:r w:rsidR="00966975">
        <w:rPr>
          <w:sz w:val="24"/>
          <w:szCs w:val="24"/>
        </w:rPr>
        <w:t>m</w:t>
      </w:r>
      <w:r w:rsidR="0041180B">
        <w:rPr>
          <w:sz w:val="24"/>
          <w:szCs w:val="24"/>
        </w:rPr>
        <w:t>ehānismu,</w:t>
      </w:r>
      <w:r w:rsidR="00456D9A">
        <w:rPr>
          <w:sz w:val="24"/>
          <w:szCs w:val="24"/>
        </w:rPr>
        <w:t xml:space="preserve"> starptautisko finanšu institūciju </w:t>
      </w:r>
      <w:r w:rsidR="00BF0340">
        <w:rPr>
          <w:sz w:val="24"/>
          <w:szCs w:val="24"/>
        </w:rPr>
        <w:t>aizdevumus</w:t>
      </w:r>
      <w:r w:rsidR="006D7B02">
        <w:rPr>
          <w:sz w:val="24"/>
          <w:szCs w:val="24"/>
        </w:rPr>
        <w:t xml:space="preserve"> un </w:t>
      </w:r>
      <w:r w:rsidR="00BF0340">
        <w:rPr>
          <w:sz w:val="24"/>
          <w:szCs w:val="24"/>
        </w:rPr>
        <w:t>pamatkapitāla finansējumu</w:t>
      </w:r>
      <w:r w:rsidR="006D7B02">
        <w:rPr>
          <w:sz w:val="24"/>
          <w:szCs w:val="24"/>
        </w:rPr>
        <w:t xml:space="preserve">, kā arī izmantot </w:t>
      </w:r>
      <w:r w:rsidR="00893163">
        <w:rPr>
          <w:sz w:val="24"/>
          <w:szCs w:val="24"/>
        </w:rPr>
        <w:t xml:space="preserve">publiskās – privātās partnerības </w:t>
      </w:r>
      <w:r w:rsidR="008E2A07">
        <w:rPr>
          <w:sz w:val="24"/>
          <w:szCs w:val="24"/>
        </w:rPr>
        <w:t xml:space="preserve">modeļus, pamatā koncesiju. </w:t>
      </w:r>
      <w:r w:rsidR="00893163">
        <w:rPr>
          <w:sz w:val="24"/>
          <w:szCs w:val="24"/>
        </w:rPr>
        <w:t xml:space="preserve"> </w:t>
      </w:r>
      <w:r w:rsidR="0041180B">
        <w:rPr>
          <w:sz w:val="24"/>
          <w:szCs w:val="24"/>
        </w:rPr>
        <w:t xml:space="preserve"> </w:t>
      </w:r>
      <w:r w:rsidR="00C62B37">
        <w:rPr>
          <w:sz w:val="24"/>
          <w:szCs w:val="24"/>
        </w:rPr>
        <w:t xml:space="preserve"> </w:t>
      </w:r>
    </w:p>
    <w:p w14:paraId="30982582" w14:textId="3B4CE34A" w:rsidR="00B10D9B" w:rsidRDefault="00054C38" w:rsidP="003F1977">
      <w:pPr>
        <w:tabs>
          <w:tab w:val="left" w:pos="567"/>
        </w:tabs>
        <w:spacing w:after="0" w:line="240" w:lineRule="auto"/>
        <w:contextualSpacing/>
        <w:jc w:val="both"/>
        <w:rPr>
          <w:rFonts w:eastAsia="Times New Roman" w:cs="Times New Roman"/>
          <w:sz w:val="24"/>
          <w:szCs w:val="24"/>
        </w:rPr>
      </w:pPr>
      <w:r>
        <w:rPr>
          <w:rFonts w:eastAsiaTheme="minorEastAsia" w:cs="Times New Roman"/>
          <w:sz w:val="24"/>
          <w:szCs w:val="24"/>
          <w:lang w:eastAsia="lv-LV"/>
        </w:rPr>
        <w:tab/>
      </w:r>
      <w:r w:rsidR="440FBBA1" w:rsidRPr="6075987E">
        <w:rPr>
          <w:rFonts w:eastAsiaTheme="minorEastAsia" w:cs="Times New Roman"/>
          <w:sz w:val="24"/>
          <w:szCs w:val="24"/>
          <w:lang w:eastAsia="lv-LV"/>
        </w:rPr>
        <w:t xml:space="preserve">Ņemot vērā, ka būvprojekti, uz kuriem balstīta līguma summa uz konkursa laiku, kā arī uz 2023. gada </w:t>
      </w:r>
      <w:r w:rsidR="6D3341EE" w:rsidRPr="6075987E">
        <w:rPr>
          <w:rFonts w:eastAsiaTheme="minorEastAsia" w:cs="Times New Roman"/>
          <w:sz w:val="24"/>
          <w:szCs w:val="24"/>
          <w:lang w:eastAsia="lv-LV"/>
        </w:rPr>
        <w:t>novembri</w:t>
      </w:r>
      <w:r w:rsidR="37F3C27D" w:rsidRPr="6075987E">
        <w:rPr>
          <w:rFonts w:eastAsiaTheme="minorEastAsia" w:cs="Times New Roman"/>
          <w:sz w:val="24"/>
          <w:szCs w:val="24"/>
          <w:lang w:eastAsia="lv-LV"/>
        </w:rPr>
        <w:t xml:space="preserve"> vēl ir saskaņošanas stadijā un tajos ir iespējami precizējumi</w:t>
      </w:r>
      <w:r w:rsidR="440FBBA1" w:rsidRPr="6075987E">
        <w:rPr>
          <w:rFonts w:eastAsiaTheme="minorEastAsia" w:cs="Times New Roman"/>
          <w:sz w:val="24"/>
          <w:szCs w:val="24"/>
          <w:lang w:eastAsia="lv-LV"/>
        </w:rPr>
        <w:t xml:space="preserve">, tomēr ir saņemts pirmais apstiprinātais būvprojekts </w:t>
      </w:r>
      <w:r w:rsidR="007561C0">
        <w:rPr>
          <w:rFonts w:eastAsiaTheme="minorEastAsia" w:cs="Times New Roman"/>
          <w:sz w:val="24"/>
          <w:szCs w:val="24"/>
          <w:lang w:eastAsia="lv-LV"/>
        </w:rPr>
        <w:t>–</w:t>
      </w:r>
      <w:r w:rsidR="440FBBA1" w:rsidRPr="6075987E">
        <w:rPr>
          <w:rFonts w:eastAsiaTheme="minorEastAsia" w:cs="Times New Roman"/>
          <w:sz w:val="24"/>
          <w:szCs w:val="24"/>
          <w:lang w:eastAsia="lv-LV"/>
        </w:rPr>
        <w:t xml:space="preserve"> </w:t>
      </w:r>
      <w:r w:rsidR="007561C0">
        <w:rPr>
          <w:rFonts w:eastAsiaTheme="minorEastAsia" w:cs="Times New Roman"/>
          <w:sz w:val="24"/>
          <w:szCs w:val="24"/>
          <w:lang w:eastAsia="lv-LV"/>
        </w:rPr>
        <w:t>d</w:t>
      </w:r>
      <w:r w:rsidR="440FBBA1" w:rsidRPr="6075987E">
        <w:rPr>
          <w:rFonts w:eastAsiaTheme="minorEastAsia" w:cs="Times New Roman"/>
          <w:sz w:val="24"/>
          <w:szCs w:val="24"/>
          <w:lang w:eastAsia="lv-LV"/>
        </w:rPr>
        <w:t>ienvidu reģionālās būvdarbu bāze (IMF BP1) un CEF</w:t>
      </w:r>
      <w:r w:rsidR="007561C0">
        <w:rPr>
          <w:rFonts w:eastAsiaTheme="minorEastAsia" w:cs="Times New Roman"/>
          <w:sz w:val="24"/>
          <w:szCs w:val="24"/>
          <w:lang w:eastAsia="lv-LV"/>
        </w:rPr>
        <w:t xml:space="preserve"> </w:t>
      </w:r>
      <w:r w:rsidR="440FBBA1" w:rsidRPr="6075987E">
        <w:rPr>
          <w:rFonts w:eastAsiaTheme="minorEastAsia" w:cs="Times New Roman"/>
          <w:sz w:val="24"/>
          <w:szCs w:val="24"/>
          <w:lang w:eastAsia="lv-LV"/>
        </w:rPr>
        <w:t xml:space="preserve">8 ietvaros esošo četru būvatļauju būvprojekti saskaņā ar informāciju no </w:t>
      </w:r>
      <w:r w:rsidR="4EA555DF" w:rsidRPr="6075987E">
        <w:rPr>
          <w:rFonts w:eastAsiaTheme="minorEastAsia" w:cs="Times New Roman"/>
          <w:sz w:val="24"/>
          <w:szCs w:val="24"/>
          <w:lang w:eastAsia="lv-LV"/>
        </w:rPr>
        <w:t>RBR</w:t>
      </w:r>
      <w:r w:rsidR="2481C3D4" w:rsidRPr="6075987E">
        <w:rPr>
          <w:rFonts w:eastAsiaTheme="minorEastAsia" w:cs="Times New Roman"/>
          <w:sz w:val="24"/>
          <w:szCs w:val="24"/>
          <w:lang w:eastAsia="lv-LV"/>
        </w:rPr>
        <w:t>,</w:t>
      </w:r>
      <w:r w:rsidR="440FBBA1" w:rsidRPr="6075987E">
        <w:rPr>
          <w:rFonts w:eastAsiaTheme="minorEastAsia" w:cs="Times New Roman"/>
          <w:sz w:val="24"/>
          <w:szCs w:val="24"/>
          <w:lang w:eastAsia="lv-LV"/>
        </w:rPr>
        <w:t xml:space="preserve"> varētu tik apstiprināti 2024.</w:t>
      </w:r>
      <w:r w:rsidR="049BBD89" w:rsidRPr="6075987E">
        <w:rPr>
          <w:rFonts w:eastAsiaTheme="minorEastAsia" w:cs="Times New Roman"/>
          <w:sz w:val="24"/>
          <w:szCs w:val="24"/>
          <w:lang w:eastAsia="lv-LV"/>
        </w:rPr>
        <w:t xml:space="preserve"> </w:t>
      </w:r>
      <w:r w:rsidR="440FBBA1" w:rsidRPr="6075987E">
        <w:rPr>
          <w:rFonts w:eastAsiaTheme="minorEastAsia" w:cs="Times New Roman"/>
          <w:sz w:val="24"/>
          <w:szCs w:val="24"/>
          <w:lang w:eastAsia="lv-LV"/>
        </w:rPr>
        <w:t>gada sākumā. Tāpat jāņem vērā, ka katrai CEF</w:t>
      </w:r>
      <w:r w:rsidR="00F23C99">
        <w:rPr>
          <w:rFonts w:eastAsiaTheme="minorEastAsia" w:cs="Times New Roman"/>
          <w:sz w:val="24"/>
          <w:szCs w:val="24"/>
          <w:lang w:eastAsia="lv-LV"/>
        </w:rPr>
        <w:t xml:space="preserve"> </w:t>
      </w:r>
      <w:r w:rsidR="440FBBA1" w:rsidRPr="6075987E">
        <w:rPr>
          <w:rFonts w:eastAsiaTheme="minorEastAsia" w:cs="Times New Roman"/>
          <w:sz w:val="24"/>
          <w:szCs w:val="24"/>
          <w:lang w:eastAsia="lv-LV"/>
        </w:rPr>
        <w:t>8 un CEF</w:t>
      </w:r>
      <w:r w:rsidR="00F23C99">
        <w:rPr>
          <w:rFonts w:eastAsiaTheme="minorEastAsia" w:cs="Times New Roman"/>
          <w:sz w:val="24"/>
          <w:szCs w:val="24"/>
          <w:lang w:eastAsia="lv-LV"/>
        </w:rPr>
        <w:t xml:space="preserve"> </w:t>
      </w:r>
      <w:r w:rsidR="440FBBA1" w:rsidRPr="6075987E">
        <w:rPr>
          <w:rFonts w:eastAsiaTheme="minorEastAsia" w:cs="Times New Roman"/>
          <w:sz w:val="24"/>
          <w:szCs w:val="24"/>
          <w:lang w:eastAsia="lv-LV"/>
        </w:rPr>
        <w:t xml:space="preserve">9 iekļautajai būvatļaujai (posmam) aptuveni </w:t>
      </w:r>
      <w:r w:rsidR="00D701E7">
        <w:rPr>
          <w:rFonts w:eastAsiaTheme="minorEastAsia" w:cs="Times New Roman"/>
          <w:sz w:val="24"/>
          <w:szCs w:val="24"/>
          <w:lang w:eastAsia="lv-LV"/>
        </w:rPr>
        <w:t>četrus</w:t>
      </w:r>
      <w:r w:rsidR="440FBBA1" w:rsidRPr="6075987E">
        <w:rPr>
          <w:rFonts w:eastAsiaTheme="minorEastAsia" w:cs="Times New Roman"/>
          <w:sz w:val="24"/>
          <w:szCs w:val="24"/>
          <w:lang w:eastAsia="lv-LV"/>
        </w:rPr>
        <w:t xml:space="preserve"> mēnešus pirms Uzņēmējam tiks dots uzdevums uzsākt darbus minētajā būvatļaujā DRCP aktivitātes ietvaros, tiks noteikts būvdarbu izmaksu apjoms un gadījumā, ja tas pārsniegs pieejamo budžetu, </w:t>
      </w:r>
      <w:r w:rsidR="2F7431F6" w:rsidRPr="6075987E">
        <w:rPr>
          <w:rFonts w:eastAsiaTheme="minorEastAsia" w:cs="Times New Roman"/>
          <w:sz w:val="24"/>
          <w:szCs w:val="24"/>
          <w:lang w:eastAsia="lv-LV"/>
        </w:rPr>
        <w:t>EDZL</w:t>
      </w:r>
      <w:r w:rsidR="583B4FB0" w:rsidRPr="6075987E">
        <w:rPr>
          <w:rFonts w:eastAsiaTheme="minorEastAsia" w:cs="Times New Roman"/>
          <w:sz w:val="24"/>
          <w:szCs w:val="24"/>
          <w:lang w:eastAsia="lv-LV"/>
        </w:rPr>
        <w:t xml:space="preserve"> </w:t>
      </w:r>
      <w:r w:rsidR="4F0CA838" w:rsidRPr="6075987E">
        <w:rPr>
          <w:rFonts w:eastAsiaTheme="minorEastAsia" w:cs="Times New Roman"/>
          <w:sz w:val="24"/>
          <w:szCs w:val="24"/>
          <w:lang w:eastAsia="lv-LV"/>
        </w:rPr>
        <w:t>kā p</w:t>
      </w:r>
      <w:r w:rsidR="440FBBA1" w:rsidRPr="6075987E">
        <w:rPr>
          <w:rFonts w:eastAsiaTheme="minorEastAsia" w:cs="Times New Roman"/>
          <w:sz w:val="24"/>
          <w:szCs w:val="24"/>
          <w:lang w:eastAsia="lv-LV"/>
        </w:rPr>
        <w:t xml:space="preserve">asūtītājam nav pienākums </w:t>
      </w:r>
      <w:r w:rsidR="5CEA7EC7" w:rsidRPr="6075987E">
        <w:rPr>
          <w:rFonts w:eastAsiaTheme="minorEastAsia" w:cs="Times New Roman"/>
          <w:sz w:val="24"/>
          <w:szCs w:val="24"/>
          <w:lang w:eastAsia="lv-LV"/>
        </w:rPr>
        <w:t xml:space="preserve">un </w:t>
      </w:r>
      <w:r w:rsidR="36AADEF1" w:rsidRPr="6075987E">
        <w:rPr>
          <w:rFonts w:eastAsiaTheme="minorEastAsia" w:cs="Times New Roman"/>
          <w:sz w:val="24"/>
          <w:szCs w:val="24"/>
          <w:lang w:eastAsia="lv-LV"/>
        </w:rPr>
        <w:t xml:space="preserve">tas </w:t>
      </w:r>
      <w:r w:rsidR="5CEA7EC7" w:rsidRPr="6075987E">
        <w:rPr>
          <w:rFonts w:eastAsiaTheme="minorEastAsia" w:cs="Times New Roman"/>
          <w:sz w:val="24"/>
          <w:szCs w:val="24"/>
          <w:lang w:eastAsia="lv-LV"/>
        </w:rPr>
        <w:t xml:space="preserve">nedrīkst </w:t>
      </w:r>
      <w:r w:rsidR="440FBBA1" w:rsidRPr="6075987E">
        <w:rPr>
          <w:rFonts w:eastAsiaTheme="minorEastAsia" w:cs="Times New Roman"/>
          <w:sz w:val="24"/>
          <w:szCs w:val="24"/>
          <w:lang w:eastAsia="lv-LV"/>
        </w:rPr>
        <w:t>uzdot uzsākt darbus.</w:t>
      </w:r>
      <w:r w:rsidR="782564A2" w:rsidRPr="6075987E">
        <w:rPr>
          <w:rFonts w:eastAsiaTheme="minorEastAsia" w:cs="Times New Roman"/>
          <w:sz w:val="24"/>
          <w:szCs w:val="24"/>
          <w:lang w:eastAsia="lv-LV"/>
        </w:rPr>
        <w:t xml:space="preserve"> </w:t>
      </w:r>
      <w:r w:rsidR="1163D0D4" w:rsidRPr="6075987E">
        <w:rPr>
          <w:rFonts w:eastAsia="Times New Roman" w:cs="Times New Roman"/>
          <w:sz w:val="24"/>
          <w:szCs w:val="24"/>
          <w:lang w:val="lv"/>
        </w:rPr>
        <w:t xml:space="preserve">Ja finansējuma nepieejamības vai tehnoloģisku apsvērumu dēļ uzbēruma būvniecību nav iespējams turpināt ar sliežu ceļu izbūves darbiem, </w:t>
      </w:r>
      <w:r w:rsidR="00DE3C49">
        <w:rPr>
          <w:rFonts w:eastAsia="Times New Roman" w:cs="Times New Roman"/>
          <w:sz w:val="24"/>
          <w:szCs w:val="24"/>
          <w:lang w:val="lv"/>
        </w:rPr>
        <w:t>L</w:t>
      </w:r>
      <w:r w:rsidR="1163D0D4" w:rsidRPr="6075987E">
        <w:rPr>
          <w:rFonts w:eastAsia="Times New Roman" w:cs="Times New Roman"/>
          <w:sz w:val="24"/>
          <w:szCs w:val="24"/>
          <w:lang w:val="lv"/>
        </w:rPr>
        <w:t xml:space="preserve">īgums paredz iespēju </w:t>
      </w:r>
      <w:r w:rsidR="00DE3C49">
        <w:rPr>
          <w:rFonts w:eastAsia="Times New Roman" w:cs="Times New Roman"/>
          <w:sz w:val="24"/>
          <w:szCs w:val="24"/>
          <w:lang w:val="lv"/>
        </w:rPr>
        <w:t>U</w:t>
      </w:r>
      <w:r w:rsidR="00DE3C49" w:rsidRPr="6075987E">
        <w:rPr>
          <w:rFonts w:eastAsia="Times New Roman" w:cs="Times New Roman"/>
          <w:sz w:val="24"/>
          <w:szCs w:val="24"/>
          <w:lang w:val="lv"/>
        </w:rPr>
        <w:t xml:space="preserve">zņēmējam </w:t>
      </w:r>
      <w:r w:rsidR="1163D0D4" w:rsidRPr="6075987E">
        <w:rPr>
          <w:rFonts w:eastAsia="Times New Roman" w:cs="Times New Roman"/>
          <w:sz w:val="24"/>
          <w:szCs w:val="24"/>
          <w:lang w:val="lv"/>
        </w:rPr>
        <w:t>uzsākt teritorijas uzturēšanas darbus līdz turpmākai finansējuma pieejamībai.</w:t>
      </w:r>
    </w:p>
    <w:p w14:paraId="57E3A805" w14:textId="5071ABE7" w:rsidR="00B10D9B" w:rsidRPr="00660EB3" w:rsidRDefault="00327930" w:rsidP="0595A900">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b/>
          <w:bCs/>
          <w:color w:val="FF0000"/>
          <w:sz w:val="24"/>
          <w:szCs w:val="24"/>
          <w:lang w:eastAsia="lv-LV"/>
        </w:rPr>
        <w:tab/>
      </w:r>
      <w:r w:rsidR="31ACFF76" w:rsidRPr="0595A900">
        <w:rPr>
          <w:rFonts w:eastAsiaTheme="minorEastAsia" w:cs="Times New Roman"/>
          <w:sz w:val="24"/>
          <w:szCs w:val="24"/>
          <w:lang w:eastAsia="lv-LV"/>
        </w:rPr>
        <w:t xml:space="preserve">Līgumā ietverto virsizdevumu tvērums </w:t>
      </w:r>
      <w:r w:rsidR="7962D92C" w:rsidRPr="0595A900">
        <w:rPr>
          <w:rFonts w:eastAsiaTheme="minorEastAsia" w:cs="Times New Roman"/>
          <w:sz w:val="24"/>
          <w:szCs w:val="24"/>
          <w:lang w:eastAsia="lv-LV"/>
        </w:rPr>
        <w:t xml:space="preserve">noteikts </w:t>
      </w:r>
      <w:r w:rsidR="31ACFF76" w:rsidRPr="0595A900">
        <w:rPr>
          <w:rFonts w:eastAsiaTheme="minorEastAsia" w:cs="Times New Roman"/>
          <w:sz w:val="24"/>
          <w:szCs w:val="24"/>
          <w:lang w:eastAsia="lv-LV"/>
        </w:rPr>
        <w:t xml:space="preserve">saskaņā ar Ministru kabineta 2017. gada 3. maija noteikumiem Nr. 239 „Noteikumi par Latvijas būvnormatīvu LBN 501-17 "Būvizmaksu noteikšanas kārtība", t.i., ietver sevī papildu izmaksas, kuras saistītas ar būvlaukuma iekārtošanu, uzturēšanu, būvdarbu organizēšanu, vadīšanu, darba aizsardzību un apdrošināšanu, citas ar </w:t>
      </w:r>
      <w:r w:rsidR="31ACFF76" w:rsidRPr="0595A900">
        <w:rPr>
          <w:rFonts w:eastAsiaTheme="minorEastAsia" w:cs="Times New Roman"/>
          <w:sz w:val="24"/>
          <w:szCs w:val="24"/>
          <w:lang w:eastAsia="lv-LV"/>
        </w:rPr>
        <w:lastRenderedPageBreak/>
        <w:t>būvdarbu realizāciju saistītas izmaksas. Precīzai virsizdevumu noteikšanai, finanšu formā virsizdevumi ir sadalīti šādās grupās:</w:t>
      </w:r>
    </w:p>
    <w:p w14:paraId="53B19FB5" w14:textId="77777777" w:rsidR="00B10D9B" w:rsidRPr="00660EB3" w:rsidRDefault="00B10D9B" w:rsidP="00911792">
      <w:pPr>
        <w:numPr>
          <w:ilvl w:val="0"/>
          <w:numId w:val="20"/>
        </w:numPr>
        <w:spacing w:after="0" w:line="240" w:lineRule="auto"/>
        <w:contextualSpacing/>
        <w:jc w:val="both"/>
        <w:rPr>
          <w:rFonts w:eastAsiaTheme="minorEastAsia" w:cs="Times New Roman"/>
          <w:sz w:val="24"/>
          <w:szCs w:val="24"/>
          <w:lang w:eastAsia="lv-LV"/>
        </w:rPr>
      </w:pPr>
      <w:r w:rsidRPr="008C7E7D">
        <w:rPr>
          <w:rFonts w:eastAsiaTheme="minorEastAsia" w:cs="Times New Roman"/>
          <w:sz w:val="24"/>
          <w:szCs w:val="24"/>
          <w:u w:val="single"/>
          <w:lang w:eastAsia="lv-LV"/>
        </w:rPr>
        <w:t>Vispārīgie virsizdevumi</w:t>
      </w:r>
      <w:r w:rsidRPr="00660EB3">
        <w:rPr>
          <w:rFonts w:eastAsiaTheme="minorEastAsia" w:cs="Times New Roman"/>
          <w:sz w:val="24"/>
          <w:szCs w:val="24"/>
          <w:lang w:eastAsia="lv-LV"/>
        </w:rPr>
        <w:t xml:space="preserve"> – iekļauj tostarp, bet ne tikai, vispārīgās uzņēmuma darbības izmaksas, centrālo ofisu izmaksas, piedāvājuma sagatavošanas izmaksas, garantijas, galvenā ofisa vadības izmaksas, kas nav finanšu formā, kā arī citas attīstības/projekta izmaksas. Tiek piemēroti visiem darbiem finanšu formā. </w:t>
      </w:r>
    </w:p>
    <w:p w14:paraId="6048BF10" w14:textId="31330C4D" w:rsidR="00B10D9B" w:rsidRPr="00660EB3" w:rsidRDefault="31ACFF76" w:rsidP="0595A900">
      <w:pPr>
        <w:numPr>
          <w:ilvl w:val="0"/>
          <w:numId w:val="20"/>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u w:val="single"/>
          <w:lang w:eastAsia="lv-LV"/>
        </w:rPr>
        <w:t>Būvatļaujas (posmu) vadības virsizdevumi</w:t>
      </w:r>
      <w:r w:rsidRPr="0595A900">
        <w:rPr>
          <w:rFonts w:eastAsiaTheme="minorEastAsia" w:cs="Times New Roman"/>
          <w:sz w:val="24"/>
          <w:szCs w:val="24"/>
          <w:lang w:eastAsia="lv-LV"/>
        </w:rPr>
        <w:t xml:space="preserve"> – iekļauj tostarp, bet ne tikai, būvatļaujas (posma) komandu izmaksas, būvlaukuma izmaksas, kas nav finanšu formā, kā arī katras būvatļaujas (posma) garantijas. Tiek piemēroti visiem darbiem finanšu formā, izņemot sadaļas “Cilvēkresursi, DRCP fāze, nodevumi un </w:t>
      </w:r>
      <w:r w:rsidR="21C77288" w:rsidRPr="0595A900">
        <w:rPr>
          <w:rFonts w:eastAsiaTheme="minorEastAsia" w:cs="Times New Roman"/>
          <w:sz w:val="24"/>
          <w:szCs w:val="24"/>
          <w:lang w:eastAsia="lv-LV"/>
        </w:rPr>
        <w:t>izpilddokumentācija</w:t>
      </w:r>
      <w:r w:rsidRPr="0595A900">
        <w:rPr>
          <w:rFonts w:eastAsiaTheme="minorEastAsia" w:cs="Times New Roman"/>
          <w:sz w:val="24"/>
          <w:szCs w:val="24"/>
          <w:lang w:eastAsia="lv-LV"/>
        </w:rPr>
        <w:t>”.</w:t>
      </w:r>
      <w:r w:rsidR="27EA4BD8" w:rsidRPr="0595A900">
        <w:rPr>
          <w:rFonts w:eastAsiaTheme="minorEastAsia" w:cs="Times New Roman"/>
          <w:sz w:val="24"/>
          <w:szCs w:val="24"/>
          <w:lang w:eastAsia="lv-LV"/>
        </w:rPr>
        <w:t xml:space="preserve"> Šie izdevumi tiek apmaksāti tikai pastāvīgo darbu ietvaros.</w:t>
      </w:r>
    </w:p>
    <w:p w14:paraId="61D6C09F" w14:textId="292DAC8E" w:rsidR="00B10D9B" w:rsidRPr="00660EB3" w:rsidRDefault="440FBBA1" w:rsidP="0595A900">
      <w:pPr>
        <w:numPr>
          <w:ilvl w:val="0"/>
          <w:numId w:val="20"/>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u w:val="single"/>
          <w:lang w:eastAsia="lv-LV"/>
        </w:rPr>
        <w:t>Darbu, kas saistīti ar konsolidēto materiālu pieeju vadības virsizdevumi</w:t>
      </w:r>
      <w:r w:rsidRPr="0595A900">
        <w:rPr>
          <w:rFonts w:eastAsiaTheme="minorEastAsia" w:cs="Times New Roman"/>
          <w:sz w:val="24"/>
          <w:szCs w:val="24"/>
          <w:lang w:eastAsia="lv-LV"/>
        </w:rPr>
        <w:t xml:space="preserve"> - iekļauj tostarp, bet ne tikai, izdevumus, kas saistīti ar konsolidēto materiālu pieejas vadības darbiem, kas nav finanšu formā, kā arī Uzņēmēja riska koeficientu. Tiek piemēroti tikai darbiem finanšu formas sadaļā “Konsolidēto materiālu uzstādīšana un  saistītās izmaksas”.</w:t>
      </w:r>
      <w:r w:rsidR="7F7AFB9F" w:rsidRPr="0595A900">
        <w:rPr>
          <w:rFonts w:eastAsiaTheme="minorEastAsia" w:cs="Times New Roman"/>
          <w:sz w:val="24"/>
          <w:szCs w:val="24"/>
          <w:lang w:eastAsia="lv-LV"/>
        </w:rPr>
        <w:t xml:space="preserve"> </w:t>
      </w:r>
      <w:r w:rsidR="04AFE846" w:rsidRPr="0595A900">
        <w:rPr>
          <w:rFonts w:eastAsiaTheme="minorEastAsia" w:cs="Times New Roman"/>
          <w:sz w:val="24"/>
          <w:szCs w:val="24"/>
          <w:lang w:eastAsia="lv-LV"/>
        </w:rPr>
        <w:t>Šie izdevumi tiek apmaksāti tikai par materiālu, kur</w:t>
      </w:r>
      <w:r w:rsidR="263AF99E" w:rsidRPr="0595A900">
        <w:rPr>
          <w:rFonts w:eastAsiaTheme="minorEastAsia" w:cs="Times New Roman"/>
          <w:sz w:val="24"/>
          <w:szCs w:val="24"/>
          <w:lang w:eastAsia="lv-LV"/>
        </w:rPr>
        <w:t>u piegādi</w:t>
      </w:r>
      <w:r w:rsidR="04AFE846" w:rsidRPr="0595A900">
        <w:rPr>
          <w:rFonts w:eastAsiaTheme="minorEastAsia" w:cs="Times New Roman"/>
          <w:sz w:val="24"/>
          <w:szCs w:val="24"/>
          <w:lang w:eastAsia="lv-LV"/>
        </w:rPr>
        <w:t xml:space="preserve"> nodrošina RBR</w:t>
      </w:r>
      <w:r w:rsidR="51EA318D" w:rsidRPr="0595A900">
        <w:rPr>
          <w:rFonts w:eastAsiaTheme="minorEastAsia" w:cs="Times New Roman"/>
          <w:sz w:val="24"/>
          <w:szCs w:val="24"/>
          <w:lang w:eastAsia="lv-LV"/>
        </w:rPr>
        <w:t>.</w:t>
      </w:r>
    </w:p>
    <w:p w14:paraId="66B11476" w14:textId="09EFDF77" w:rsidR="00B10D9B" w:rsidRPr="008C7E7D" w:rsidRDefault="00B10D9B" w:rsidP="00911792">
      <w:pPr>
        <w:numPr>
          <w:ilvl w:val="0"/>
          <w:numId w:val="20"/>
        </w:numPr>
        <w:spacing w:after="0" w:line="240" w:lineRule="auto"/>
        <w:contextualSpacing/>
        <w:jc w:val="both"/>
        <w:rPr>
          <w:rFonts w:eastAsiaTheme="minorEastAsia" w:cs="Times New Roman"/>
          <w:sz w:val="24"/>
          <w:szCs w:val="24"/>
          <w:lang w:eastAsia="lv-LV"/>
        </w:rPr>
      </w:pPr>
      <w:r w:rsidRPr="008C7E7D">
        <w:rPr>
          <w:rFonts w:eastAsiaTheme="minorEastAsia" w:cs="Times New Roman"/>
          <w:sz w:val="24"/>
          <w:szCs w:val="24"/>
          <w:u w:val="single"/>
          <w:lang w:eastAsia="lv-LV"/>
        </w:rPr>
        <w:t>Virsizdevumi (apdrošināšana</w:t>
      </w:r>
      <w:r w:rsidR="00382B90" w:rsidRPr="008C7E7D">
        <w:rPr>
          <w:rFonts w:eastAsiaTheme="minorEastAsia" w:cs="Times New Roman"/>
          <w:sz w:val="24"/>
          <w:szCs w:val="24"/>
          <w:u w:val="single"/>
          <w:lang w:eastAsia="lv-LV"/>
        </w:rPr>
        <w:t xml:space="preserve">, </w:t>
      </w:r>
      <w:r w:rsidRPr="008C7E7D">
        <w:rPr>
          <w:rFonts w:eastAsiaTheme="minorEastAsia" w:cs="Times New Roman"/>
          <w:sz w:val="24"/>
          <w:szCs w:val="24"/>
          <w:u w:val="single"/>
          <w:lang w:eastAsia="lv-LV"/>
        </w:rPr>
        <w:t>2,</w:t>
      </w:r>
      <w:r w:rsidR="00484046">
        <w:rPr>
          <w:rFonts w:eastAsiaTheme="minorEastAsia" w:cs="Times New Roman"/>
          <w:sz w:val="24"/>
          <w:szCs w:val="24"/>
          <w:u w:val="single"/>
          <w:lang w:eastAsia="lv-LV"/>
        </w:rPr>
        <w:t xml:space="preserve"> </w:t>
      </w:r>
      <w:r w:rsidRPr="008C7E7D">
        <w:rPr>
          <w:rFonts w:eastAsiaTheme="minorEastAsia" w:cs="Times New Roman"/>
          <w:sz w:val="24"/>
          <w:szCs w:val="24"/>
          <w:u w:val="single"/>
          <w:lang w:eastAsia="lv-LV"/>
        </w:rPr>
        <w:t>66%).</w:t>
      </w:r>
      <w:r w:rsidR="009748C3" w:rsidRPr="008C7E7D">
        <w:rPr>
          <w:rFonts w:eastAsiaTheme="minorEastAsia" w:cs="Times New Roman"/>
          <w:b/>
          <w:sz w:val="24"/>
          <w:szCs w:val="24"/>
          <w:lang w:eastAsia="lv-LV"/>
        </w:rPr>
        <w:t xml:space="preserve"> </w:t>
      </w:r>
      <w:r w:rsidR="00914393" w:rsidRPr="008C7E7D">
        <w:rPr>
          <w:rFonts w:eastAsiaTheme="minorEastAsia" w:cs="Times New Roman"/>
          <w:sz w:val="24"/>
          <w:szCs w:val="24"/>
          <w:lang w:eastAsia="lv-LV"/>
        </w:rPr>
        <w:t>Apdrošināšan</w:t>
      </w:r>
      <w:r w:rsidR="00C216BF" w:rsidRPr="008C7E7D">
        <w:rPr>
          <w:rFonts w:eastAsiaTheme="minorEastAsia" w:cs="Times New Roman"/>
          <w:sz w:val="24"/>
          <w:szCs w:val="24"/>
          <w:lang w:eastAsia="lv-LV"/>
        </w:rPr>
        <w:t>u</w:t>
      </w:r>
      <w:r w:rsidR="008A2210">
        <w:rPr>
          <w:rFonts w:eastAsiaTheme="minorEastAsia" w:cs="Times New Roman"/>
          <w:sz w:val="24"/>
          <w:szCs w:val="24"/>
          <w:lang w:eastAsia="lv-LV"/>
        </w:rPr>
        <w:t xml:space="preserve">, ievērojot Ministru kabineta </w:t>
      </w:r>
      <w:r w:rsidR="008A2210" w:rsidRPr="002431B4">
        <w:rPr>
          <w:rFonts w:eastAsiaTheme="minorEastAsia" w:cs="Times New Roman"/>
          <w:sz w:val="24"/>
          <w:szCs w:val="24"/>
          <w:lang w:eastAsia="lv-LV"/>
        </w:rPr>
        <w:t>2017. gada 3. maij</w:t>
      </w:r>
      <w:r w:rsidR="008A2210">
        <w:rPr>
          <w:rFonts w:eastAsiaTheme="minorEastAsia" w:cs="Times New Roman"/>
          <w:sz w:val="24"/>
          <w:szCs w:val="24"/>
          <w:lang w:eastAsia="lv-LV"/>
        </w:rPr>
        <w:t>a noteikumu Nr. 239 „</w:t>
      </w:r>
      <w:r w:rsidR="008A2210" w:rsidRPr="00F32935">
        <w:rPr>
          <w:rFonts w:eastAsiaTheme="minorEastAsia" w:cs="Times New Roman"/>
          <w:sz w:val="24"/>
          <w:szCs w:val="24"/>
          <w:lang w:eastAsia="lv-LV"/>
        </w:rPr>
        <w:t>Noteikumi par Latvijas būvnormatīvu LBN 501-17 "Būvizmaksu noteikšanas kārtība</w:t>
      </w:r>
      <w:r w:rsidR="008A2210">
        <w:rPr>
          <w:rFonts w:eastAsiaTheme="minorEastAsia" w:cs="Times New Roman"/>
          <w:sz w:val="24"/>
          <w:szCs w:val="24"/>
          <w:lang w:eastAsia="lv-LV"/>
        </w:rPr>
        <w:t>”</w:t>
      </w:r>
      <w:r w:rsidR="00C216BF" w:rsidRPr="008C7E7D">
        <w:rPr>
          <w:rFonts w:eastAsiaTheme="minorEastAsia" w:cs="Times New Roman"/>
          <w:sz w:val="24"/>
          <w:szCs w:val="24"/>
          <w:lang w:eastAsia="lv-LV"/>
        </w:rPr>
        <w:t xml:space="preserve"> </w:t>
      </w:r>
      <w:r w:rsidR="00915FD5">
        <w:rPr>
          <w:rFonts w:eastAsiaTheme="minorEastAsia" w:cs="Times New Roman"/>
          <w:sz w:val="24"/>
          <w:szCs w:val="24"/>
          <w:lang w:eastAsia="lv-LV"/>
        </w:rPr>
        <w:t xml:space="preserve">4. un 31. punktu, </w:t>
      </w:r>
      <w:r w:rsidR="009729BD">
        <w:rPr>
          <w:rFonts w:eastAsiaTheme="minorEastAsia" w:cs="Times New Roman"/>
          <w:sz w:val="24"/>
          <w:szCs w:val="24"/>
          <w:lang w:eastAsia="lv-LV"/>
        </w:rPr>
        <w:t>nodrošina</w:t>
      </w:r>
      <w:r w:rsidR="00B04397" w:rsidRPr="008C7E7D">
        <w:rPr>
          <w:rFonts w:eastAsiaTheme="minorEastAsia" w:cs="Times New Roman"/>
          <w:sz w:val="24"/>
          <w:szCs w:val="24"/>
          <w:lang w:eastAsia="lv-LV"/>
        </w:rPr>
        <w:t xml:space="preserve"> būvdarbu veicējs</w:t>
      </w:r>
      <w:r w:rsidR="001C002B">
        <w:rPr>
          <w:rFonts w:eastAsiaTheme="minorEastAsia" w:cs="Times New Roman"/>
          <w:sz w:val="24"/>
          <w:szCs w:val="24"/>
          <w:lang w:eastAsia="lv-LV"/>
        </w:rPr>
        <w:t xml:space="preserve"> (Uzņēmējs) (</w:t>
      </w:r>
      <w:r w:rsidR="00227672" w:rsidRPr="008C7E7D">
        <w:rPr>
          <w:rFonts w:eastAsiaTheme="minorEastAsia" w:cs="Times New Roman"/>
          <w:sz w:val="24"/>
          <w:szCs w:val="24"/>
          <w:lang w:eastAsia="lv-LV"/>
        </w:rPr>
        <w:t xml:space="preserve">visu trīs </w:t>
      </w:r>
      <w:r w:rsidR="009729BD">
        <w:rPr>
          <w:rFonts w:eastAsiaTheme="minorEastAsia" w:cs="Times New Roman"/>
          <w:sz w:val="24"/>
          <w:szCs w:val="24"/>
          <w:lang w:eastAsia="lv-LV"/>
        </w:rPr>
        <w:t xml:space="preserve">Baltijas </w:t>
      </w:r>
      <w:r w:rsidR="00227672" w:rsidRPr="008C7E7D">
        <w:rPr>
          <w:rFonts w:eastAsiaTheme="minorEastAsia" w:cs="Times New Roman"/>
          <w:sz w:val="24"/>
          <w:szCs w:val="24"/>
          <w:lang w:eastAsia="lv-LV"/>
        </w:rPr>
        <w:t>valstu atbalsta saņēmēji</w:t>
      </w:r>
      <w:r w:rsidR="001C002B">
        <w:rPr>
          <w:rFonts w:eastAsiaTheme="minorEastAsia" w:cs="Times New Roman"/>
          <w:sz w:val="24"/>
          <w:szCs w:val="24"/>
          <w:lang w:eastAsia="lv-LV"/>
        </w:rPr>
        <w:t xml:space="preserve"> (nozaru ministrijas)</w:t>
      </w:r>
      <w:r w:rsidR="00227672" w:rsidRPr="008C7E7D">
        <w:rPr>
          <w:rFonts w:eastAsiaTheme="minorEastAsia" w:cs="Times New Roman"/>
          <w:sz w:val="24"/>
          <w:szCs w:val="24"/>
          <w:lang w:eastAsia="lv-LV"/>
        </w:rPr>
        <w:t xml:space="preserve"> nolēma neapdrošinā</w:t>
      </w:r>
      <w:r w:rsidR="000A75EB" w:rsidRPr="008C7E7D">
        <w:rPr>
          <w:rFonts w:eastAsiaTheme="minorEastAsia" w:cs="Times New Roman"/>
          <w:sz w:val="24"/>
          <w:szCs w:val="24"/>
          <w:lang w:eastAsia="lv-LV"/>
        </w:rPr>
        <w:t xml:space="preserve">t visu </w:t>
      </w:r>
      <w:r w:rsidR="00D215FF" w:rsidRPr="008C7E7D">
        <w:rPr>
          <w:rFonts w:eastAsiaTheme="minorEastAsia" w:cs="Times New Roman"/>
          <w:sz w:val="24"/>
          <w:szCs w:val="24"/>
          <w:lang w:eastAsia="lv-LV"/>
        </w:rPr>
        <w:t xml:space="preserve">Rail Baltica </w:t>
      </w:r>
      <w:r w:rsidR="000A75EB" w:rsidRPr="008C7E7D">
        <w:rPr>
          <w:rFonts w:eastAsiaTheme="minorEastAsia" w:cs="Times New Roman"/>
          <w:sz w:val="24"/>
          <w:szCs w:val="24"/>
          <w:lang w:eastAsia="lv-LV"/>
        </w:rPr>
        <w:t>projektu</w:t>
      </w:r>
      <w:r w:rsidR="009729BD">
        <w:rPr>
          <w:rFonts w:eastAsiaTheme="minorEastAsia" w:cs="Times New Roman"/>
          <w:sz w:val="24"/>
          <w:szCs w:val="24"/>
          <w:lang w:eastAsia="lv-LV"/>
        </w:rPr>
        <w:t xml:space="preserve"> kopumā</w:t>
      </w:r>
      <w:r w:rsidR="000A75EB" w:rsidRPr="008C7E7D">
        <w:rPr>
          <w:rFonts w:eastAsiaTheme="minorEastAsia" w:cs="Times New Roman"/>
          <w:sz w:val="24"/>
          <w:szCs w:val="24"/>
          <w:lang w:eastAsia="lv-LV"/>
        </w:rPr>
        <w:t xml:space="preserve">, bet </w:t>
      </w:r>
      <w:r w:rsidR="009729BD">
        <w:rPr>
          <w:rFonts w:eastAsiaTheme="minorEastAsia" w:cs="Times New Roman"/>
          <w:sz w:val="24"/>
          <w:szCs w:val="24"/>
          <w:lang w:eastAsia="lv-LV"/>
        </w:rPr>
        <w:t xml:space="preserve">gan </w:t>
      </w:r>
      <w:r w:rsidR="00E25A45" w:rsidRPr="009D231E">
        <w:rPr>
          <w:rFonts w:eastAsiaTheme="minorEastAsia" w:cs="Times New Roman"/>
          <w:sz w:val="24"/>
          <w:szCs w:val="24"/>
          <w:lang w:eastAsia="lv-LV"/>
        </w:rPr>
        <w:t xml:space="preserve">atsevišķus </w:t>
      </w:r>
      <w:r w:rsidR="00BC4CC1" w:rsidRPr="009D231E">
        <w:rPr>
          <w:rFonts w:eastAsiaTheme="minorEastAsia" w:cs="Times New Roman"/>
          <w:sz w:val="24"/>
          <w:szCs w:val="24"/>
          <w:lang w:eastAsia="lv-LV"/>
        </w:rPr>
        <w:t>tā līgumus</w:t>
      </w:r>
      <w:r w:rsidR="00EA5251">
        <w:rPr>
          <w:rFonts w:eastAsiaTheme="minorEastAsia" w:cs="Times New Roman"/>
          <w:sz w:val="24"/>
          <w:szCs w:val="24"/>
          <w:lang w:eastAsia="lv-LV"/>
        </w:rPr>
        <w:t xml:space="preserve">. Šāds lēmums ir </w:t>
      </w:r>
      <w:r w:rsidR="00EA5251" w:rsidRPr="000578B1">
        <w:rPr>
          <w:rFonts w:eastAsiaTheme="minorEastAsia" w:cs="Times New Roman"/>
          <w:sz w:val="24"/>
          <w:szCs w:val="24"/>
          <w:lang w:eastAsia="lv-LV"/>
        </w:rPr>
        <w:t xml:space="preserve">pamatots </w:t>
      </w:r>
      <w:r w:rsidR="00206A6F" w:rsidRPr="000578B1">
        <w:rPr>
          <w:rFonts w:eastAsiaTheme="minorEastAsia" w:cs="Times New Roman"/>
          <w:sz w:val="24"/>
          <w:szCs w:val="24"/>
          <w:lang w:eastAsia="lv-LV"/>
        </w:rPr>
        <w:t>ar</w:t>
      </w:r>
      <w:r w:rsidR="00EA5251" w:rsidRPr="000578B1">
        <w:rPr>
          <w:rFonts w:eastAsiaTheme="minorEastAsia" w:cs="Times New Roman"/>
          <w:sz w:val="24"/>
          <w:szCs w:val="24"/>
          <w:lang w:eastAsia="lv-LV"/>
        </w:rPr>
        <w:t xml:space="preserve"> to, ka objektīvi </w:t>
      </w:r>
      <w:r w:rsidR="00BC4CC1" w:rsidRPr="00A64683">
        <w:rPr>
          <w:rFonts w:eastAsiaTheme="minorEastAsia" w:cs="Times New Roman"/>
          <w:sz w:val="24"/>
          <w:szCs w:val="24"/>
          <w:lang w:eastAsia="lv-LV"/>
        </w:rPr>
        <w:t>nav iespējams noteikt</w:t>
      </w:r>
      <w:r w:rsidR="001E4C0A" w:rsidRPr="00A64683">
        <w:rPr>
          <w:rFonts w:eastAsiaTheme="minorEastAsia" w:cs="Times New Roman"/>
          <w:sz w:val="24"/>
          <w:szCs w:val="24"/>
          <w:lang w:eastAsia="lv-LV"/>
        </w:rPr>
        <w:t xml:space="preserve"> kopējo </w:t>
      </w:r>
      <w:r w:rsidR="009A3DF7" w:rsidRPr="00A64683">
        <w:rPr>
          <w:rFonts w:eastAsiaTheme="minorEastAsia" w:cs="Times New Roman"/>
          <w:sz w:val="24"/>
          <w:szCs w:val="24"/>
          <w:lang w:eastAsia="lv-LV"/>
        </w:rPr>
        <w:t>projekta apjomu</w:t>
      </w:r>
      <w:r w:rsidR="00C650B9" w:rsidRPr="00A64683">
        <w:rPr>
          <w:rFonts w:eastAsiaTheme="minorEastAsia" w:cs="Times New Roman"/>
          <w:sz w:val="24"/>
          <w:szCs w:val="24"/>
          <w:lang w:eastAsia="lv-LV"/>
        </w:rPr>
        <w:t>, ņemot vērā mainīgos projektēšanas risinājumus, kas bieži vien ir atkarīgi no trešo pušu gatavības sadarboties</w:t>
      </w:r>
      <w:r w:rsidR="006F22D6" w:rsidRPr="00A64683">
        <w:rPr>
          <w:rFonts w:eastAsiaTheme="minorEastAsia" w:cs="Times New Roman"/>
          <w:sz w:val="24"/>
          <w:szCs w:val="24"/>
          <w:lang w:eastAsia="lv-LV"/>
        </w:rPr>
        <w:t>,</w:t>
      </w:r>
      <w:r w:rsidR="009A3DF7" w:rsidRPr="00A64683">
        <w:rPr>
          <w:rFonts w:eastAsiaTheme="minorEastAsia" w:cs="Times New Roman"/>
          <w:sz w:val="24"/>
          <w:szCs w:val="24"/>
          <w:lang w:eastAsia="lv-LV"/>
        </w:rPr>
        <w:t xml:space="preserve"> un </w:t>
      </w:r>
      <w:r w:rsidR="00C650B9" w:rsidRPr="00A64683">
        <w:rPr>
          <w:rFonts w:eastAsiaTheme="minorEastAsia" w:cs="Times New Roman"/>
          <w:sz w:val="24"/>
          <w:szCs w:val="24"/>
          <w:lang w:eastAsia="lv-LV"/>
        </w:rPr>
        <w:t xml:space="preserve">tādējādi </w:t>
      </w:r>
      <w:r w:rsidR="009A3DF7" w:rsidRPr="00A64683">
        <w:rPr>
          <w:rFonts w:eastAsiaTheme="minorEastAsia" w:cs="Times New Roman"/>
          <w:sz w:val="24"/>
          <w:szCs w:val="24"/>
          <w:lang w:eastAsia="lv-LV"/>
        </w:rPr>
        <w:t>nav zinām</w:t>
      </w:r>
      <w:r w:rsidR="00C650B9" w:rsidRPr="00A64683">
        <w:rPr>
          <w:rFonts w:eastAsiaTheme="minorEastAsia" w:cs="Times New Roman"/>
          <w:sz w:val="24"/>
          <w:szCs w:val="24"/>
          <w:lang w:eastAsia="lv-LV"/>
        </w:rPr>
        <w:t xml:space="preserve">s </w:t>
      </w:r>
      <w:r w:rsidR="00740DCD" w:rsidRPr="00A64683">
        <w:rPr>
          <w:rFonts w:eastAsiaTheme="minorEastAsia" w:cs="Times New Roman"/>
          <w:sz w:val="24"/>
          <w:szCs w:val="24"/>
          <w:lang w:eastAsia="lv-LV"/>
        </w:rPr>
        <w:t xml:space="preserve">precīzs </w:t>
      </w:r>
      <w:r w:rsidR="009A3DF7" w:rsidRPr="00A64683">
        <w:rPr>
          <w:rFonts w:eastAsiaTheme="minorEastAsia" w:cs="Times New Roman"/>
          <w:sz w:val="24"/>
          <w:szCs w:val="24"/>
          <w:lang w:eastAsia="lv-LV"/>
        </w:rPr>
        <w:t xml:space="preserve">tā </w:t>
      </w:r>
      <w:r w:rsidR="009D48F0" w:rsidRPr="00A64683">
        <w:rPr>
          <w:rFonts w:eastAsiaTheme="minorEastAsia" w:cs="Times New Roman"/>
          <w:sz w:val="24"/>
          <w:szCs w:val="24"/>
          <w:lang w:eastAsia="lv-LV"/>
        </w:rPr>
        <w:t xml:space="preserve">īstenošanas </w:t>
      </w:r>
      <w:r w:rsidR="00740DCD" w:rsidRPr="00A64683">
        <w:rPr>
          <w:rFonts w:eastAsiaTheme="minorEastAsia" w:cs="Times New Roman"/>
          <w:sz w:val="24"/>
          <w:szCs w:val="24"/>
          <w:lang w:eastAsia="lv-LV"/>
        </w:rPr>
        <w:t>laika plāns</w:t>
      </w:r>
      <w:r w:rsidR="009D48F0" w:rsidRPr="00A64683">
        <w:rPr>
          <w:rFonts w:eastAsiaTheme="minorEastAsia" w:cs="Times New Roman"/>
          <w:sz w:val="24"/>
          <w:szCs w:val="24"/>
          <w:lang w:eastAsia="lv-LV"/>
        </w:rPr>
        <w:t>,</w:t>
      </w:r>
      <w:r w:rsidR="009D48F0" w:rsidRPr="000578B1">
        <w:rPr>
          <w:rFonts w:eastAsiaTheme="minorEastAsia" w:cs="Times New Roman"/>
          <w:sz w:val="24"/>
          <w:szCs w:val="24"/>
          <w:lang w:eastAsia="lv-LV"/>
        </w:rPr>
        <w:t xml:space="preserve"> kas</w:t>
      </w:r>
      <w:r w:rsidR="001C002B" w:rsidRPr="000578B1">
        <w:rPr>
          <w:rFonts w:eastAsiaTheme="minorEastAsia" w:cs="Times New Roman"/>
          <w:sz w:val="24"/>
          <w:szCs w:val="24"/>
          <w:lang w:eastAsia="lv-LV"/>
        </w:rPr>
        <w:t xml:space="preserve">, tai skaitā, </w:t>
      </w:r>
      <w:r w:rsidR="009D48F0" w:rsidRPr="000578B1">
        <w:rPr>
          <w:rFonts w:eastAsiaTheme="minorEastAsia" w:cs="Times New Roman"/>
          <w:sz w:val="24"/>
          <w:szCs w:val="24"/>
          <w:lang w:eastAsia="lv-LV"/>
        </w:rPr>
        <w:t xml:space="preserve"> ir atkarīg</w:t>
      </w:r>
      <w:r w:rsidR="00F970E5" w:rsidRPr="000578B1">
        <w:rPr>
          <w:rFonts w:eastAsiaTheme="minorEastAsia" w:cs="Times New Roman"/>
          <w:sz w:val="24"/>
          <w:szCs w:val="24"/>
          <w:lang w:eastAsia="lv-LV"/>
        </w:rPr>
        <w:t>s</w:t>
      </w:r>
      <w:r w:rsidR="009D48F0" w:rsidRPr="000578B1">
        <w:rPr>
          <w:rFonts w:eastAsiaTheme="minorEastAsia" w:cs="Times New Roman"/>
          <w:sz w:val="24"/>
          <w:szCs w:val="24"/>
          <w:lang w:eastAsia="lv-LV"/>
        </w:rPr>
        <w:t xml:space="preserve"> no </w:t>
      </w:r>
      <w:r w:rsidR="001C002B" w:rsidRPr="000578B1">
        <w:rPr>
          <w:rFonts w:eastAsiaTheme="minorEastAsia" w:cs="Times New Roman"/>
          <w:sz w:val="24"/>
          <w:szCs w:val="24"/>
          <w:lang w:eastAsia="lv-LV"/>
        </w:rPr>
        <w:t xml:space="preserve">CEF </w:t>
      </w:r>
      <w:r w:rsidR="009729BD" w:rsidRPr="000578B1">
        <w:rPr>
          <w:rFonts w:eastAsiaTheme="minorEastAsia" w:cs="Times New Roman"/>
          <w:sz w:val="24"/>
          <w:szCs w:val="24"/>
          <w:lang w:eastAsia="lv-LV"/>
        </w:rPr>
        <w:t>finansējuma pieejamības</w:t>
      </w:r>
      <w:r w:rsidR="00AD0FBE" w:rsidRPr="000578B1">
        <w:rPr>
          <w:rFonts w:eastAsiaTheme="minorEastAsia" w:cs="Times New Roman"/>
          <w:sz w:val="24"/>
          <w:szCs w:val="24"/>
          <w:lang w:eastAsia="lv-LV"/>
        </w:rPr>
        <w:t>.</w:t>
      </w:r>
      <w:r w:rsidR="001C002B">
        <w:rPr>
          <w:rFonts w:eastAsiaTheme="minorEastAsia" w:cs="Times New Roman"/>
          <w:sz w:val="24"/>
          <w:szCs w:val="24"/>
          <w:lang w:eastAsia="lv-LV"/>
        </w:rPr>
        <w:t xml:space="preserve"> </w:t>
      </w:r>
    </w:p>
    <w:p w14:paraId="2DBD65D5" w14:textId="77777777" w:rsidR="003E30E1" w:rsidRPr="003E30E1" w:rsidRDefault="003E30E1" w:rsidP="00911792">
      <w:pPr>
        <w:pStyle w:val="ListParagraph"/>
        <w:numPr>
          <w:ilvl w:val="0"/>
          <w:numId w:val="20"/>
        </w:numPr>
        <w:tabs>
          <w:tab w:val="left" w:pos="6663"/>
        </w:tabs>
        <w:rPr>
          <w:b/>
          <w:bCs/>
          <w:szCs w:val="24"/>
        </w:rPr>
      </w:pPr>
      <w:r w:rsidRPr="008C7E7D">
        <w:rPr>
          <w:szCs w:val="24"/>
        </w:rPr>
        <w:t>Pastāvīgo darbu izmaksu</w:t>
      </w:r>
      <w:r w:rsidRPr="003E30E1">
        <w:rPr>
          <w:b/>
          <w:bCs/>
          <w:szCs w:val="24"/>
        </w:rPr>
        <w:t xml:space="preserve"> </w:t>
      </w:r>
      <w:r w:rsidRPr="003E30E1">
        <w:rPr>
          <w:szCs w:val="24"/>
        </w:rPr>
        <w:t>sadaļa finanšu formā ietver Līgumā ietvertos darbi, kuru rezultātā tiek izbūvēti dzelzceļa un/vai saistītās infrastruktūras elementi,</w:t>
      </w:r>
      <w:r w:rsidRPr="00D63979">
        <w:t xml:space="preserve"> piemēram, uzbēruma, tilta vai pārvada būvdarbi, ielu un autoceļu asfaltēšana vai inženiertīklu pārvietošana. Pastāvīgo darbu izmaksas sevī ietver arī izmaksas par Uzņēmēja iepirktajiem būvmateriāliem darbu veikšanai.</w:t>
      </w:r>
    </w:p>
    <w:p w14:paraId="48A9646D" w14:textId="77777777" w:rsidR="003E30E1" w:rsidRDefault="003E30E1" w:rsidP="00056AFE">
      <w:pPr>
        <w:spacing w:after="0" w:line="240" w:lineRule="auto"/>
        <w:contextualSpacing/>
        <w:jc w:val="both"/>
        <w:rPr>
          <w:rFonts w:eastAsiaTheme="minorEastAsia" w:cs="Times New Roman"/>
          <w:b/>
          <w:bCs/>
          <w:sz w:val="24"/>
          <w:szCs w:val="24"/>
          <w:lang w:eastAsia="lv-LV"/>
        </w:rPr>
      </w:pPr>
    </w:p>
    <w:p w14:paraId="326AD39A" w14:textId="0FB86A46" w:rsidR="00B10D9B" w:rsidRPr="00660EB3" w:rsidRDefault="00B10D9B" w:rsidP="00056AFE">
      <w:pPr>
        <w:spacing w:after="0" w:line="240" w:lineRule="auto"/>
        <w:contextualSpacing/>
        <w:jc w:val="both"/>
        <w:rPr>
          <w:rFonts w:eastAsiaTheme="minorEastAsia" w:cs="Times New Roman"/>
          <w:sz w:val="24"/>
          <w:szCs w:val="24"/>
          <w:lang w:eastAsia="lv-LV"/>
        </w:rPr>
      </w:pPr>
      <w:r w:rsidRPr="009748C3">
        <w:rPr>
          <w:rFonts w:eastAsiaTheme="minorEastAsia" w:cs="Times New Roman"/>
          <w:b/>
          <w:bCs/>
          <w:sz w:val="24"/>
          <w:szCs w:val="24"/>
          <w:lang w:eastAsia="lv-LV"/>
        </w:rPr>
        <w:t>Būvlaukuma izveides un saistīto izmaksu</w:t>
      </w:r>
      <w:r w:rsidRPr="00660EB3">
        <w:rPr>
          <w:rFonts w:eastAsiaTheme="minorEastAsia" w:cs="Times New Roman"/>
          <w:sz w:val="24"/>
          <w:szCs w:val="24"/>
          <w:lang w:eastAsia="lv-LV"/>
        </w:rPr>
        <w:t xml:space="preserve"> sadaļa finanšu formā (304 374 453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 ietver:</w:t>
      </w:r>
    </w:p>
    <w:p w14:paraId="47448187" w14:textId="33A9FC0A" w:rsidR="00B10D9B" w:rsidRPr="00660EB3" w:rsidRDefault="00B10D9B" w:rsidP="00911792">
      <w:pPr>
        <w:numPr>
          <w:ilvl w:val="0"/>
          <w:numId w:val="21"/>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Centrālā (galvenā) ofisa, t.sk., Uzņēmēja galvenās komandas, Inženiera galvenās komandas, </w:t>
      </w:r>
      <w:r w:rsidR="00E91783" w:rsidRPr="00660EB3">
        <w:rPr>
          <w:rFonts w:eastAsiaTheme="minorEastAsia" w:cs="Times New Roman"/>
          <w:sz w:val="24"/>
          <w:szCs w:val="24"/>
          <w:lang w:eastAsia="lv-LV"/>
        </w:rPr>
        <w:t>a</w:t>
      </w:r>
      <w:r w:rsidRPr="00660EB3">
        <w:rPr>
          <w:rFonts w:eastAsiaTheme="minorEastAsia" w:cs="Times New Roman"/>
          <w:sz w:val="24"/>
          <w:szCs w:val="24"/>
          <w:lang w:eastAsia="lv-LV"/>
        </w:rPr>
        <w:t xml:space="preserve">utoruzrauga un </w:t>
      </w:r>
      <w:r w:rsidR="0074220C">
        <w:rPr>
          <w:rFonts w:eastAsiaTheme="minorEastAsia" w:cs="Times New Roman"/>
          <w:sz w:val="24"/>
          <w:szCs w:val="24"/>
          <w:lang w:eastAsia="lv-LV"/>
        </w:rPr>
        <w:t>EDZL</w:t>
      </w:r>
      <w:r w:rsidR="00E91783"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darba vietu iekārtošanu, uzturēšanu, komunālos maksājumus un demobilizāciju;</w:t>
      </w:r>
    </w:p>
    <w:p w14:paraId="2A29F5EE" w14:textId="6EF26CB9" w:rsidR="00B10D9B" w:rsidRPr="00660EB3" w:rsidRDefault="00B10D9B" w:rsidP="00911792">
      <w:pPr>
        <w:numPr>
          <w:ilvl w:val="0"/>
          <w:numId w:val="21"/>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Divu reģionālo būvdarbu bāzes teritoriju izveidi</w:t>
      </w:r>
      <w:r w:rsidR="006F6794">
        <w:rPr>
          <w:rFonts w:eastAsiaTheme="minorEastAsia" w:cs="Times New Roman"/>
          <w:sz w:val="24"/>
          <w:szCs w:val="24"/>
          <w:lang w:eastAsia="lv-LV"/>
        </w:rPr>
        <w:t xml:space="preserve"> (pastāvīgie darbi)</w:t>
      </w:r>
      <w:r w:rsidRPr="00660EB3">
        <w:rPr>
          <w:rFonts w:eastAsiaTheme="minorEastAsia" w:cs="Times New Roman"/>
          <w:sz w:val="24"/>
          <w:szCs w:val="24"/>
          <w:lang w:eastAsia="lv-LV"/>
        </w:rPr>
        <w:t>, iekārtošanu, uzturēšanu būvdarbu laikā, komunālos maksājumus, demobilizāciju. Katras būvdarbu bāzes būvprojekts ietver sevī Rail Baltica infrastruktūras apkalpes punktu Skultē un Iecavā pirmo kārtu (kas būvdarbiem noslēdzoties, kalpos kā infrastruktūras apkalpes punkti infrastruktūras pārvaldītājam), kā arī ietver nepieciešamo aprīkojumu dzelzceļa izbūves materiālu piegādēm un darba vietas reģionālajām komandām, kas organizēs un kontrolēs materiālu piegādes, mehānismu un aprīkojuma pieejamību, kā arī organizēs būvdarbus reģionu ietvaros;</w:t>
      </w:r>
    </w:p>
    <w:p w14:paraId="26CC75CB" w14:textId="77777777" w:rsidR="00B10D9B" w:rsidRPr="00660EB3" w:rsidRDefault="00B10D9B" w:rsidP="00911792">
      <w:pPr>
        <w:numPr>
          <w:ilvl w:val="0"/>
          <w:numId w:val="21"/>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Katras būvatļaujas (posma) moduļveida konteineru izvietošana, lai nodrošinātu katras konkrētās būvatļaujas (posma) ikdienā darbos iesaistīto būvnieku, būvuzraugu u.c. būvdarbos tieši iesaistīto darbinieku darba vietas, ka arī būvlaukuma teritorijas iekārtošanu, </w:t>
      </w:r>
      <w:r w:rsidRPr="00660EB3">
        <w:rPr>
          <w:rFonts w:eastAsiaTheme="minorEastAsia" w:cs="Times New Roman"/>
          <w:sz w:val="24"/>
          <w:szCs w:val="24"/>
          <w:lang w:eastAsia="lv-LV"/>
        </w:rPr>
        <w:lastRenderedPageBreak/>
        <w:t>uzturēšanu būvdarbu laikā, komunālos maksājumus līguma termiņa laikā, kā arī demobilizēšanu. Tāpat ir ietverti pagaidu darbi, kā piemēram, rievsienu izbūve.</w:t>
      </w:r>
    </w:p>
    <w:p w14:paraId="0CCFA76B" w14:textId="20DEFFFB" w:rsidR="00B10D9B" w:rsidRDefault="00B10D9B"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31ACFF76" w:rsidRPr="0595A900">
        <w:rPr>
          <w:rFonts w:eastAsiaTheme="minorEastAsia" w:cs="Times New Roman"/>
          <w:sz w:val="24"/>
          <w:szCs w:val="24"/>
          <w:lang w:eastAsia="lv-LV"/>
        </w:rPr>
        <w:t xml:space="preserve">Līgumā ietvertā summa būvlaukuma izveides un saistīto izmaksu sadaļā atbilst citos </w:t>
      </w:r>
      <w:r w:rsidR="17D246D0" w:rsidRPr="0595A900">
        <w:rPr>
          <w:rFonts w:eastAsiaTheme="minorEastAsia" w:cs="Times New Roman"/>
          <w:sz w:val="24"/>
          <w:szCs w:val="24"/>
          <w:lang w:eastAsia="lv-LV"/>
        </w:rPr>
        <w:t>EDZL</w:t>
      </w:r>
      <w:r w:rsidR="41A013F6" w:rsidRPr="0595A900">
        <w:rPr>
          <w:rFonts w:eastAsiaTheme="minorEastAsia" w:cs="Times New Roman"/>
          <w:sz w:val="24"/>
          <w:szCs w:val="24"/>
          <w:lang w:eastAsia="lv-LV"/>
        </w:rPr>
        <w:t xml:space="preserve"> </w:t>
      </w:r>
      <w:r w:rsidR="31ACFF76" w:rsidRPr="0595A900">
        <w:rPr>
          <w:rFonts w:eastAsiaTheme="minorEastAsia" w:cs="Times New Roman"/>
          <w:sz w:val="24"/>
          <w:szCs w:val="24"/>
          <w:lang w:eastAsia="lv-LV"/>
        </w:rPr>
        <w:t xml:space="preserve">pārraudzībā esošajos projektos noteiktajam apjomam, kā arī starptautiskajai praksei, </w:t>
      </w:r>
      <w:r w:rsidR="2938562D" w:rsidRPr="0595A900">
        <w:rPr>
          <w:rFonts w:eastAsiaTheme="minorEastAsia" w:cs="Times New Roman"/>
          <w:sz w:val="24"/>
          <w:szCs w:val="24"/>
          <w:lang w:eastAsia="lv-LV"/>
        </w:rPr>
        <w:t>nevajadzētu pārsniegt</w:t>
      </w:r>
      <w:r w:rsidR="31ACFF76" w:rsidRPr="0595A900">
        <w:rPr>
          <w:rFonts w:eastAsiaTheme="minorEastAsia" w:cs="Times New Roman"/>
          <w:sz w:val="24"/>
          <w:szCs w:val="24"/>
          <w:lang w:eastAsia="lv-LV"/>
        </w:rPr>
        <w:t xml:space="preserve"> 15% no kopējās līguma summas atkarībā no sarežģītības un darbu apjomiem, it īpaši, ņemot vērā līguma apjomu, ievērojama apjoma būvdarbu teritoriju 230</w:t>
      </w:r>
      <w:r w:rsidR="2CC046E0" w:rsidRPr="0595A900">
        <w:rPr>
          <w:rFonts w:eastAsiaTheme="minorEastAsia" w:cs="Times New Roman"/>
          <w:sz w:val="24"/>
          <w:szCs w:val="24"/>
          <w:lang w:eastAsia="lv-LV"/>
        </w:rPr>
        <w:t xml:space="preserve"> </w:t>
      </w:r>
      <w:r w:rsidR="31ACFF76" w:rsidRPr="0595A900">
        <w:rPr>
          <w:rFonts w:eastAsiaTheme="minorEastAsia" w:cs="Times New Roman"/>
          <w:sz w:val="24"/>
          <w:szCs w:val="24"/>
          <w:lang w:eastAsia="lv-LV"/>
        </w:rPr>
        <w:t>km garumā (platība vairāk kā 1000 ha), kā arī kopējo līguma termiņu (96 mēneši).</w:t>
      </w:r>
    </w:p>
    <w:p w14:paraId="6547DEF4" w14:textId="37541293" w:rsidR="000A1AA7" w:rsidRDefault="00194B1D" w:rsidP="0595A900">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5866F388" w:rsidRPr="638FD9FE">
        <w:rPr>
          <w:rFonts w:eastAsiaTheme="minorEastAsia" w:cs="Times New Roman"/>
          <w:b/>
          <w:bCs/>
          <w:sz w:val="24"/>
          <w:szCs w:val="24"/>
          <w:lang w:eastAsia="lv-LV"/>
        </w:rPr>
        <w:t>Konsolidēto materiālu</w:t>
      </w:r>
      <w:r w:rsidR="40433A04" w:rsidRPr="638FD9FE">
        <w:rPr>
          <w:rFonts w:eastAsiaTheme="minorEastAsia" w:cs="Times New Roman"/>
          <w:b/>
          <w:bCs/>
          <w:sz w:val="24"/>
          <w:szCs w:val="24"/>
          <w:lang w:eastAsia="lv-LV"/>
        </w:rPr>
        <w:t xml:space="preserve"> iepirkums</w:t>
      </w:r>
      <w:r w:rsidR="40433A04" w:rsidRPr="638FD9FE">
        <w:rPr>
          <w:rFonts w:eastAsiaTheme="minorEastAsia" w:cs="Times New Roman"/>
          <w:sz w:val="24"/>
          <w:szCs w:val="24"/>
          <w:lang w:eastAsia="lv-LV"/>
        </w:rPr>
        <w:t xml:space="preserve"> </w:t>
      </w:r>
      <w:r w:rsidR="5EA75968" w:rsidRPr="638FD9FE">
        <w:rPr>
          <w:rFonts w:eastAsiaTheme="minorEastAsia" w:cs="Times New Roman"/>
          <w:sz w:val="24"/>
          <w:szCs w:val="24"/>
          <w:lang w:eastAsia="lv-LV"/>
        </w:rPr>
        <w:t>–</w:t>
      </w:r>
      <w:r w:rsidR="69D757D5" w:rsidRPr="638FD9FE">
        <w:rPr>
          <w:rFonts w:eastAsiaTheme="minorEastAsia" w:cs="Times New Roman"/>
          <w:sz w:val="24"/>
          <w:szCs w:val="24"/>
          <w:lang w:eastAsia="lv-LV"/>
        </w:rPr>
        <w:t xml:space="preserve"> </w:t>
      </w:r>
      <w:r w:rsidR="0DE18144" w:rsidRPr="638FD9FE">
        <w:rPr>
          <w:rFonts w:eastAsiaTheme="minorEastAsia" w:cs="Times New Roman"/>
          <w:sz w:val="24"/>
          <w:szCs w:val="24"/>
          <w:lang w:eastAsia="lv-LV"/>
        </w:rPr>
        <w:t xml:space="preserve">konsolidēto materiālu </w:t>
      </w:r>
      <w:r w:rsidR="234C6EC8" w:rsidRPr="638FD9FE">
        <w:rPr>
          <w:rFonts w:eastAsiaTheme="minorEastAsia" w:cs="Times New Roman"/>
          <w:sz w:val="24"/>
          <w:szCs w:val="24"/>
          <w:lang w:eastAsia="lv-LV"/>
        </w:rPr>
        <w:t xml:space="preserve">piegāde Rail Baltica projekta ietvaros tiek veikta ar centrālās iepirkumu iestādes – </w:t>
      </w:r>
      <w:r w:rsidR="7C02FA2E" w:rsidRPr="638FD9FE">
        <w:rPr>
          <w:rFonts w:eastAsiaTheme="minorEastAsia" w:cs="Times New Roman"/>
          <w:sz w:val="24"/>
          <w:szCs w:val="24"/>
          <w:lang w:eastAsia="lv-LV"/>
        </w:rPr>
        <w:t>RBR</w:t>
      </w:r>
      <w:r w:rsidR="234C6EC8" w:rsidRPr="638FD9FE">
        <w:rPr>
          <w:rFonts w:eastAsiaTheme="minorEastAsia" w:cs="Times New Roman"/>
          <w:sz w:val="24"/>
          <w:szCs w:val="24"/>
          <w:lang w:eastAsia="lv-LV"/>
        </w:rPr>
        <w:t xml:space="preserve"> starpniecību,</w:t>
      </w:r>
      <w:r w:rsidR="5D1D8D11" w:rsidRPr="638FD9FE">
        <w:rPr>
          <w:rFonts w:eastAsiaTheme="minorEastAsia" w:cs="Times New Roman"/>
          <w:sz w:val="24"/>
          <w:szCs w:val="24"/>
          <w:lang w:eastAsia="lv-LV"/>
        </w:rPr>
        <w:t xml:space="preserve"> ievērojot </w:t>
      </w:r>
      <w:r w:rsidR="2D3AFADB" w:rsidRPr="638FD9FE">
        <w:rPr>
          <w:rFonts w:eastAsiaTheme="minorEastAsia" w:cs="Times New Roman"/>
          <w:sz w:val="24"/>
          <w:szCs w:val="24"/>
          <w:lang w:eastAsia="lv-LV"/>
        </w:rPr>
        <w:t>Nolīguma par līgumu slēgšanas shēmu</w:t>
      </w:r>
      <w:r w:rsidR="00FE1B52" w:rsidRPr="638FD9FE">
        <w:rPr>
          <w:rStyle w:val="FootnoteReference"/>
          <w:rFonts w:eastAsiaTheme="minorEastAsia" w:cs="Times New Roman"/>
          <w:color w:val="000000"/>
          <w:sz w:val="24"/>
          <w:szCs w:val="24"/>
          <w:lang w:eastAsia="lv-LV"/>
        </w:rPr>
        <w:footnoteReference w:id="10"/>
      </w:r>
      <w:r w:rsidR="5EA75968" w:rsidRPr="638FD9FE">
        <w:rPr>
          <w:rFonts w:eastAsiaTheme="minorEastAsia" w:cs="Times New Roman"/>
          <w:color w:val="000000"/>
          <w:sz w:val="24"/>
          <w:szCs w:val="24"/>
          <w:lang w:eastAsia="lv-LV"/>
        </w:rPr>
        <w:t xml:space="preserve"> (turpmāk – </w:t>
      </w:r>
      <w:r w:rsidR="052A9658" w:rsidRPr="638FD9FE">
        <w:rPr>
          <w:rFonts w:eastAsiaTheme="minorEastAsia" w:cs="Times New Roman"/>
          <w:color w:val="000000" w:themeColor="text1"/>
          <w:sz w:val="24"/>
          <w:szCs w:val="24"/>
          <w:lang w:eastAsia="lv-LV"/>
        </w:rPr>
        <w:t>Nolīgums</w:t>
      </w:r>
      <w:r w:rsidR="5EA75968" w:rsidRPr="638FD9FE">
        <w:rPr>
          <w:rFonts w:eastAsiaTheme="minorEastAsia" w:cs="Times New Roman"/>
          <w:color w:val="000000"/>
          <w:sz w:val="24"/>
          <w:szCs w:val="24"/>
          <w:lang w:eastAsia="lv-LV"/>
        </w:rPr>
        <w:t>)</w:t>
      </w:r>
      <w:r w:rsidR="5D1D8D11" w:rsidRPr="638FD9FE">
        <w:rPr>
          <w:rFonts w:eastAsiaTheme="minorEastAsia"/>
          <w:color w:val="000000"/>
          <w:sz w:val="24"/>
          <w:szCs w:val="24"/>
        </w:rPr>
        <w:t xml:space="preserve"> prasības</w:t>
      </w:r>
      <w:r w:rsidR="6D610BD3" w:rsidRPr="638FD9FE">
        <w:rPr>
          <w:rFonts w:eastAsiaTheme="minorEastAsia"/>
          <w:color w:val="000000"/>
          <w:sz w:val="24"/>
          <w:szCs w:val="24"/>
        </w:rPr>
        <w:t xml:space="preserve"> un īstenojot t.s. konsolidēto pieeju</w:t>
      </w:r>
      <w:r w:rsidR="234C6EC8" w:rsidRPr="638FD9FE">
        <w:rPr>
          <w:rFonts w:eastAsiaTheme="minorEastAsia"/>
          <w:color w:val="000000"/>
          <w:sz w:val="24"/>
          <w:szCs w:val="24"/>
        </w:rPr>
        <w:t xml:space="preserve">. Atbilstoši </w:t>
      </w:r>
      <w:r w:rsidR="052A9658" w:rsidRPr="638FD9FE">
        <w:rPr>
          <w:rFonts w:eastAsiaTheme="minorEastAsia"/>
          <w:color w:val="000000" w:themeColor="text1"/>
          <w:sz w:val="24"/>
          <w:szCs w:val="24"/>
        </w:rPr>
        <w:t>Nolīgumam</w:t>
      </w:r>
      <w:r w:rsidR="161BCAE6" w:rsidRPr="638FD9FE">
        <w:rPr>
          <w:rFonts w:eastAsiaTheme="minorEastAsia"/>
          <w:color w:val="000000"/>
          <w:sz w:val="24"/>
          <w:szCs w:val="24"/>
        </w:rPr>
        <w:t xml:space="preserve">, </w:t>
      </w:r>
      <w:r w:rsidR="7C02FA2E" w:rsidRPr="638FD9FE">
        <w:rPr>
          <w:rFonts w:eastAsiaTheme="minorEastAsia" w:cs="Times New Roman"/>
          <w:sz w:val="24"/>
          <w:szCs w:val="24"/>
          <w:lang w:eastAsia="lv-LV"/>
        </w:rPr>
        <w:t>RBR</w:t>
      </w:r>
      <w:r w:rsidR="355E7314" w:rsidRPr="638FD9FE">
        <w:rPr>
          <w:rFonts w:eastAsiaTheme="minorEastAsia" w:cs="Times New Roman"/>
          <w:sz w:val="24"/>
          <w:szCs w:val="24"/>
          <w:lang w:eastAsia="lv-LV"/>
        </w:rPr>
        <w:t xml:space="preserve"> </w:t>
      </w:r>
      <w:r w:rsidR="660E2F57" w:rsidRPr="638FD9FE">
        <w:rPr>
          <w:rFonts w:eastAsiaTheme="minorEastAsia"/>
          <w:color w:val="000000"/>
          <w:sz w:val="24"/>
          <w:szCs w:val="24"/>
        </w:rPr>
        <w:t>nodarbojas ar</w:t>
      </w:r>
      <w:r w:rsidR="5D1D8D11" w:rsidRPr="638FD9FE">
        <w:rPr>
          <w:rFonts w:eastAsiaTheme="minorEastAsia"/>
          <w:color w:val="000000"/>
          <w:sz w:val="24"/>
          <w:szCs w:val="24"/>
        </w:rPr>
        <w:t xml:space="preserve"> </w:t>
      </w:r>
      <w:r w:rsidR="69D757D5" w:rsidRPr="638FD9FE">
        <w:rPr>
          <w:rFonts w:eastAsiaTheme="minorEastAsia" w:cs="Times New Roman"/>
          <w:sz w:val="24"/>
          <w:szCs w:val="24"/>
          <w:lang w:eastAsia="lv-LV"/>
        </w:rPr>
        <w:t>dzelzceļa virsbūves materiālu</w:t>
      </w:r>
      <w:r w:rsidR="105B6ACE" w:rsidRPr="638FD9FE">
        <w:rPr>
          <w:rFonts w:eastAsiaTheme="minorEastAsia" w:cs="Times New Roman"/>
          <w:sz w:val="24"/>
          <w:szCs w:val="24"/>
          <w:lang w:eastAsia="lv-LV"/>
        </w:rPr>
        <w:t xml:space="preserve"> – sliežu, gulšņu ar stiprinājumiem un palikām, balasta slāņa granīta šķembu, pārmiju un sliežu savienojumu un kabeļu kanalizācijas materiālu, kā arī </w:t>
      </w:r>
      <w:r w:rsidR="660E2F57" w:rsidRPr="638FD9FE">
        <w:rPr>
          <w:rFonts w:eastAsiaTheme="minorEastAsia" w:cs="Times New Roman"/>
          <w:sz w:val="24"/>
          <w:szCs w:val="24"/>
          <w:lang w:eastAsia="lv-LV"/>
        </w:rPr>
        <w:t>Rail Baltica vilcienu vadības un signalizācijas iekārtu (</w:t>
      </w:r>
      <w:r w:rsidR="660E2F57" w:rsidRPr="638FD9FE">
        <w:rPr>
          <w:rFonts w:eastAsiaTheme="minorEastAsia" w:cs="Times New Roman"/>
          <w:i/>
          <w:iCs/>
          <w:sz w:val="24"/>
          <w:szCs w:val="24"/>
          <w:lang w:eastAsia="lv-LV"/>
        </w:rPr>
        <w:t>CCS</w:t>
      </w:r>
      <w:r w:rsidR="660E2F57" w:rsidRPr="638FD9FE">
        <w:rPr>
          <w:rFonts w:eastAsiaTheme="minorEastAsia" w:cs="Times New Roman"/>
          <w:sz w:val="24"/>
          <w:szCs w:val="24"/>
          <w:lang w:eastAsia="lv-LV"/>
        </w:rPr>
        <w:t xml:space="preserve">) apakšsistēmu un </w:t>
      </w:r>
      <w:r w:rsidR="268A1EAF" w:rsidRPr="638FD9FE">
        <w:rPr>
          <w:rFonts w:eastAsiaTheme="minorEastAsia" w:cs="Times New Roman"/>
          <w:sz w:val="24"/>
          <w:szCs w:val="24"/>
          <w:lang w:eastAsia="lv-LV"/>
        </w:rPr>
        <w:t xml:space="preserve">enerģijas apgādes apakšsistēmas </w:t>
      </w:r>
      <w:r w:rsidR="0D99FD5F" w:rsidRPr="638FD9FE">
        <w:rPr>
          <w:rFonts w:eastAsiaTheme="minorEastAsia" w:cs="Times New Roman"/>
          <w:sz w:val="24"/>
          <w:szCs w:val="24"/>
          <w:lang w:eastAsia="lv-LV"/>
        </w:rPr>
        <w:t>(</w:t>
      </w:r>
      <w:r w:rsidR="0D99FD5F" w:rsidRPr="638FD9FE">
        <w:rPr>
          <w:rFonts w:eastAsiaTheme="minorEastAsia" w:cs="Times New Roman"/>
          <w:i/>
          <w:iCs/>
          <w:sz w:val="24"/>
          <w:szCs w:val="24"/>
          <w:lang w:eastAsia="lv-LV"/>
        </w:rPr>
        <w:t>ENE</w:t>
      </w:r>
      <w:r w:rsidR="0D99FD5F" w:rsidRPr="638FD9FE">
        <w:rPr>
          <w:rFonts w:eastAsiaTheme="minorEastAsia" w:cs="Times New Roman"/>
          <w:sz w:val="24"/>
          <w:szCs w:val="24"/>
          <w:lang w:eastAsia="lv-LV"/>
        </w:rPr>
        <w:t xml:space="preserve">) </w:t>
      </w:r>
      <w:r w:rsidR="660E2F57" w:rsidRPr="638FD9FE">
        <w:rPr>
          <w:rFonts w:eastAsiaTheme="minorEastAsia" w:cs="Times New Roman"/>
          <w:sz w:val="24"/>
          <w:szCs w:val="24"/>
          <w:lang w:eastAsia="lv-LV"/>
        </w:rPr>
        <w:t>iepirkšanu.</w:t>
      </w:r>
      <w:r w:rsidR="70792825" w:rsidRPr="638FD9FE">
        <w:rPr>
          <w:rFonts w:eastAsiaTheme="minorEastAsia" w:cs="Times New Roman"/>
          <w:sz w:val="24"/>
          <w:szCs w:val="24"/>
          <w:lang w:eastAsia="lv-LV"/>
        </w:rPr>
        <w:t xml:space="preserve"> Vienlaikus, b</w:t>
      </w:r>
      <w:r w:rsidR="43B79B25" w:rsidRPr="638FD9FE">
        <w:rPr>
          <w:rFonts w:eastAsiaTheme="minorEastAsia" w:cs="Times New Roman"/>
          <w:sz w:val="24"/>
          <w:szCs w:val="24"/>
          <w:lang w:eastAsia="lv-LV"/>
        </w:rPr>
        <w:t>ūvmateriālu sagādes izmaksas tiek segtas no būvniecības budže</w:t>
      </w:r>
      <w:r w:rsidR="6D610BD3" w:rsidRPr="638FD9FE">
        <w:rPr>
          <w:rFonts w:eastAsiaTheme="minorEastAsia" w:cs="Times New Roman"/>
          <w:sz w:val="24"/>
          <w:szCs w:val="24"/>
          <w:lang w:eastAsia="lv-LV"/>
        </w:rPr>
        <w:t>ta</w:t>
      </w:r>
      <w:r w:rsidR="3F5AE1B0" w:rsidRPr="638FD9FE">
        <w:rPr>
          <w:rFonts w:eastAsiaTheme="minorEastAsia" w:cs="Times New Roman"/>
          <w:sz w:val="24"/>
          <w:szCs w:val="24"/>
          <w:lang w:eastAsia="lv-LV"/>
        </w:rPr>
        <w:t>, bet</w:t>
      </w:r>
      <w:r w:rsidR="6D610BD3" w:rsidRPr="638FD9FE">
        <w:rPr>
          <w:rFonts w:eastAsiaTheme="minorEastAsia" w:cs="Times New Roman"/>
          <w:sz w:val="24"/>
          <w:szCs w:val="24"/>
          <w:lang w:eastAsia="lv-LV"/>
        </w:rPr>
        <w:t xml:space="preserve"> m</w:t>
      </w:r>
      <w:r w:rsidR="43B79B25" w:rsidRPr="638FD9FE">
        <w:rPr>
          <w:rFonts w:eastAsiaTheme="minorEastAsia" w:cs="Times New Roman"/>
          <w:sz w:val="24"/>
          <w:szCs w:val="24"/>
          <w:lang w:eastAsia="lv-LV"/>
        </w:rPr>
        <w:t>ateriālu sagādes iepirkumu organizēšana  tiek segta no CEF 6 un CEF 9 aktivitātēm</w:t>
      </w:r>
      <w:r w:rsidR="6D610BD3" w:rsidRPr="638FD9FE">
        <w:rPr>
          <w:rFonts w:eastAsiaTheme="minorEastAsia" w:cs="Times New Roman"/>
          <w:sz w:val="24"/>
          <w:szCs w:val="24"/>
          <w:lang w:eastAsia="lv-LV"/>
        </w:rPr>
        <w:t xml:space="preserve">. </w:t>
      </w:r>
      <w:r w:rsidR="6C30E184" w:rsidRPr="638FD9FE">
        <w:rPr>
          <w:rFonts w:eastAsiaTheme="minorEastAsia" w:cs="Times New Roman"/>
          <w:sz w:val="24"/>
          <w:szCs w:val="24"/>
          <w:lang w:eastAsia="lv-LV"/>
        </w:rPr>
        <w:t>Konsolidētās p</w:t>
      </w:r>
      <w:r w:rsidR="0C41D971" w:rsidRPr="638FD9FE">
        <w:rPr>
          <w:rFonts w:eastAsiaTheme="minorEastAsia" w:cs="Times New Roman"/>
          <w:sz w:val="24"/>
          <w:szCs w:val="24"/>
          <w:lang w:eastAsia="lv-LV"/>
        </w:rPr>
        <w:t xml:space="preserve">ieejas ietvaros </w:t>
      </w:r>
      <w:r w:rsidR="43557ABF" w:rsidRPr="638FD9FE">
        <w:rPr>
          <w:rFonts w:eastAsiaTheme="minorEastAsia" w:cs="Times New Roman"/>
          <w:sz w:val="24"/>
          <w:szCs w:val="24"/>
          <w:lang w:eastAsia="lv-LV"/>
        </w:rPr>
        <w:t xml:space="preserve">iepriekš uzskaitīto </w:t>
      </w:r>
      <w:r w:rsidR="22E209F9" w:rsidRPr="638FD9FE">
        <w:rPr>
          <w:rFonts w:eastAsiaTheme="minorEastAsia" w:cs="Times New Roman"/>
          <w:sz w:val="24"/>
          <w:szCs w:val="24"/>
          <w:lang w:eastAsia="lv-LV"/>
        </w:rPr>
        <w:t>materiālu iepirkšana tiek organizēta šādā kārtībā:</w:t>
      </w:r>
    </w:p>
    <w:p w14:paraId="20CE9886" w14:textId="77777777" w:rsidR="000C3039" w:rsidRDefault="003E4957" w:rsidP="00911792">
      <w:pPr>
        <w:pStyle w:val="ListParagraph"/>
        <w:numPr>
          <w:ilvl w:val="0"/>
          <w:numId w:val="29"/>
        </w:numPr>
        <w:tabs>
          <w:tab w:val="left" w:pos="567"/>
        </w:tabs>
        <w:rPr>
          <w:rFonts w:eastAsiaTheme="minorEastAsia" w:cs="Times New Roman"/>
          <w:szCs w:val="24"/>
          <w:lang w:eastAsia="lv-LV"/>
        </w:rPr>
      </w:pPr>
      <w:r w:rsidRPr="00262997">
        <w:rPr>
          <w:rFonts w:eastAsiaTheme="minorEastAsia" w:cs="Times New Roman"/>
          <w:szCs w:val="24"/>
          <w:lang w:eastAsia="lv-LV"/>
        </w:rPr>
        <w:t>pēc līguma noslēgšanas puses saskaņo piegādes grafikus, piegādātājam tiek dota pieeja sagādes sistēmai (IT risinājumam)</w:t>
      </w:r>
      <w:r w:rsidR="000A1AA7" w:rsidRPr="000C3039">
        <w:rPr>
          <w:rFonts w:eastAsiaTheme="minorEastAsia" w:cs="Times New Roman"/>
          <w:szCs w:val="24"/>
          <w:lang w:eastAsia="lv-LV"/>
        </w:rPr>
        <w:t>;</w:t>
      </w:r>
    </w:p>
    <w:p w14:paraId="49C941C4" w14:textId="77777777" w:rsidR="000C3039" w:rsidRDefault="000C3039" w:rsidP="00911792">
      <w:pPr>
        <w:pStyle w:val="ListParagraph"/>
        <w:numPr>
          <w:ilvl w:val="0"/>
          <w:numId w:val="29"/>
        </w:numPr>
        <w:tabs>
          <w:tab w:val="left" w:pos="567"/>
        </w:tabs>
        <w:rPr>
          <w:rFonts w:eastAsiaTheme="minorEastAsia" w:cs="Times New Roman"/>
          <w:szCs w:val="24"/>
          <w:lang w:eastAsia="lv-LV"/>
        </w:rPr>
      </w:pPr>
      <w:r w:rsidRPr="000C3039">
        <w:rPr>
          <w:rFonts w:eastAsiaTheme="minorEastAsia" w:cs="Times New Roman"/>
          <w:szCs w:val="24"/>
          <w:lang w:eastAsia="lv-LV"/>
        </w:rPr>
        <w:t>n</w:t>
      </w:r>
      <w:r w:rsidR="003E4957" w:rsidRPr="000C3039">
        <w:rPr>
          <w:rFonts w:eastAsiaTheme="minorEastAsia" w:cs="Times New Roman"/>
          <w:szCs w:val="24"/>
          <w:lang w:eastAsia="lv-LV"/>
        </w:rPr>
        <w:t>o būvnieka tiek saņemta informācija par darbu organizācijas plānu un</w:t>
      </w:r>
      <w:r w:rsidRPr="000C3039">
        <w:rPr>
          <w:rFonts w:eastAsiaTheme="minorEastAsia" w:cs="Times New Roman"/>
          <w:szCs w:val="24"/>
          <w:lang w:eastAsia="lv-LV"/>
        </w:rPr>
        <w:t>,</w:t>
      </w:r>
      <w:r w:rsidR="003E4957" w:rsidRPr="000C3039">
        <w:rPr>
          <w:rFonts w:eastAsiaTheme="minorEastAsia" w:cs="Times New Roman"/>
          <w:szCs w:val="24"/>
          <w:lang w:eastAsia="lv-LV"/>
        </w:rPr>
        <w:t xml:space="preserve"> tai skaitā</w:t>
      </w:r>
      <w:r w:rsidRPr="000C3039">
        <w:rPr>
          <w:rFonts w:eastAsiaTheme="minorEastAsia" w:cs="Times New Roman"/>
          <w:szCs w:val="24"/>
          <w:lang w:eastAsia="lv-LV"/>
        </w:rPr>
        <w:t>,</w:t>
      </w:r>
      <w:r w:rsidR="003E4957" w:rsidRPr="000C3039">
        <w:rPr>
          <w:rFonts w:eastAsiaTheme="minorEastAsia" w:cs="Times New Roman"/>
          <w:szCs w:val="24"/>
          <w:lang w:eastAsia="lv-LV"/>
        </w:rPr>
        <w:t xml:space="preserve"> materiālu pieprasījumu, kuru ievieto sagādes plānošanas rīkā</w:t>
      </w:r>
      <w:r w:rsidRPr="000C3039">
        <w:rPr>
          <w:rFonts w:eastAsiaTheme="minorEastAsia" w:cs="Times New Roman"/>
          <w:szCs w:val="24"/>
          <w:lang w:eastAsia="lv-LV"/>
        </w:rPr>
        <w:t>;</w:t>
      </w:r>
    </w:p>
    <w:p w14:paraId="5CE2AA8A" w14:textId="24D690C1" w:rsidR="00F04534" w:rsidRDefault="003E4957" w:rsidP="00911792">
      <w:pPr>
        <w:pStyle w:val="ListParagraph"/>
        <w:numPr>
          <w:ilvl w:val="0"/>
          <w:numId w:val="29"/>
        </w:numPr>
        <w:tabs>
          <w:tab w:val="left" w:pos="567"/>
        </w:tabs>
        <w:rPr>
          <w:rFonts w:eastAsiaTheme="minorEastAsia" w:cs="Times New Roman"/>
          <w:szCs w:val="24"/>
          <w:lang w:eastAsia="lv-LV"/>
        </w:rPr>
      </w:pPr>
      <w:r w:rsidRPr="000C3039">
        <w:rPr>
          <w:rFonts w:eastAsiaTheme="minorEastAsia" w:cs="Times New Roman"/>
          <w:szCs w:val="24"/>
          <w:lang w:eastAsia="lv-LV"/>
        </w:rPr>
        <w:t xml:space="preserve">pašus pasūtījumus veic </w:t>
      </w:r>
      <w:r w:rsidR="009F7E09">
        <w:rPr>
          <w:rFonts w:eastAsiaTheme="minorEastAsia" w:cs="Times New Roman"/>
          <w:szCs w:val="24"/>
          <w:lang w:eastAsia="lv-LV"/>
        </w:rPr>
        <w:t>ieviesēj</w:t>
      </w:r>
      <w:r w:rsidRPr="000C3039">
        <w:rPr>
          <w:rFonts w:eastAsiaTheme="minorEastAsia" w:cs="Times New Roman"/>
          <w:szCs w:val="24"/>
          <w:lang w:eastAsia="lv-LV"/>
        </w:rPr>
        <w:t>institūcij</w:t>
      </w:r>
      <w:r w:rsidR="001C002B">
        <w:rPr>
          <w:rFonts w:eastAsiaTheme="minorEastAsia" w:cs="Times New Roman"/>
          <w:szCs w:val="24"/>
          <w:lang w:eastAsia="lv-LV"/>
        </w:rPr>
        <w:t>a (</w:t>
      </w:r>
      <w:r w:rsidR="0074220C">
        <w:rPr>
          <w:rFonts w:eastAsiaTheme="minorEastAsia" w:cs="Times New Roman"/>
          <w:szCs w:val="24"/>
          <w:lang w:eastAsia="lv-LV"/>
        </w:rPr>
        <w:t>EDZL</w:t>
      </w:r>
      <w:r w:rsidR="001C002B">
        <w:rPr>
          <w:rFonts w:eastAsiaTheme="minorEastAsia" w:cs="Times New Roman"/>
          <w:szCs w:val="24"/>
          <w:lang w:eastAsia="lv-LV"/>
        </w:rPr>
        <w:t>)</w:t>
      </w:r>
      <w:r w:rsidRPr="000C3039">
        <w:rPr>
          <w:rFonts w:eastAsiaTheme="minorEastAsia" w:cs="Times New Roman"/>
          <w:szCs w:val="24"/>
          <w:lang w:eastAsia="lv-LV"/>
        </w:rPr>
        <w:t xml:space="preserve"> vai deleģē būvniekam, pamatojoties uz saplānotajiem apjomiem periodā</w:t>
      </w:r>
      <w:r w:rsidR="00F04534">
        <w:rPr>
          <w:rFonts w:eastAsiaTheme="minorEastAsia" w:cs="Times New Roman"/>
          <w:szCs w:val="24"/>
          <w:lang w:eastAsia="lv-LV"/>
        </w:rPr>
        <w:t>;</w:t>
      </w:r>
    </w:p>
    <w:p w14:paraId="143B8F5A" w14:textId="5D22EAEC" w:rsidR="003E4957" w:rsidRPr="00262997" w:rsidRDefault="53B8517C" w:rsidP="0595A900">
      <w:pPr>
        <w:pStyle w:val="ListParagraph"/>
        <w:numPr>
          <w:ilvl w:val="0"/>
          <w:numId w:val="29"/>
        </w:numPr>
        <w:tabs>
          <w:tab w:val="left" w:pos="567"/>
        </w:tabs>
        <w:rPr>
          <w:rFonts w:eastAsiaTheme="minorEastAsia" w:cs="Times New Roman"/>
          <w:lang w:eastAsia="lv-LV"/>
        </w:rPr>
      </w:pPr>
      <w:r w:rsidRPr="0595A900">
        <w:rPr>
          <w:rFonts w:eastAsiaTheme="minorEastAsia" w:cs="Times New Roman"/>
          <w:lang w:eastAsia="lv-LV"/>
        </w:rPr>
        <w:t>RBR</w:t>
      </w:r>
      <w:r w:rsidR="62A33A8A" w:rsidRPr="0595A900">
        <w:rPr>
          <w:rFonts w:eastAsiaTheme="minorEastAsia" w:cs="Times New Roman"/>
          <w:lang w:eastAsia="lv-LV"/>
        </w:rPr>
        <w:t xml:space="preserve"> konsolidē materiāl</w:t>
      </w:r>
      <w:r w:rsidR="151979DD" w:rsidRPr="0595A900">
        <w:rPr>
          <w:rFonts w:eastAsiaTheme="minorEastAsia" w:cs="Times New Roman"/>
          <w:lang w:eastAsia="lv-LV"/>
        </w:rPr>
        <w:t>u</w:t>
      </w:r>
      <w:r w:rsidR="62A33A8A" w:rsidRPr="0595A900">
        <w:rPr>
          <w:rFonts w:eastAsiaTheme="minorEastAsia" w:cs="Times New Roman"/>
          <w:lang w:eastAsia="lv-LV"/>
        </w:rPr>
        <w:t xml:space="preserve"> pieprasījumu par </w:t>
      </w:r>
      <w:r w:rsidR="4B0AD73D" w:rsidRPr="0595A900">
        <w:rPr>
          <w:rFonts w:eastAsiaTheme="minorEastAsia" w:cs="Times New Roman"/>
          <w:lang w:eastAsia="lv-LV"/>
        </w:rPr>
        <w:t>visām trim Baltijas</w:t>
      </w:r>
      <w:r w:rsidR="62A33A8A" w:rsidRPr="0595A900">
        <w:rPr>
          <w:rFonts w:eastAsiaTheme="minorEastAsia" w:cs="Times New Roman"/>
          <w:lang w:eastAsia="lv-LV"/>
        </w:rPr>
        <w:t xml:space="preserve"> valstīm</w:t>
      </w:r>
      <w:r w:rsidR="4B0AD73D" w:rsidRPr="0595A900">
        <w:rPr>
          <w:rFonts w:eastAsiaTheme="minorEastAsia" w:cs="Times New Roman"/>
          <w:lang w:eastAsia="lv-LV"/>
        </w:rPr>
        <w:t xml:space="preserve">, </w:t>
      </w:r>
      <w:r w:rsidR="7788C61C" w:rsidRPr="0595A900">
        <w:rPr>
          <w:rFonts w:eastAsiaTheme="minorEastAsia" w:cs="Times New Roman"/>
          <w:lang w:eastAsia="lv-LV"/>
        </w:rPr>
        <w:t xml:space="preserve">veic komunikāciju ar </w:t>
      </w:r>
      <w:r w:rsidR="00839851" w:rsidRPr="0595A900">
        <w:rPr>
          <w:rFonts w:eastAsiaTheme="minorEastAsia" w:cs="Times New Roman"/>
          <w:lang w:eastAsia="lv-LV"/>
        </w:rPr>
        <w:t>materiālu</w:t>
      </w:r>
      <w:r w:rsidR="7788C61C" w:rsidRPr="0595A900">
        <w:rPr>
          <w:rFonts w:eastAsiaTheme="minorEastAsia" w:cs="Times New Roman"/>
          <w:lang w:eastAsia="lv-LV"/>
        </w:rPr>
        <w:t xml:space="preserve"> </w:t>
      </w:r>
      <w:r w:rsidR="62A33A8A" w:rsidRPr="0595A900">
        <w:rPr>
          <w:rFonts w:eastAsiaTheme="minorEastAsia" w:cs="Times New Roman"/>
          <w:lang w:eastAsia="lv-LV"/>
        </w:rPr>
        <w:t xml:space="preserve">ražotājiem un risina </w:t>
      </w:r>
      <w:r w:rsidR="00839851" w:rsidRPr="0595A900">
        <w:rPr>
          <w:rFonts w:eastAsiaTheme="minorEastAsia" w:cs="Times New Roman"/>
          <w:lang w:eastAsia="lv-LV"/>
        </w:rPr>
        <w:t>piegādes</w:t>
      </w:r>
      <w:r w:rsidR="62A33A8A" w:rsidRPr="0595A900">
        <w:rPr>
          <w:rFonts w:eastAsiaTheme="minorEastAsia" w:cs="Times New Roman"/>
          <w:lang w:eastAsia="lv-LV"/>
        </w:rPr>
        <w:t xml:space="preserve"> jautājumus</w:t>
      </w:r>
      <w:r w:rsidR="00839851" w:rsidRPr="0595A900">
        <w:rPr>
          <w:rFonts w:eastAsiaTheme="minorEastAsia" w:cs="Times New Roman"/>
          <w:lang w:eastAsia="lv-LV"/>
        </w:rPr>
        <w:t>,</w:t>
      </w:r>
      <w:r w:rsidR="62A33A8A" w:rsidRPr="0595A900">
        <w:rPr>
          <w:rFonts w:eastAsiaTheme="minorEastAsia" w:cs="Times New Roman"/>
          <w:lang w:eastAsia="lv-LV"/>
        </w:rPr>
        <w:t xml:space="preserve"> </w:t>
      </w:r>
      <w:r w:rsidR="00839851" w:rsidRPr="0595A900">
        <w:rPr>
          <w:rFonts w:eastAsiaTheme="minorEastAsia" w:cs="Times New Roman"/>
          <w:lang w:eastAsia="lv-LV"/>
        </w:rPr>
        <w:t>veicot piegāžu ķēžu pārraudzību</w:t>
      </w:r>
      <w:r w:rsidR="62A33A8A" w:rsidRPr="0595A900">
        <w:rPr>
          <w:rFonts w:eastAsiaTheme="minorEastAsia" w:cs="Times New Roman"/>
          <w:lang w:eastAsia="lv-LV"/>
        </w:rPr>
        <w:t>.</w:t>
      </w:r>
      <w:r w:rsidR="3716A6FC" w:rsidRPr="0595A900">
        <w:rPr>
          <w:rFonts w:eastAsiaTheme="minorEastAsia" w:cs="Times New Roman"/>
          <w:lang w:eastAsia="lv-LV"/>
        </w:rPr>
        <w:t xml:space="preserve"> </w:t>
      </w:r>
    </w:p>
    <w:p w14:paraId="0FDD8DD1" w14:textId="73A1B1C9" w:rsidR="00B10D9B" w:rsidRPr="00C84D87" w:rsidRDefault="00B10D9B"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31ACFF76" w:rsidRPr="0595A900">
        <w:rPr>
          <w:rFonts w:eastAsiaTheme="minorEastAsia" w:cs="Times New Roman"/>
          <w:b/>
          <w:bCs/>
          <w:sz w:val="24"/>
          <w:szCs w:val="24"/>
          <w:lang w:eastAsia="lv-LV"/>
        </w:rPr>
        <w:t>Uzturēšana starp kārtām</w:t>
      </w:r>
      <w:r w:rsidR="31ACFF76" w:rsidRPr="0595A900">
        <w:rPr>
          <w:rFonts w:eastAsiaTheme="minorEastAsia" w:cs="Times New Roman"/>
          <w:sz w:val="24"/>
          <w:szCs w:val="24"/>
          <w:lang w:eastAsia="lv-LV"/>
        </w:rPr>
        <w:t xml:space="preserve"> paredz darbus, kuri tiek pasūtīti un apmaksāti gadījumā, kad Uzņēmējam nodotās teritorijas, kurās nenotiek būvdarbi, ir jāuztur saskaņā ar normatīvajiem aktiem līdz tās tiek nodotas atpakaļ </w:t>
      </w:r>
      <w:r w:rsidR="17D246D0" w:rsidRPr="0595A900">
        <w:rPr>
          <w:rFonts w:eastAsiaTheme="minorEastAsia" w:cs="Times New Roman"/>
          <w:sz w:val="24"/>
          <w:szCs w:val="24"/>
          <w:lang w:eastAsia="lv-LV"/>
        </w:rPr>
        <w:t>EDZL</w:t>
      </w:r>
      <w:r w:rsidR="31ACFF76" w:rsidRPr="0595A900">
        <w:rPr>
          <w:rFonts w:eastAsiaTheme="minorEastAsia" w:cs="Times New Roman"/>
          <w:sz w:val="24"/>
          <w:szCs w:val="24"/>
          <w:lang w:eastAsia="lv-LV"/>
        </w:rPr>
        <w:t>, piemēram, zāles pļaušana, autoceļu uzturēšana u.c. Neatkarīgi no tā, kas veiks šos darbus – Uzņēmējs vai infrastruktūras pārvaldītāja iepirkuma ietvaros izvēlēts komersants, ir nepieciešams aprīkojums un personāls, kas rada izmaksas. Līguma finanšu formā ir ietvertas tipisku uzturēšanas darbu vienības izmaksas, kas ļaus precīzi noteikt veicamo darbu izmaksas analoģiski, ja infrastruktūras pārvaldnieks iepirktu šo pakalpojumu atsevišķi.</w:t>
      </w:r>
    </w:p>
    <w:p w14:paraId="5681FD82" w14:textId="3DBEA45D" w:rsidR="00A143EF" w:rsidRPr="00A143EF" w:rsidRDefault="00A143EF" w:rsidP="00056AFE">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Pr="00A143EF">
        <w:rPr>
          <w:rFonts w:eastAsiaTheme="minorEastAsia" w:cs="Times New Roman"/>
          <w:sz w:val="24"/>
          <w:szCs w:val="24"/>
          <w:lang w:eastAsia="lv-LV"/>
        </w:rPr>
        <w:t>Tāpat ir nepieciešams ņemt vērā, ka FIDIC sistēmas būvniecības līgumos tiek izšķirti divi būtiski atšķirīgi termini attiecībā uz Līguma summu un līgumisko maksājumu kopsummu:</w:t>
      </w:r>
    </w:p>
    <w:p w14:paraId="0CBA28B1" w14:textId="2F595178" w:rsidR="00A143EF" w:rsidRDefault="00A143EF" w:rsidP="00911792">
      <w:pPr>
        <w:pStyle w:val="ListParagraph"/>
        <w:numPr>
          <w:ilvl w:val="0"/>
          <w:numId w:val="30"/>
        </w:numPr>
        <w:tabs>
          <w:tab w:val="left" w:pos="567"/>
        </w:tabs>
        <w:rPr>
          <w:rFonts w:eastAsiaTheme="minorEastAsia" w:cs="Times New Roman"/>
          <w:szCs w:val="24"/>
          <w:lang w:eastAsia="lv-LV"/>
        </w:rPr>
      </w:pPr>
      <w:r w:rsidRPr="00C06878">
        <w:rPr>
          <w:rFonts w:eastAsiaTheme="minorEastAsia" w:cs="Times New Roman"/>
          <w:szCs w:val="24"/>
          <w:lang w:eastAsia="lv-LV"/>
        </w:rPr>
        <w:t>Akceptētā Līgumcena (</w:t>
      </w:r>
      <w:r w:rsidR="003E5150">
        <w:rPr>
          <w:rFonts w:eastAsiaTheme="minorEastAsia" w:cs="Times New Roman"/>
          <w:szCs w:val="24"/>
          <w:lang w:eastAsia="lv-LV"/>
        </w:rPr>
        <w:t xml:space="preserve">no angļu val. – </w:t>
      </w:r>
      <w:r w:rsidRPr="00A64683">
        <w:rPr>
          <w:rFonts w:eastAsiaTheme="minorEastAsia" w:cs="Times New Roman"/>
          <w:i/>
          <w:iCs/>
          <w:szCs w:val="24"/>
          <w:lang w:eastAsia="lv-LV"/>
        </w:rPr>
        <w:t>Accepted Contract Amount</w:t>
      </w:r>
      <w:r w:rsidRPr="00C06878">
        <w:rPr>
          <w:rFonts w:eastAsiaTheme="minorEastAsia" w:cs="Times New Roman"/>
          <w:szCs w:val="24"/>
          <w:lang w:eastAsia="lv-LV"/>
        </w:rPr>
        <w:t xml:space="preserve">): </w:t>
      </w:r>
      <w:r w:rsidR="003E5150">
        <w:rPr>
          <w:rFonts w:eastAsiaTheme="minorEastAsia" w:cs="Times New Roman"/>
          <w:szCs w:val="24"/>
          <w:lang w:eastAsia="lv-LV"/>
        </w:rPr>
        <w:t>i</w:t>
      </w:r>
      <w:r w:rsidRPr="00C06878">
        <w:rPr>
          <w:rFonts w:eastAsiaTheme="minorEastAsia" w:cs="Times New Roman"/>
          <w:szCs w:val="24"/>
          <w:lang w:eastAsia="lv-LV"/>
        </w:rPr>
        <w:t>zpildītāja iepirkuma procedūru laikā par Darbu izpildi un pabeigšanu piedāvātā sākotnēja cena (bez PVN), kuru Līguma izpildes laikā var pārrēķināt (palielināt vai samazināt) saskaņā ar Līgum</w:t>
      </w:r>
      <w:r w:rsidR="0075473A">
        <w:rPr>
          <w:rFonts w:eastAsiaTheme="minorEastAsia" w:cs="Times New Roman"/>
          <w:szCs w:val="24"/>
          <w:lang w:eastAsia="lv-LV"/>
        </w:rPr>
        <w:t xml:space="preserve">ā </w:t>
      </w:r>
      <w:r w:rsidRPr="00C06878">
        <w:rPr>
          <w:rFonts w:eastAsiaTheme="minorEastAsia" w:cs="Times New Roman"/>
          <w:szCs w:val="24"/>
          <w:lang w:eastAsia="lv-LV"/>
        </w:rPr>
        <w:t>paredzētajiem nosacījumiem, piemēram, paveikto darbu pārmērīšana (</w:t>
      </w:r>
      <w:r w:rsidR="003E5150">
        <w:rPr>
          <w:rFonts w:eastAsiaTheme="minorEastAsia" w:cs="Times New Roman"/>
          <w:szCs w:val="24"/>
          <w:lang w:eastAsia="lv-LV"/>
        </w:rPr>
        <w:t xml:space="preserve">no angļu val. – </w:t>
      </w:r>
      <w:r w:rsidRPr="00A64683">
        <w:rPr>
          <w:rFonts w:eastAsiaTheme="minorEastAsia" w:cs="Times New Roman"/>
          <w:i/>
          <w:iCs/>
          <w:szCs w:val="24"/>
          <w:lang w:eastAsia="lv-LV"/>
        </w:rPr>
        <w:t>re-measurement</w:t>
      </w:r>
      <w:r w:rsidRPr="00C06878">
        <w:rPr>
          <w:rFonts w:eastAsiaTheme="minorEastAsia" w:cs="Times New Roman"/>
          <w:szCs w:val="24"/>
          <w:lang w:eastAsia="lv-LV"/>
        </w:rPr>
        <w:t>), indeksācija, izmaiņu rīkojumi, līguma grozījumi.</w:t>
      </w:r>
    </w:p>
    <w:p w14:paraId="6D7233BC" w14:textId="109727B0" w:rsidR="00A143EF" w:rsidRPr="00C06878" w:rsidRDefault="00A143EF" w:rsidP="00911792">
      <w:pPr>
        <w:pStyle w:val="ListParagraph"/>
        <w:numPr>
          <w:ilvl w:val="0"/>
          <w:numId w:val="30"/>
        </w:numPr>
        <w:tabs>
          <w:tab w:val="left" w:pos="567"/>
        </w:tabs>
        <w:rPr>
          <w:rFonts w:eastAsiaTheme="minorEastAsia" w:cs="Times New Roman"/>
          <w:lang w:eastAsia="lv-LV"/>
        </w:rPr>
      </w:pPr>
      <w:r w:rsidRPr="346E6AE6">
        <w:rPr>
          <w:rFonts w:eastAsiaTheme="minorEastAsia" w:cs="Times New Roman"/>
          <w:lang w:eastAsia="lv-LV"/>
        </w:rPr>
        <w:t>Līgumcena (</w:t>
      </w:r>
      <w:r w:rsidR="003E5150">
        <w:rPr>
          <w:rFonts w:eastAsiaTheme="minorEastAsia" w:cs="Times New Roman"/>
          <w:szCs w:val="24"/>
          <w:lang w:eastAsia="lv-LV"/>
        </w:rPr>
        <w:t xml:space="preserve">no angļu val. – </w:t>
      </w:r>
      <w:r w:rsidRPr="346E6AE6">
        <w:rPr>
          <w:rFonts w:eastAsiaTheme="minorEastAsia" w:cs="Times New Roman"/>
          <w:i/>
          <w:lang w:eastAsia="lv-LV"/>
        </w:rPr>
        <w:t>Contract price</w:t>
      </w:r>
      <w:r w:rsidRPr="346E6AE6">
        <w:rPr>
          <w:rFonts w:eastAsiaTheme="minorEastAsia" w:cs="Times New Roman"/>
          <w:lang w:eastAsia="lv-LV"/>
        </w:rPr>
        <w:t xml:space="preserve">): </w:t>
      </w:r>
      <w:r w:rsidR="003E5150">
        <w:rPr>
          <w:rFonts w:eastAsiaTheme="minorEastAsia" w:cs="Times New Roman"/>
          <w:lang w:eastAsia="lv-LV"/>
        </w:rPr>
        <w:t>d</w:t>
      </w:r>
      <w:r w:rsidRPr="346E6AE6">
        <w:rPr>
          <w:rFonts w:eastAsiaTheme="minorEastAsia" w:cs="Times New Roman"/>
          <w:lang w:eastAsia="lv-LV"/>
        </w:rPr>
        <w:t>arbu vērtība Līguma izpildes beigās saskaņā ar Līgum</w:t>
      </w:r>
      <w:r w:rsidR="0075473A" w:rsidRPr="346E6AE6">
        <w:rPr>
          <w:rFonts w:eastAsiaTheme="minorEastAsia" w:cs="Times New Roman"/>
          <w:lang w:eastAsia="lv-LV"/>
        </w:rPr>
        <w:t>ā</w:t>
      </w:r>
      <w:r w:rsidRPr="346E6AE6">
        <w:rPr>
          <w:rFonts w:eastAsiaTheme="minorEastAsia" w:cs="Times New Roman"/>
          <w:lang w:eastAsia="lv-LV"/>
        </w:rPr>
        <w:t xml:space="preserve"> paredzētajiem nosacījumiem, kas ir pakļauta korekcijām, papildinājumiem un/vai atskaitījumiem saskaņā ar Līguma nosacījumiem, piemēram, </w:t>
      </w:r>
      <w:r w:rsidRPr="346E6AE6">
        <w:rPr>
          <w:rFonts w:eastAsiaTheme="minorEastAsia" w:cs="Times New Roman"/>
          <w:lang w:eastAsia="lv-LV"/>
        </w:rPr>
        <w:lastRenderedPageBreak/>
        <w:t>paveikto darbu pārmērīšana (</w:t>
      </w:r>
      <w:r w:rsidR="003E5150">
        <w:rPr>
          <w:rFonts w:eastAsiaTheme="minorEastAsia" w:cs="Times New Roman"/>
          <w:szCs w:val="24"/>
          <w:lang w:eastAsia="lv-LV"/>
        </w:rPr>
        <w:t xml:space="preserve">no angļu val. – </w:t>
      </w:r>
      <w:r w:rsidRPr="346E6AE6">
        <w:rPr>
          <w:rFonts w:eastAsiaTheme="minorEastAsia" w:cs="Times New Roman"/>
          <w:i/>
          <w:lang w:eastAsia="lv-LV"/>
        </w:rPr>
        <w:t>re-measurement</w:t>
      </w:r>
      <w:r w:rsidRPr="346E6AE6">
        <w:rPr>
          <w:rFonts w:eastAsiaTheme="minorEastAsia" w:cs="Times New Roman"/>
          <w:lang w:eastAsia="lv-LV"/>
        </w:rPr>
        <w:t>), indeksācija, izmaiņu rīkojumi, līguma grozījumi.</w:t>
      </w:r>
    </w:p>
    <w:p w14:paraId="0BA02CD0" w14:textId="1454D72B" w:rsidR="6075987E" w:rsidRDefault="00A143EF" w:rsidP="2AAB921B">
      <w:pPr>
        <w:tabs>
          <w:tab w:val="left" w:pos="567"/>
        </w:tabs>
        <w:spacing w:after="0" w:line="240" w:lineRule="auto"/>
        <w:contextualSpacing/>
        <w:jc w:val="both"/>
        <w:rPr>
          <w:rFonts w:eastAsiaTheme="minorEastAsia" w:cs="Times New Roman"/>
          <w:sz w:val="24"/>
          <w:szCs w:val="24"/>
          <w:lang w:eastAsia="lv-LV"/>
        </w:rPr>
      </w:pPr>
      <w:r w:rsidRPr="6075987E">
        <w:rPr>
          <w:rFonts w:eastAsiaTheme="minorEastAsia" w:cs="Times New Roman"/>
          <w:sz w:val="24"/>
          <w:szCs w:val="24"/>
          <w:lang w:eastAsia="lv-LV"/>
        </w:rPr>
        <w:t>Tādejādi, Akceptētā Līgumcena ir summa, par kādu tiek noslēgts līgums, savukārt Līgumcena ir summa, par kādu līguma izpildes beigās ir veikta būvuzņēmēja rēķinu apmaksa.</w:t>
      </w:r>
    </w:p>
    <w:p w14:paraId="3BE1D801" w14:textId="41D0061D" w:rsidR="6075987E" w:rsidRDefault="7E09D5AF" w:rsidP="003A3C1A">
      <w:pPr>
        <w:tabs>
          <w:tab w:val="left" w:pos="567"/>
        </w:tabs>
        <w:spacing w:after="0" w:line="240" w:lineRule="auto"/>
        <w:contextualSpacing/>
        <w:jc w:val="both"/>
        <w:rPr>
          <w:rFonts w:eastAsiaTheme="minorEastAsia" w:cs="Times New Roman"/>
          <w:sz w:val="24"/>
          <w:szCs w:val="24"/>
          <w:lang w:eastAsia="lv-LV"/>
        </w:rPr>
      </w:pPr>
      <w:r w:rsidRPr="6075987E">
        <w:rPr>
          <w:rFonts w:eastAsiaTheme="minorEastAsia" w:cs="Times New Roman"/>
          <w:sz w:val="24"/>
          <w:szCs w:val="24"/>
          <w:lang w:eastAsia="lv-LV"/>
        </w:rPr>
        <w:t xml:space="preserve"> </w:t>
      </w:r>
      <w:r w:rsidR="00A143EF">
        <w:tab/>
      </w:r>
      <w:r w:rsidR="00A143EF">
        <w:tab/>
      </w:r>
      <w:r w:rsidR="00A143EF" w:rsidRPr="6075987E">
        <w:rPr>
          <w:rFonts w:eastAsiaTheme="minorEastAsia" w:cs="Times New Roman"/>
          <w:sz w:val="24"/>
          <w:szCs w:val="24"/>
          <w:lang w:eastAsia="lv-LV"/>
        </w:rPr>
        <w:t xml:space="preserve">Ņemot vērā augstāk minēto, sagaidāmā Līguma naudas plūsma </w:t>
      </w:r>
      <w:r w:rsidR="0098030B" w:rsidRPr="6075987E">
        <w:rPr>
          <w:rFonts w:eastAsiaTheme="minorEastAsia" w:cs="Times New Roman"/>
          <w:sz w:val="24"/>
          <w:szCs w:val="24"/>
          <w:lang w:eastAsia="lv-LV"/>
        </w:rPr>
        <w:t>aplūkojama 2</w:t>
      </w:r>
      <w:r w:rsidR="004064DA" w:rsidRPr="6075987E">
        <w:rPr>
          <w:rFonts w:eastAsiaTheme="minorEastAsia" w:cs="Times New Roman"/>
          <w:sz w:val="24"/>
          <w:szCs w:val="24"/>
          <w:lang w:eastAsia="lv-LV"/>
        </w:rPr>
        <w:t>.</w:t>
      </w:r>
      <w:r w:rsidR="00314090">
        <w:rPr>
          <w:rFonts w:eastAsiaTheme="minorEastAsia" w:cs="Times New Roman"/>
          <w:sz w:val="24"/>
          <w:szCs w:val="24"/>
          <w:lang w:eastAsia="lv-LV"/>
        </w:rPr>
        <w:t xml:space="preserve"> </w:t>
      </w:r>
      <w:r w:rsidR="004064DA" w:rsidRPr="6075987E">
        <w:rPr>
          <w:rFonts w:eastAsiaTheme="minorEastAsia" w:cs="Times New Roman"/>
          <w:sz w:val="24"/>
          <w:szCs w:val="24"/>
          <w:lang w:eastAsia="lv-LV"/>
        </w:rPr>
        <w:t>tabulā</w:t>
      </w:r>
      <w:r w:rsidR="5A2D9207" w:rsidRPr="6075987E">
        <w:rPr>
          <w:rFonts w:eastAsiaTheme="minorEastAsia" w:cs="Times New Roman"/>
          <w:sz w:val="24"/>
          <w:szCs w:val="24"/>
          <w:lang w:eastAsia="lv-LV"/>
        </w:rPr>
        <w:t xml:space="preserve">. 3.tabula savukārt atspoguļo indikatīvu darbu plānu apgūto investīciju izteiksmē 2024.-2030. </w:t>
      </w:r>
      <w:r w:rsidR="5DB4253A" w:rsidRPr="6075987E">
        <w:rPr>
          <w:rFonts w:eastAsiaTheme="minorEastAsia" w:cs="Times New Roman"/>
          <w:sz w:val="24"/>
          <w:szCs w:val="24"/>
          <w:lang w:eastAsia="lv-LV"/>
        </w:rPr>
        <w:t>g</w:t>
      </w:r>
      <w:r w:rsidR="5A2D9207" w:rsidRPr="6075987E">
        <w:rPr>
          <w:rFonts w:eastAsiaTheme="minorEastAsia" w:cs="Times New Roman"/>
          <w:sz w:val="24"/>
          <w:szCs w:val="24"/>
          <w:lang w:eastAsia="lv-LV"/>
        </w:rPr>
        <w:t>adam.</w:t>
      </w:r>
    </w:p>
    <w:p w14:paraId="5225897D" w14:textId="3F243A57" w:rsidR="003A3C1A" w:rsidRPr="003A3C1A" w:rsidRDefault="003A3C1A" w:rsidP="003A3C1A">
      <w:pPr>
        <w:tabs>
          <w:tab w:val="left" w:pos="567"/>
        </w:tabs>
        <w:spacing w:after="0" w:line="240" w:lineRule="auto"/>
        <w:contextualSpacing/>
        <w:jc w:val="both"/>
        <w:rPr>
          <w:rFonts w:eastAsiaTheme="minorEastAsia" w:cs="Times New Roman"/>
          <w:sz w:val="24"/>
          <w:szCs w:val="24"/>
          <w:lang w:eastAsia="lv-LV"/>
        </w:rPr>
      </w:pPr>
    </w:p>
    <w:p w14:paraId="32C3E5B6" w14:textId="30D1B17C" w:rsidR="00E27992" w:rsidRDefault="4E9D49B8" w:rsidP="638FD9FE">
      <w:pPr>
        <w:tabs>
          <w:tab w:val="left" w:pos="567"/>
        </w:tabs>
        <w:spacing w:after="0" w:line="240" w:lineRule="auto"/>
        <w:contextualSpacing/>
        <w:jc w:val="center"/>
        <w:rPr>
          <w:rFonts w:eastAsiaTheme="minorEastAsia" w:cs="Times New Roman"/>
          <w:b/>
          <w:bCs/>
          <w:sz w:val="24"/>
          <w:szCs w:val="24"/>
          <w:lang w:eastAsia="lv-LV"/>
        </w:rPr>
      </w:pPr>
      <w:r w:rsidRPr="394CD76E">
        <w:rPr>
          <w:rFonts w:eastAsiaTheme="minorEastAsia" w:cs="Times New Roman"/>
          <w:b/>
          <w:bCs/>
          <w:sz w:val="24"/>
          <w:szCs w:val="24"/>
          <w:lang w:eastAsia="lv-LV"/>
        </w:rPr>
        <w:t xml:space="preserve">Pamattrases būvdarbu līguma paredzētā naudas plūsma, </w:t>
      </w:r>
      <w:r w:rsidR="002C5510" w:rsidRPr="002C5510">
        <w:rPr>
          <w:rFonts w:eastAsiaTheme="minorEastAsia" w:cs="Times New Roman"/>
          <w:b/>
          <w:bCs/>
          <w:i/>
          <w:sz w:val="24"/>
          <w:szCs w:val="24"/>
          <w:lang w:eastAsia="lv-LV"/>
        </w:rPr>
        <w:t>euro</w:t>
      </w:r>
    </w:p>
    <w:p w14:paraId="3CADCF14" w14:textId="300ECC19" w:rsidR="00C371DB" w:rsidRPr="0080094D" w:rsidRDefault="00C371DB" w:rsidP="00056AFE">
      <w:pPr>
        <w:tabs>
          <w:tab w:val="left" w:pos="567"/>
        </w:tabs>
        <w:spacing w:after="0" w:line="240" w:lineRule="auto"/>
        <w:contextualSpacing/>
        <w:jc w:val="right"/>
        <w:rPr>
          <w:rFonts w:eastAsiaTheme="minorEastAsia" w:cs="Times New Roman"/>
          <w:sz w:val="24"/>
          <w:szCs w:val="24"/>
          <w:lang w:eastAsia="lv-LV"/>
        </w:rPr>
      </w:pPr>
      <w:r w:rsidRPr="0080094D">
        <w:rPr>
          <w:rFonts w:eastAsiaTheme="minorEastAsia" w:cs="Times New Roman"/>
          <w:sz w:val="24"/>
          <w:szCs w:val="24"/>
          <w:lang w:eastAsia="lv-LV"/>
        </w:rPr>
        <w:t>2</w:t>
      </w:r>
      <w:r w:rsidR="00E27992" w:rsidRPr="0080094D">
        <w:rPr>
          <w:rFonts w:eastAsiaTheme="minorEastAsia" w:cs="Times New Roman"/>
          <w:sz w:val="24"/>
          <w:szCs w:val="24"/>
          <w:lang w:eastAsia="lv-LV"/>
        </w:rPr>
        <w:t>. tabula</w:t>
      </w:r>
      <w:r w:rsidR="009473E7" w:rsidRPr="0080094D">
        <w:rPr>
          <w:rFonts w:eastAsiaTheme="minorEastAsia" w:cs="Times New Roman"/>
          <w:sz w:val="24"/>
          <w:szCs w:val="24"/>
          <w:lang w:eastAsia="lv-LV"/>
        </w:rPr>
        <w:t xml:space="preserve"> </w:t>
      </w:r>
    </w:p>
    <w:tbl>
      <w:tblPr>
        <w:tblStyle w:val="TableGrid"/>
        <w:tblW w:w="10133" w:type="dxa"/>
        <w:tblLook w:val="04A0" w:firstRow="1" w:lastRow="0" w:firstColumn="1" w:lastColumn="0" w:noHBand="0" w:noVBand="1"/>
      </w:tblPr>
      <w:tblGrid>
        <w:gridCol w:w="1603"/>
        <w:gridCol w:w="896"/>
        <w:gridCol w:w="1256"/>
        <w:gridCol w:w="1256"/>
        <w:gridCol w:w="1456"/>
        <w:gridCol w:w="896"/>
        <w:gridCol w:w="1376"/>
        <w:gridCol w:w="1394"/>
      </w:tblGrid>
      <w:tr w:rsidR="0098030B" w14:paraId="66BC82CE" w14:textId="77777777" w:rsidTr="00982050">
        <w:trPr>
          <w:trHeight w:val="300"/>
        </w:trPr>
        <w:tc>
          <w:tcPr>
            <w:tcW w:w="1603" w:type="dxa"/>
            <w:vAlign w:val="center"/>
          </w:tcPr>
          <w:p w14:paraId="2F86BA1D" w14:textId="7A3B4B90"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2023</w:t>
            </w:r>
          </w:p>
        </w:tc>
        <w:tc>
          <w:tcPr>
            <w:tcW w:w="896" w:type="dxa"/>
            <w:vAlign w:val="center"/>
          </w:tcPr>
          <w:p w14:paraId="5E9EB649" w14:textId="4FCEDF0E"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2024</w:t>
            </w:r>
          </w:p>
        </w:tc>
        <w:tc>
          <w:tcPr>
            <w:tcW w:w="1256" w:type="dxa"/>
            <w:vAlign w:val="center"/>
          </w:tcPr>
          <w:p w14:paraId="09C400DD" w14:textId="4E4FECC8"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2025</w:t>
            </w:r>
          </w:p>
        </w:tc>
        <w:tc>
          <w:tcPr>
            <w:tcW w:w="1256" w:type="dxa"/>
            <w:vAlign w:val="center"/>
          </w:tcPr>
          <w:p w14:paraId="3F61D8CE" w14:textId="6B3BA68C"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2026</w:t>
            </w:r>
          </w:p>
        </w:tc>
        <w:tc>
          <w:tcPr>
            <w:tcW w:w="1456" w:type="dxa"/>
            <w:vAlign w:val="center"/>
          </w:tcPr>
          <w:p w14:paraId="27C72B5B" w14:textId="6A71264B"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2027</w:t>
            </w:r>
          </w:p>
        </w:tc>
        <w:tc>
          <w:tcPr>
            <w:tcW w:w="896" w:type="dxa"/>
            <w:vAlign w:val="center"/>
          </w:tcPr>
          <w:p w14:paraId="1ED717B4" w14:textId="11D6F892"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2028</w:t>
            </w:r>
          </w:p>
        </w:tc>
        <w:tc>
          <w:tcPr>
            <w:tcW w:w="1376" w:type="dxa"/>
            <w:vAlign w:val="center"/>
          </w:tcPr>
          <w:p w14:paraId="3CB51F78" w14:textId="7F0AAD09"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2029</w:t>
            </w:r>
          </w:p>
        </w:tc>
        <w:tc>
          <w:tcPr>
            <w:tcW w:w="1394" w:type="dxa"/>
            <w:vAlign w:val="center"/>
          </w:tcPr>
          <w:p w14:paraId="0B851896" w14:textId="579D34B8" w:rsidR="00565051" w:rsidRPr="00023E2A" w:rsidRDefault="00565051" w:rsidP="00056AFE">
            <w:pPr>
              <w:tabs>
                <w:tab w:val="left" w:pos="567"/>
              </w:tabs>
              <w:contextualSpacing/>
              <w:jc w:val="center"/>
              <w:rPr>
                <w:rFonts w:eastAsiaTheme="minorEastAsia" w:cs="Times New Roman"/>
                <w:b/>
                <w:bCs/>
                <w:sz w:val="24"/>
                <w:szCs w:val="24"/>
                <w:lang w:eastAsia="lv-LV"/>
              </w:rPr>
            </w:pPr>
            <w:r w:rsidRPr="00023E2A">
              <w:rPr>
                <w:rFonts w:eastAsiaTheme="minorEastAsia" w:cs="Times New Roman"/>
                <w:b/>
                <w:bCs/>
                <w:sz w:val="24"/>
                <w:szCs w:val="24"/>
                <w:lang w:eastAsia="lv-LV"/>
              </w:rPr>
              <w:t>2030</w:t>
            </w:r>
          </w:p>
        </w:tc>
      </w:tr>
      <w:tr w:rsidR="00841DA0" w14:paraId="0C6AFDD5" w14:textId="77777777" w:rsidTr="00982050">
        <w:trPr>
          <w:trHeight w:val="300"/>
        </w:trPr>
        <w:tc>
          <w:tcPr>
            <w:tcW w:w="1603" w:type="dxa"/>
            <w:vAlign w:val="center"/>
          </w:tcPr>
          <w:p w14:paraId="68F30E2C" w14:textId="282954EB" w:rsidR="00841DA0" w:rsidRPr="000A375B" w:rsidRDefault="00841DA0" w:rsidP="00841DA0">
            <w:pPr>
              <w:tabs>
                <w:tab w:val="left" w:pos="567"/>
              </w:tabs>
              <w:contextualSpacing/>
              <w:jc w:val="center"/>
              <w:rPr>
                <w:rFonts w:eastAsiaTheme="minorEastAsia" w:cs="Times New Roman"/>
                <w:sz w:val="20"/>
                <w:szCs w:val="20"/>
                <w:lang w:eastAsia="lv-LV"/>
              </w:rPr>
            </w:pPr>
            <w:r w:rsidRPr="00266E30">
              <w:rPr>
                <w:rFonts w:eastAsia="Times New Roman" w:cs="Times New Roman"/>
                <w:sz w:val="16"/>
                <w:szCs w:val="16"/>
              </w:rPr>
              <w:t>Noslēgts līgums ar personu apvienību „E.R.B. Rail Baltica JV”(</w:t>
            </w:r>
            <w:r>
              <w:rPr>
                <w:rFonts w:eastAsia="Times New Roman" w:cs="Times New Roman"/>
                <w:sz w:val="16"/>
                <w:szCs w:val="16"/>
              </w:rPr>
              <w:t xml:space="preserve">bez </w:t>
            </w:r>
            <w:r w:rsidRPr="00266E30">
              <w:rPr>
                <w:rFonts w:eastAsia="Times New Roman" w:cs="Times New Roman"/>
                <w:sz w:val="16"/>
                <w:szCs w:val="16"/>
              </w:rPr>
              <w:t xml:space="preserve"> PVN)</w:t>
            </w:r>
          </w:p>
        </w:tc>
        <w:tc>
          <w:tcPr>
            <w:tcW w:w="896" w:type="dxa"/>
            <w:vAlign w:val="center"/>
          </w:tcPr>
          <w:p w14:paraId="4F73990E" w14:textId="54AB7118"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33 302 851</w:t>
            </w:r>
          </w:p>
        </w:tc>
        <w:tc>
          <w:tcPr>
            <w:tcW w:w="1256" w:type="dxa"/>
            <w:vAlign w:val="center"/>
          </w:tcPr>
          <w:p w14:paraId="20C39D95" w14:textId="501E88A0"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184 764 276</w:t>
            </w:r>
          </w:p>
        </w:tc>
        <w:tc>
          <w:tcPr>
            <w:tcW w:w="1256" w:type="dxa"/>
            <w:vAlign w:val="center"/>
          </w:tcPr>
          <w:p w14:paraId="0B811B66" w14:textId="3E6C32F9"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467 275 246</w:t>
            </w:r>
          </w:p>
        </w:tc>
        <w:tc>
          <w:tcPr>
            <w:tcW w:w="1456" w:type="dxa"/>
            <w:vAlign w:val="center"/>
          </w:tcPr>
          <w:p w14:paraId="7304C95B" w14:textId="29CCB013"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934 458 117</w:t>
            </w:r>
          </w:p>
        </w:tc>
        <w:tc>
          <w:tcPr>
            <w:tcW w:w="896" w:type="dxa"/>
            <w:vAlign w:val="center"/>
          </w:tcPr>
          <w:p w14:paraId="19AD95D5" w14:textId="3A7942E5"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968 648 919</w:t>
            </w:r>
          </w:p>
        </w:tc>
        <w:tc>
          <w:tcPr>
            <w:tcW w:w="1376" w:type="dxa"/>
            <w:vAlign w:val="center"/>
          </w:tcPr>
          <w:p w14:paraId="3359C3E7" w14:textId="59082B06"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904 363 470</w:t>
            </w:r>
          </w:p>
        </w:tc>
        <w:tc>
          <w:tcPr>
            <w:tcW w:w="1394" w:type="dxa"/>
            <w:vAlign w:val="center"/>
          </w:tcPr>
          <w:p w14:paraId="15BD3F40" w14:textId="29676B3C" w:rsidR="00841DA0" w:rsidRPr="003A3C1A" w:rsidRDefault="00841DA0" w:rsidP="00841DA0">
            <w:pPr>
              <w:tabs>
                <w:tab w:val="left" w:pos="567"/>
              </w:tabs>
              <w:contextualSpacing/>
              <w:jc w:val="center"/>
              <w:rPr>
                <w:rFonts w:eastAsiaTheme="minorEastAsia" w:cs="Times New Roman"/>
                <w:sz w:val="16"/>
                <w:szCs w:val="16"/>
                <w:lang w:eastAsia="lv-LV"/>
              </w:rPr>
            </w:pPr>
            <w:r w:rsidRPr="0595A900">
              <w:rPr>
                <w:rFonts w:eastAsia="Times New Roman" w:cs="Times New Roman"/>
                <w:color w:val="000000" w:themeColor="text1"/>
                <w:sz w:val="16"/>
                <w:szCs w:val="16"/>
              </w:rPr>
              <w:t>206 020 640</w:t>
            </w:r>
          </w:p>
        </w:tc>
      </w:tr>
      <w:tr w:rsidR="1FB2D6C5" w14:paraId="3E686519" w14:textId="77777777" w:rsidTr="00982050">
        <w:trPr>
          <w:trHeight w:val="300"/>
        </w:trPr>
        <w:tc>
          <w:tcPr>
            <w:tcW w:w="1603" w:type="dxa"/>
            <w:vAlign w:val="center"/>
          </w:tcPr>
          <w:p w14:paraId="79A2EFCD" w14:textId="5DD27389" w:rsidR="6075987E" w:rsidRDefault="6075987E" w:rsidP="6075987E">
            <w:pPr>
              <w:jc w:val="center"/>
              <w:rPr>
                <w:rFonts w:eastAsia="Times New Roman" w:cs="Times New Roman"/>
                <w:sz w:val="16"/>
                <w:szCs w:val="16"/>
              </w:rPr>
            </w:pPr>
            <w:r w:rsidRPr="6075987E" w:rsidDel="00F151D4">
              <w:rPr>
                <w:rFonts w:eastAsia="Times New Roman" w:cs="Times New Roman"/>
                <w:sz w:val="16"/>
                <w:szCs w:val="16"/>
              </w:rPr>
              <w:t xml:space="preserve"> </w:t>
            </w:r>
            <w:r w:rsidR="00F151D4">
              <w:rPr>
                <w:rFonts w:eastAsia="Times New Roman" w:cs="Times New Roman"/>
                <w:sz w:val="16"/>
                <w:szCs w:val="16"/>
              </w:rPr>
              <w:t>CEF</w:t>
            </w:r>
            <w:r w:rsidR="00F151D4" w:rsidRPr="6075987E">
              <w:rPr>
                <w:rFonts w:eastAsia="Times New Roman" w:cs="Times New Roman"/>
                <w:sz w:val="16"/>
                <w:szCs w:val="16"/>
              </w:rPr>
              <w:t xml:space="preserve"> </w:t>
            </w:r>
            <w:r w:rsidRPr="6075987E">
              <w:rPr>
                <w:rFonts w:eastAsia="Times New Roman" w:cs="Times New Roman"/>
                <w:sz w:val="16"/>
                <w:szCs w:val="16"/>
              </w:rPr>
              <w:t>finansējuma piešķīrums (CEF8 un CEF9)</w:t>
            </w:r>
            <w:r w:rsidR="001B5180">
              <w:rPr>
                <w:rFonts w:eastAsia="Times New Roman" w:cs="Times New Roman"/>
                <w:sz w:val="16"/>
                <w:szCs w:val="16"/>
              </w:rPr>
              <w:t xml:space="preserve">, </w:t>
            </w:r>
            <w:r w:rsidR="00872AA7">
              <w:rPr>
                <w:rFonts w:eastAsia="Times New Roman" w:cs="Times New Roman"/>
                <w:sz w:val="16"/>
                <w:szCs w:val="16"/>
              </w:rPr>
              <w:t>bez PVN</w:t>
            </w:r>
            <w:r w:rsidR="00623B62">
              <w:rPr>
                <w:rFonts w:eastAsia="Times New Roman" w:cs="Times New Roman"/>
                <w:sz w:val="16"/>
                <w:szCs w:val="16"/>
              </w:rPr>
              <w:t>***</w:t>
            </w:r>
          </w:p>
        </w:tc>
        <w:tc>
          <w:tcPr>
            <w:tcW w:w="896" w:type="dxa"/>
            <w:vAlign w:val="center"/>
          </w:tcPr>
          <w:p w14:paraId="0201DFA9" w14:textId="3469C45C" w:rsidR="6075987E" w:rsidRDefault="6075987E" w:rsidP="6075987E">
            <w:pPr>
              <w:rPr>
                <w:rFonts w:eastAsia="Times New Roman" w:cs="Times New Roman"/>
                <w:sz w:val="16"/>
                <w:szCs w:val="16"/>
              </w:rPr>
            </w:pPr>
            <w:r w:rsidRPr="6075987E">
              <w:rPr>
                <w:rFonts w:eastAsia="Times New Roman" w:cs="Times New Roman"/>
                <w:sz w:val="16"/>
                <w:szCs w:val="16"/>
              </w:rPr>
              <w:t>24 816 450</w:t>
            </w:r>
          </w:p>
        </w:tc>
        <w:tc>
          <w:tcPr>
            <w:tcW w:w="1256" w:type="dxa"/>
            <w:vAlign w:val="center"/>
          </w:tcPr>
          <w:p w14:paraId="1ADF1836" w14:textId="37640364" w:rsidR="6075987E" w:rsidRDefault="6075987E" w:rsidP="6075987E">
            <w:pPr>
              <w:rPr>
                <w:rFonts w:eastAsia="Times New Roman" w:cs="Times New Roman"/>
                <w:sz w:val="16"/>
                <w:szCs w:val="16"/>
              </w:rPr>
            </w:pPr>
            <w:r w:rsidRPr="6075987E">
              <w:rPr>
                <w:rFonts w:eastAsia="Times New Roman" w:cs="Times New Roman"/>
                <w:sz w:val="16"/>
                <w:szCs w:val="16"/>
              </w:rPr>
              <w:t>82 721 500</w:t>
            </w:r>
          </w:p>
        </w:tc>
        <w:tc>
          <w:tcPr>
            <w:tcW w:w="1256" w:type="dxa"/>
            <w:vAlign w:val="center"/>
          </w:tcPr>
          <w:p w14:paraId="15FB4FA0" w14:textId="69056CE9" w:rsidR="6075987E" w:rsidRDefault="6075987E" w:rsidP="6075987E">
            <w:pPr>
              <w:rPr>
                <w:rFonts w:eastAsia="Times New Roman" w:cs="Times New Roman"/>
                <w:sz w:val="16"/>
                <w:szCs w:val="16"/>
              </w:rPr>
            </w:pPr>
            <w:r w:rsidRPr="6075987E">
              <w:rPr>
                <w:rFonts w:eastAsia="Times New Roman" w:cs="Times New Roman"/>
                <w:sz w:val="16"/>
                <w:szCs w:val="16"/>
              </w:rPr>
              <w:t>57 905 050</w:t>
            </w:r>
          </w:p>
        </w:tc>
        <w:tc>
          <w:tcPr>
            <w:tcW w:w="1456" w:type="dxa"/>
            <w:vAlign w:val="center"/>
          </w:tcPr>
          <w:p w14:paraId="5BD767A5" w14:textId="3F384A6F"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 xml:space="preserve"> -</w:t>
            </w:r>
          </w:p>
        </w:tc>
        <w:tc>
          <w:tcPr>
            <w:tcW w:w="896" w:type="dxa"/>
            <w:vAlign w:val="center"/>
          </w:tcPr>
          <w:p w14:paraId="75FF40F2" w14:textId="750C1D7F"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w:t>
            </w:r>
          </w:p>
        </w:tc>
        <w:tc>
          <w:tcPr>
            <w:tcW w:w="1376" w:type="dxa"/>
            <w:vAlign w:val="center"/>
          </w:tcPr>
          <w:p w14:paraId="465B7AC3" w14:textId="0353E92E"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w:t>
            </w:r>
          </w:p>
        </w:tc>
        <w:tc>
          <w:tcPr>
            <w:tcW w:w="1394" w:type="dxa"/>
            <w:vAlign w:val="center"/>
          </w:tcPr>
          <w:p w14:paraId="6D849481" w14:textId="76E49347"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w:t>
            </w:r>
          </w:p>
        </w:tc>
      </w:tr>
      <w:tr w:rsidR="1FB2D6C5" w14:paraId="59FF63A4" w14:textId="77777777" w:rsidTr="00982050">
        <w:trPr>
          <w:trHeight w:val="300"/>
        </w:trPr>
        <w:tc>
          <w:tcPr>
            <w:tcW w:w="1603" w:type="dxa"/>
            <w:vAlign w:val="center"/>
          </w:tcPr>
          <w:p w14:paraId="46FA609B" w14:textId="6440809E" w:rsidR="6075987E" w:rsidRPr="00FF1F62" w:rsidRDefault="00F151D4" w:rsidP="394CD76E">
            <w:pPr>
              <w:jc w:val="center"/>
              <w:rPr>
                <w:rFonts w:eastAsia="Times New Roman" w:cs="Times New Roman"/>
                <w:sz w:val="16"/>
                <w:szCs w:val="16"/>
              </w:rPr>
            </w:pPr>
            <w:r>
              <w:rPr>
                <w:rFonts w:eastAsia="Times New Roman" w:cs="Times New Roman"/>
                <w:sz w:val="16"/>
                <w:szCs w:val="16"/>
              </w:rPr>
              <w:t>CEF</w:t>
            </w:r>
            <w:r w:rsidRPr="394CD76E">
              <w:rPr>
                <w:rFonts w:eastAsia="Times New Roman" w:cs="Times New Roman"/>
                <w:sz w:val="16"/>
                <w:szCs w:val="16"/>
              </w:rPr>
              <w:t xml:space="preserve"> </w:t>
            </w:r>
            <w:r w:rsidR="06763825" w:rsidRPr="394CD76E">
              <w:rPr>
                <w:rFonts w:eastAsia="Times New Roman" w:cs="Times New Roman"/>
                <w:sz w:val="16"/>
                <w:szCs w:val="16"/>
              </w:rPr>
              <w:t>finansējuma aplēse (var mainīties atkarībā no faktiskā piešķīruma)</w:t>
            </w:r>
            <w:r w:rsidR="230BE06D" w:rsidRPr="003F1977">
              <w:rPr>
                <w:rFonts w:eastAsia="Times New Roman" w:cs="Times New Roman"/>
                <w:sz w:val="16"/>
                <w:szCs w:val="16"/>
              </w:rPr>
              <w:t>***</w:t>
            </w:r>
            <w:r w:rsidR="00B12420">
              <w:rPr>
                <w:rFonts w:eastAsia="Times New Roman" w:cs="Times New Roman"/>
                <w:sz w:val="16"/>
                <w:szCs w:val="16"/>
              </w:rPr>
              <w:t xml:space="preserve">, </w:t>
            </w:r>
            <w:r w:rsidR="00D80969">
              <w:rPr>
                <w:rFonts w:eastAsia="Times New Roman" w:cs="Times New Roman"/>
                <w:sz w:val="16"/>
                <w:szCs w:val="16"/>
              </w:rPr>
              <w:t xml:space="preserve">bez </w:t>
            </w:r>
            <w:r w:rsidR="00872B19">
              <w:rPr>
                <w:rFonts w:eastAsia="Times New Roman" w:cs="Times New Roman"/>
                <w:sz w:val="16"/>
                <w:szCs w:val="16"/>
              </w:rPr>
              <w:t>PVN</w:t>
            </w:r>
          </w:p>
        </w:tc>
        <w:tc>
          <w:tcPr>
            <w:tcW w:w="896" w:type="dxa"/>
            <w:vAlign w:val="center"/>
          </w:tcPr>
          <w:p w14:paraId="0541C8CB" w14:textId="0FA794AF"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37 730 000</w:t>
            </w:r>
          </w:p>
        </w:tc>
        <w:tc>
          <w:tcPr>
            <w:tcW w:w="1256" w:type="dxa"/>
            <w:vAlign w:val="center"/>
          </w:tcPr>
          <w:p w14:paraId="1FBD10C5" w14:textId="4B902985"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422 575 000</w:t>
            </w:r>
          </w:p>
        </w:tc>
        <w:tc>
          <w:tcPr>
            <w:tcW w:w="1256" w:type="dxa"/>
            <w:vAlign w:val="center"/>
          </w:tcPr>
          <w:p w14:paraId="3E1696E7" w14:textId="6199B761"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474 150 000</w:t>
            </w:r>
          </w:p>
        </w:tc>
        <w:tc>
          <w:tcPr>
            <w:tcW w:w="1456" w:type="dxa"/>
            <w:vAlign w:val="center"/>
          </w:tcPr>
          <w:p w14:paraId="150CBBEB" w14:textId="739800D6"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227 845 000</w:t>
            </w:r>
          </w:p>
        </w:tc>
        <w:tc>
          <w:tcPr>
            <w:tcW w:w="896" w:type="dxa"/>
            <w:vAlign w:val="center"/>
          </w:tcPr>
          <w:p w14:paraId="78D04273" w14:textId="70F35845"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325 666</w:t>
            </w:r>
            <w:r w:rsidR="67107E18" w:rsidRPr="394CD76E">
              <w:rPr>
                <w:rFonts w:eastAsia="Times New Roman" w:cs="Times New Roman"/>
                <w:color w:val="000000" w:themeColor="text1"/>
                <w:sz w:val="16"/>
                <w:szCs w:val="16"/>
              </w:rPr>
              <w:t> </w:t>
            </w:r>
            <w:r w:rsidRPr="394CD76E">
              <w:rPr>
                <w:rFonts w:eastAsia="Times New Roman" w:cs="Times New Roman"/>
                <w:color w:val="000000" w:themeColor="text1"/>
                <w:sz w:val="16"/>
                <w:szCs w:val="16"/>
              </w:rPr>
              <w:t>667</w:t>
            </w:r>
            <w:r w:rsidR="67107E18" w:rsidRPr="394CD76E">
              <w:rPr>
                <w:rFonts w:eastAsia="Times New Roman" w:cs="Times New Roman"/>
                <w:color w:val="000000" w:themeColor="text1"/>
                <w:sz w:val="16"/>
                <w:szCs w:val="16"/>
              </w:rPr>
              <w:t>**</w:t>
            </w:r>
          </w:p>
        </w:tc>
        <w:tc>
          <w:tcPr>
            <w:tcW w:w="1376" w:type="dxa"/>
            <w:vAlign w:val="center"/>
          </w:tcPr>
          <w:p w14:paraId="4BB67C6A" w14:textId="415A641E"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325 666</w:t>
            </w:r>
            <w:r w:rsidR="67107E18" w:rsidRPr="394CD76E">
              <w:rPr>
                <w:rFonts w:eastAsia="Times New Roman" w:cs="Times New Roman"/>
                <w:color w:val="000000" w:themeColor="text1"/>
                <w:sz w:val="16"/>
                <w:szCs w:val="16"/>
              </w:rPr>
              <w:t> </w:t>
            </w:r>
            <w:r w:rsidRPr="394CD76E">
              <w:rPr>
                <w:rFonts w:eastAsia="Times New Roman" w:cs="Times New Roman"/>
                <w:color w:val="000000" w:themeColor="text1"/>
                <w:sz w:val="16"/>
                <w:szCs w:val="16"/>
              </w:rPr>
              <w:t>667</w:t>
            </w:r>
            <w:r w:rsidR="67107E18" w:rsidRPr="394CD76E">
              <w:rPr>
                <w:rFonts w:eastAsia="Times New Roman" w:cs="Times New Roman"/>
                <w:color w:val="000000" w:themeColor="text1"/>
                <w:sz w:val="16"/>
                <w:szCs w:val="16"/>
              </w:rPr>
              <w:t>**</w:t>
            </w:r>
          </w:p>
        </w:tc>
        <w:tc>
          <w:tcPr>
            <w:tcW w:w="1394" w:type="dxa"/>
            <w:vAlign w:val="center"/>
          </w:tcPr>
          <w:p w14:paraId="38C9FA68" w14:textId="66986361" w:rsidR="6075987E" w:rsidRPr="00FF1F62" w:rsidRDefault="06763825" w:rsidP="394CD76E">
            <w:pPr>
              <w:rPr>
                <w:rFonts w:eastAsia="Times New Roman" w:cs="Times New Roman"/>
                <w:color w:val="000000" w:themeColor="text1"/>
                <w:sz w:val="16"/>
                <w:szCs w:val="16"/>
              </w:rPr>
            </w:pPr>
            <w:r w:rsidRPr="394CD76E">
              <w:rPr>
                <w:rFonts w:eastAsia="Times New Roman" w:cs="Times New Roman"/>
                <w:color w:val="000000" w:themeColor="text1"/>
                <w:sz w:val="16"/>
                <w:szCs w:val="16"/>
              </w:rPr>
              <w:t>325 666</w:t>
            </w:r>
            <w:r w:rsidR="0DEB3C44" w:rsidRPr="394CD76E">
              <w:rPr>
                <w:rFonts w:eastAsia="Times New Roman" w:cs="Times New Roman"/>
                <w:color w:val="000000" w:themeColor="text1"/>
                <w:sz w:val="16"/>
                <w:szCs w:val="16"/>
              </w:rPr>
              <w:t> </w:t>
            </w:r>
            <w:r w:rsidRPr="394CD76E">
              <w:rPr>
                <w:rFonts w:eastAsia="Times New Roman" w:cs="Times New Roman"/>
                <w:color w:val="000000" w:themeColor="text1"/>
                <w:sz w:val="16"/>
                <w:szCs w:val="16"/>
              </w:rPr>
              <w:t>667</w:t>
            </w:r>
            <w:r w:rsidR="0DEB3C44" w:rsidRPr="394CD76E">
              <w:rPr>
                <w:rFonts w:eastAsia="Times New Roman" w:cs="Times New Roman"/>
                <w:color w:val="000000" w:themeColor="text1"/>
                <w:sz w:val="16"/>
                <w:szCs w:val="16"/>
              </w:rPr>
              <w:t>**</w:t>
            </w:r>
          </w:p>
        </w:tc>
      </w:tr>
      <w:tr w:rsidR="6075987E" w14:paraId="4BB5F302" w14:textId="77777777" w:rsidTr="00982050">
        <w:trPr>
          <w:trHeight w:val="300"/>
        </w:trPr>
        <w:tc>
          <w:tcPr>
            <w:tcW w:w="1603" w:type="dxa"/>
            <w:vAlign w:val="center"/>
          </w:tcPr>
          <w:p w14:paraId="17CFF4EB" w14:textId="5235CEC9" w:rsidR="6075987E" w:rsidRDefault="6075987E" w:rsidP="6075987E">
            <w:pPr>
              <w:jc w:val="center"/>
              <w:rPr>
                <w:rFonts w:eastAsia="Times New Roman" w:cs="Times New Roman"/>
                <w:sz w:val="16"/>
                <w:szCs w:val="16"/>
              </w:rPr>
            </w:pPr>
            <w:r w:rsidRPr="6075987E">
              <w:rPr>
                <w:rFonts w:eastAsia="Times New Roman" w:cs="Times New Roman"/>
                <w:sz w:val="16"/>
                <w:szCs w:val="16"/>
              </w:rPr>
              <w:t>Atlikuma / deficīta aplēse (kumulatīvi)</w:t>
            </w:r>
            <w:r w:rsidR="00804D02">
              <w:rPr>
                <w:rFonts w:eastAsia="Times New Roman" w:cs="Times New Roman"/>
                <w:sz w:val="16"/>
                <w:szCs w:val="16"/>
              </w:rPr>
              <w:t xml:space="preserve"> bez PVN</w:t>
            </w:r>
          </w:p>
        </w:tc>
        <w:tc>
          <w:tcPr>
            <w:tcW w:w="896" w:type="dxa"/>
            <w:vAlign w:val="center"/>
          </w:tcPr>
          <w:p w14:paraId="3CCA245E" w14:textId="78ABE4F4" w:rsidR="6075987E" w:rsidRDefault="00BE66D6" w:rsidP="6075987E">
            <w:pPr>
              <w:rPr>
                <w:rFonts w:eastAsia="Times New Roman" w:cs="Times New Roman"/>
                <w:color w:val="000000" w:themeColor="text1"/>
                <w:sz w:val="16"/>
                <w:szCs w:val="16"/>
              </w:rPr>
            </w:pPr>
            <w:r>
              <w:rPr>
                <w:rFonts w:eastAsia="Times New Roman" w:cs="Times New Roman"/>
                <w:color w:val="000000" w:themeColor="text1"/>
                <w:sz w:val="16"/>
                <w:szCs w:val="16"/>
              </w:rPr>
              <w:t>29 243 599</w:t>
            </w:r>
          </w:p>
        </w:tc>
        <w:tc>
          <w:tcPr>
            <w:tcW w:w="1256" w:type="dxa"/>
            <w:vAlign w:val="center"/>
          </w:tcPr>
          <w:p w14:paraId="3794A739" w14:textId="757B4D77" w:rsidR="6075987E" w:rsidRDefault="00BE66D6" w:rsidP="6075987E">
            <w:pPr>
              <w:rPr>
                <w:rFonts w:eastAsia="Times New Roman" w:cs="Times New Roman"/>
                <w:color w:val="000000" w:themeColor="text1"/>
                <w:sz w:val="16"/>
                <w:szCs w:val="16"/>
              </w:rPr>
            </w:pPr>
            <w:r>
              <w:rPr>
                <w:rFonts w:eastAsia="Times New Roman" w:cs="Times New Roman"/>
                <w:color w:val="000000" w:themeColor="text1"/>
                <w:sz w:val="16"/>
                <w:szCs w:val="16"/>
              </w:rPr>
              <w:t>320 532 224</w:t>
            </w:r>
          </w:p>
        </w:tc>
        <w:tc>
          <w:tcPr>
            <w:tcW w:w="1256" w:type="dxa"/>
            <w:vAlign w:val="center"/>
          </w:tcPr>
          <w:p w14:paraId="15CFCEFE" w14:textId="7FD910DB" w:rsidR="6075987E" w:rsidRDefault="000B3A2D" w:rsidP="6075987E">
            <w:pPr>
              <w:rPr>
                <w:rFonts w:eastAsia="Times New Roman" w:cs="Times New Roman"/>
                <w:color w:val="000000" w:themeColor="text1"/>
                <w:sz w:val="16"/>
                <w:szCs w:val="16"/>
              </w:rPr>
            </w:pPr>
            <w:r>
              <w:rPr>
                <w:rFonts w:eastAsia="Times New Roman" w:cs="Times New Roman"/>
                <w:color w:val="000000" w:themeColor="text1"/>
                <w:sz w:val="16"/>
                <w:szCs w:val="16"/>
              </w:rPr>
              <w:t>64 779 804</w:t>
            </w:r>
          </w:p>
        </w:tc>
        <w:tc>
          <w:tcPr>
            <w:tcW w:w="1456" w:type="dxa"/>
            <w:vAlign w:val="center"/>
          </w:tcPr>
          <w:p w14:paraId="4EF818EA" w14:textId="4568A80E"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w:t>
            </w:r>
            <w:r w:rsidR="000B3A2D">
              <w:rPr>
                <w:rFonts w:eastAsia="Times New Roman" w:cs="Times New Roman"/>
                <w:color w:val="000000" w:themeColor="text1"/>
                <w:sz w:val="16"/>
                <w:szCs w:val="16"/>
              </w:rPr>
              <w:t>706</w:t>
            </w:r>
            <w:r w:rsidR="00D0394F">
              <w:rPr>
                <w:rFonts w:eastAsia="Times New Roman" w:cs="Times New Roman"/>
                <w:color w:val="000000" w:themeColor="text1"/>
                <w:sz w:val="16"/>
                <w:szCs w:val="16"/>
              </w:rPr>
              <w:t> 613 117</w:t>
            </w:r>
          </w:p>
        </w:tc>
        <w:tc>
          <w:tcPr>
            <w:tcW w:w="896" w:type="dxa"/>
            <w:vAlign w:val="center"/>
          </w:tcPr>
          <w:p w14:paraId="5CC0B0DF" w14:textId="5B03FCB9"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w:t>
            </w:r>
            <w:r w:rsidR="00D0394F">
              <w:rPr>
                <w:rFonts w:eastAsia="Times New Roman" w:cs="Times New Roman"/>
                <w:color w:val="000000" w:themeColor="text1"/>
                <w:sz w:val="16"/>
                <w:szCs w:val="16"/>
              </w:rPr>
              <w:t>642 982 252</w:t>
            </w:r>
          </w:p>
        </w:tc>
        <w:tc>
          <w:tcPr>
            <w:tcW w:w="1376" w:type="dxa"/>
            <w:vAlign w:val="center"/>
          </w:tcPr>
          <w:p w14:paraId="2E83CFAC" w14:textId="430324AA" w:rsidR="6075987E" w:rsidRDefault="6075987E" w:rsidP="6075987E">
            <w:pPr>
              <w:rPr>
                <w:rFonts w:eastAsia="Times New Roman" w:cs="Times New Roman"/>
                <w:color w:val="000000" w:themeColor="text1"/>
                <w:sz w:val="16"/>
                <w:szCs w:val="16"/>
              </w:rPr>
            </w:pPr>
            <w:r w:rsidRPr="6075987E">
              <w:rPr>
                <w:rFonts w:eastAsia="Times New Roman" w:cs="Times New Roman"/>
                <w:color w:val="000000" w:themeColor="text1"/>
                <w:sz w:val="16"/>
                <w:szCs w:val="16"/>
              </w:rPr>
              <w:t>-</w:t>
            </w:r>
            <w:r w:rsidR="00E00CC7">
              <w:rPr>
                <w:rFonts w:eastAsia="Times New Roman" w:cs="Times New Roman"/>
                <w:color w:val="000000" w:themeColor="text1"/>
                <w:sz w:val="16"/>
                <w:szCs w:val="16"/>
              </w:rPr>
              <w:t>578 696 803</w:t>
            </w:r>
          </w:p>
        </w:tc>
        <w:tc>
          <w:tcPr>
            <w:tcW w:w="1394" w:type="dxa"/>
            <w:vAlign w:val="center"/>
          </w:tcPr>
          <w:p w14:paraId="0517FEFB" w14:textId="75C8CF18" w:rsidR="6075987E" w:rsidRDefault="00E00CC7" w:rsidP="6075987E">
            <w:pPr>
              <w:rPr>
                <w:rFonts w:eastAsia="Times New Roman" w:cs="Times New Roman"/>
                <w:color w:val="000000" w:themeColor="text1"/>
                <w:sz w:val="16"/>
                <w:szCs w:val="16"/>
              </w:rPr>
            </w:pPr>
            <w:r>
              <w:rPr>
                <w:rFonts w:eastAsia="Times New Roman" w:cs="Times New Roman"/>
                <w:color w:val="000000" w:themeColor="text1"/>
                <w:sz w:val="16"/>
                <w:szCs w:val="16"/>
              </w:rPr>
              <w:t>119 646 027</w:t>
            </w:r>
          </w:p>
        </w:tc>
      </w:tr>
    </w:tbl>
    <w:p w14:paraId="3C742800" w14:textId="524B94E9" w:rsidR="00C92241" w:rsidRPr="00314090" w:rsidRDefault="5269FD7E" w:rsidP="000B4C33">
      <w:pPr>
        <w:tabs>
          <w:tab w:val="left" w:pos="567"/>
        </w:tabs>
        <w:spacing w:after="0"/>
        <w:ind w:left="357"/>
        <w:jc w:val="both"/>
        <w:rPr>
          <w:rFonts w:eastAsiaTheme="minorEastAsia" w:cs="Times New Roman"/>
          <w:sz w:val="20"/>
          <w:szCs w:val="20"/>
          <w:lang w:eastAsia="lv-LV"/>
        </w:rPr>
      </w:pPr>
      <w:r w:rsidRPr="00314090">
        <w:rPr>
          <w:rFonts w:eastAsiaTheme="minorEastAsia" w:cs="Times New Roman"/>
          <w:sz w:val="20"/>
          <w:szCs w:val="20"/>
          <w:lang w:eastAsia="lv-LV"/>
        </w:rPr>
        <w:t>*2027.</w:t>
      </w:r>
      <w:r w:rsidR="003E5150" w:rsidRPr="00314090">
        <w:rPr>
          <w:rFonts w:eastAsiaTheme="minorEastAsia" w:cs="Times New Roman"/>
          <w:sz w:val="20"/>
          <w:szCs w:val="20"/>
          <w:lang w:eastAsia="lv-LV"/>
        </w:rPr>
        <w:t xml:space="preserve"> </w:t>
      </w:r>
      <w:r w:rsidRPr="00314090">
        <w:rPr>
          <w:rFonts w:eastAsiaTheme="minorEastAsia" w:cs="Times New Roman"/>
          <w:sz w:val="20"/>
          <w:szCs w:val="20"/>
          <w:lang w:eastAsia="lv-LV"/>
        </w:rPr>
        <w:t>gadā</w:t>
      </w:r>
      <w:r w:rsidR="501F07D0" w:rsidRPr="00314090">
        <w:rPr>
          <w:rFonts w:eastAsiaTheme="minorEastAsia" w:cs="Times New Roman"/>
          <w:sz w:val="20"/>
          <w:szCs w:val="20"/>
          <w:lang w:eastAsia="lv-LV"/>
        </w:rPr>
        <w:t xml:space="preserve">, </w:t>
      </w:r>
      <w:r w:rsidR="1A5E51CF" w:rsidRPr="00314090">
        <w:rPr>
          <w:rFonts w:eastAsiaTheme="minorEastAsia" w:cs="Times New Roman"/>
          <w:sz w:val="20"/>
          <w:szCs w:val="20"/>
          <w:lang w:eastAsia="lv-LV"/>
        </w:rPr>
        <w:t>b</w:t>
      </w:r>
      <w:r w:rsidR="34AB131A" w:rsidRPr="00314090">
        <w:rPr>
          <w:rFonts w:eastAsiaTheme="minorEastAsia" w:cs="Times New Roman"/>
          <w:sz w:val="20"/>
          <w:szCs w:val="20"/>
          <w:lang w:eastAsia="lv-LV"/>
        </w:rPr>
        <w:t>eidzoties piešķirtā fin</w:t>
      </w:r>
      <w:r w:rsidR="11BD60E9" w:rsidRPr="00314090">
        <w:rPr>
          <w:rFonts w:eastAsiaTheme="minorEastAsia" w:cs="Times New Roman"/>
          <w:sz w:val="20"/>
          <w:szCs w:val="20"/>
          <w:lang w:eastAsia="lv-LV"/>
        </w:rPr>
        <w:t>a</w:t>
      </w:r>
      <w:r w:rsidR="34AB131A" w:rsidRPr="00314090">
        <w:rPr>
          <w:rFonts w:eastAsiaTheme="minorEastAsia" w:cs="Times New Roman"/>
          <w:sz w:val="20"/>
          <w:szCs w:val="20"/>
          <w:lang w:eastAsia="lv-LV"/>
        </w:rPr>
        <w:t xml:space="preserve">nsējums </w:t>
      </w:r>
      <w:r w:rsidR="11BD60E9" w:rsidRPr="00314090">
        <w:rPr>
          <w:rFonts w:eastAsiaTheme="minorEastAsia" w:cs="Times New Roman"/>
          <w:sz w:val="20"/>
          <w:szCs w:val="20"/>
          <w:lang w:eastAsia="lv-LV"/>
        </w:rPr>
        <w:t xml:space="preserve">attiecināmības periodam </w:t>
      </w:r>
      <w:r w:rsidR="60E80D0B" w:rsidRPr="00314090">
        <w:rPr>
          <w:rFonts w:eastAsiaTheme="minorEastAsia" w:cs="Times New Roman"/>
          <w:sz w:val="20"/>
          <w:szCs w:val="20"/>
          <w:lang w:eastAsia="lv-LV"/>
        </w:rPr>
        <w:t>un</w:t>
      </w:r>
      <w:r w:rsidR="34AB131A" w:rsidRPr="00314090">
        <w:rPr>
          <w:rFonts w:eastAsiaTheme="minorEastAsia" w:cs="Times New Roman"/>
          <w:sz w:val="20"/>
          <w:szCs w:val="20"/>
          <w:lang w:eastAsia="lv-LV"/>
        </w:rPr>
        <w:t xml:space="preserve"> </w:t>
      </w:r>
      <w:r w:rsidR="501F07D0" w:rsidRPr="00314090">
        <w:rPr>
          <w:rFonts w:eastAsiaTheme="minorEastAsia" w:cs="Times New Roman"/>
          <w:sz w:val="20"/>
          <w:szCs w:val="20"/>
          <w:lang w:eastAsia="lv-LV"/>
        </w:rPr>
        <w:t xml:space="preserve">būvniekam </w:t>
      </w:r>
      <w:r w:rsidR="520CD02E" w:rsidRPr="00314090">
        <w:rPr>
          <w:rFonts w:eastAsiaTheme="minorEastAsia" w:cs="Times New Roman"/>
          <w:sz w:val="20"/>
          <w:szCs w:val="20"/>
          <w:lang w:eastAsia="lv-LV"/>
        </w:rPr>
        <w:t xml:space="preserve">sasniedzot </w:t>
      </w:r>
      <w:r w:rsidR="60E80D0B" w:rsidRPr="00314090">
        <w:rPr>
          <w:rFonts w:eastAsiaTheme="minorEastAsia" w:cs="Times New Roman"/>
          <w:sz w:val="20"/>
          <w:szCs w:val="20"/>
          <w:lang w:eastAsia="lv-LV"/>
        </w:rPr>
        <w:t xml:space="preserve">tā </w:t>
      </w:r>
      <w:r w:rsidR="520CD02E" w:rsidRPr="00314090">
        <w:rPr>
          <w:rFonts w:eastAsiaTheme="minorEastAsia" w:cs="Times New Roman"/>
          <w:sz w:val="20"/>
          <w:szCs w:val="20"/>
          <w:lang w:eastAsia="lv-LV"/>
        </w:rPr>
        <w:t xml:space="preserve">maksimālo kapacitāti, </w:t>
      </w:r>
      <w:r w:rsidRPr="00314090">
        <w:rPr>
          <w:rFonts w:eastAsiaTheme="minorEastAsia" w:cs="Times New Roman"/>
          <w:sz w:val="20"/>
          <w:szCs w:val="20"/>
          <w:lang w:eastAsia="lv-LV"/>
        </w:rPr>
        <w:t xml:space="preserve"> plānots apgūt </w:t>
      </w:r>
      <w:r w:rsidR="15B0D267" w:rsidRPr="00314090">
        <w:rPr>
          <w:rFonts w:eastAsiaTheme="minorEastAsia" w:cs="Times New Roman"/>
          <w:sz w:val="20"/>
          <w:szCs w:val="20"/>
          <w:lang w:eastAsia="lv-LV"/>
        </w:rPr>
        <w:t xml:space="preserve">uzkrāto </w:t>
      </w:r>
      <w:r w:rsidR="45B56036" w:rsidRPr="00314090">
        <w:rPr>
          <w:rFonts w:eastAsiaTheme="minorEastAsia" w:cs="Times New Roman"/>
          <w:sz w:val="20"/>
          <w:szCs w:val="20"/>
          <w:lang w:eastAsia="lv-LV"/>
        </w:rPr>
        <w:t>EISI 2022. – 2026.</w:t>
      </w:r>
      <w:r w:rsidR="003E5150" w:rsidRPr="00314090">
        <w:rPr>
          <w:rFonts w:eastAsiaTheme="minorEastAsia" w:cs="Times New Roman"/>
          <w:sz w:val="20"/>
          <w:szCs w:val="20"/>
          <w:lang w:eastAsia="lv-LV"/>
        </w:rPr>
        <w:t xml:space="preserve"> </w:t>
      </w:r>
      <w:r w:rsidR="45B56036" w:rsidRPr="00314090">
        <w:rPr>
          <w:rFonts w:eastAsiaTheme="minorEastAsia" w:cs="Times New Roman"/>
          <w:sz w:val="20"/>
          <w:szCs w:val="20"/>
          <w:lang w:eastAsia="lv-LV"/>
        </w:rPr>
        <w:t xml:space="preserve">gada </w:t>
      </w:r>
      <w:r w:rsidR="3683034F" w:rsidRPr="00314090">
        <w:rPr>
          <w:rFonts w:eastAsiaTheme="minorEastAsia" w:cs="Times New Roman"/>
          <w:sz w:val="20"/>
          <w:szCs w:val="20"/>
          <w:lang w:eastAsia="lv-LV"/>
        </w:rPr>
        <w:t>finansējumu</w:t>
      </w:r>
      <w:r w:rsidR="0058588F" w:rsidRPr="00314090">
        <w:rPr>
          <w:rFonts w:eastAsiaTheme="minorEastAsia" w:cs="Times New Roman"/>
          <w:sz w:val="20"/>
          <w:szCs w:val="20"/>
          <w:lang w:eastAsia="lv-LV"/>
        </w:rPr>
        <w:t>.</w:t>
      </w:r>
    </w:p>
    <w:p w14:paraId="20921ED4" w14:textId="05E72621" w:rsidR="00ED4A18" w:rsidRPr="00314090" w:rsidRDefault="2709F903" w:rsidP="000B4C33">
      <w:pPr>
        <w:tabs>
          <w:tab w:val="left" w:pos="567"/>
        </w:tabs>
        <w:spacing w:after="0"/>
        <w:ind w:left="357"/>
        <w:jc w:val="both"/>
        <w:rPr>
          <w:rFonts w:eastAsiaTheme="minorEastAsia" w:cs="Times New Roman"/>
          <w:sz w:val="20"/>
          <w:szCs w:val="20"/>
          <w:lang w:eastAsia="lv-LV"/>
        </w:rPr>
      </w:pPr>
      <w:r w:rsidRPr="00314090">
        <w:rPr>
          <w:rFonts w:eastAsiaTheme="minorEastAsia" w:cs="Times New Roman"/>
          <w:sz w:val="20"/>
          <w:szCs w:val="20"/>
          <w:lang w:eastAsia="lv-LV"/>
        </w:rPr>
        <w:t xml:space="preserve">** </w:t>
      </w:r>
      <w:r w:rsidR="11FF55B7" w:rsidRPr="00314090">
        <w:rPr>
          <w:rFonts w:eastAsiaTheme="minorEastAsia" w:cs="Times New Roman"/>
          <w:sz w:val="20"/>
          <w:szCs w:val="20"/>
          <w:lang w:eastAsia="lv-LV"/>
        </w:rPr>
        <w:t xml:space="preserve">Skaitļi ir indikatīvi, ņemot vērā, ka aplēses par pieejamo </w:t>
      </w:r>
      <w:r w:rsidR="38C5DD1D" w:rsidRPr="00314090">
        <w:rPr>
          <w:rFonts w:eastAsiaTheme="minorEastAsia" w:cs="Times New Roman"/>
          <w:sz w:val="20"/>
          <w:szCs w:val="20"/>
          <w:lang w:eastAsia="lv-LV"/>
        </w:rPr>
        <w:t>finansējumu</w:t>
      </w:r>
      <w:r w:rsidR="11FF55B7" w:rsidRPr="00314090">
        <w:rPr>
          <w:rFonts w:eastAsiaTheme="minorEastAsia" w:cs="Times New Roman"/>
          <w:sz w:val="20"/>
          <w:szCs w:val="20"/>
          <w:lang w:eastAsia="lv-LV"/>
        </w:rPr>
        <w:t xml:space="preserve"> pēc 2027. gada būs pieejamas tikai pēc nākamajām sarunām par ES daudzgadu budžetu</w:t>
      </w:r>
      <w:r w:rsidR="0058588F" w:rsidRPr="00314090">
        <w:rPr>
          <w:rFonts w:eastAsiaTheme="minorEastAsia" w:cs="Times New Roman"/>
          <w:sz w:val="20"/>
          <w:szCs w:val="20"/>
          <w:lang w:eastAsia="lv-LV"/>
        </w:rPr>
        <w:t>.</w:t>
      </w:r>
    </w:p>
    <w:p w14:paraId="3E2A295E" w14:textId="77777777" w:rsidR="00184D41" w:rsidRDefault="44FAF3FF" w:rsidP="00184D41">
      <w:pPr>
        <w:tabs>
          <w:tab w:val="left" w:pos="567"/>
        </w:tabs>
        <w:spacing w:after="0"/>
        <w:ind w:left="357"/>
        <w:jc w:val="both"/>
        <w:rPr>
          <w:rFonts w:eastAsiaTheme="minorEastAsia" w:cs="Times New Roman"/>
          <w:sz w:val="16"/>
          <w:szCs w:val="16"/>
          <w:lang w:eastAsia="lv-LV"/>
        </w:rPr>
      </w:pPr>
      <w:r w:rsidRPr="00314090">
        <w:rPr>
          <w:rFonts w:eastAsiaTheme="minorEastAsia" w:cs="Times New Roman"/>
          <w:sz w:val="20"/>
          <w:szCs w:val="20"/>
          <w:lang w:eastAsia="lv-LV"/>
        </w:rPr>
        <w:t>***</w:t>
      </w:r>
      <w:r w:rsidRPr="00314090" w:rsidDel="00F151D4">
        <w:rPr>
          <w:rFonts w:eastAsiaTheme="minorEastAsia" w:cs="Times New Roman"/>
          <w:sz w:val="20"/>
          <w:szCs w:val="20"/>
          <w:lang w:eastAsia="lv-LV"/>
        </w:rPr>
        <w:t xml:space="preserve"> </w:t>
      </w:r>
      <w:r w:rsidR="00F151D4">
        <w:rPr>
          <w:rFonts w:eastAsiaTheme="minorEastAsia" w:cs="Times New Roman"/>
          <w:sz w:val="20"/>
          <w:szCs w:val="20"/>
          <w:lang w:eastAsia="lv-LV"/>
        </w:rPr>
        <w:t>EISI</w:t>
      </w:r>
      <w:r w:rsidR="00F151D4" w:rsidRPr="00314090">
        <w:rPr>
          <w:rFonts w:eastAsiaTheme="minorEastAsia" w:cs="Times New Roman"/>
          <w:sz w:val="20"/>
          <w:szCs w:val="20"/>
          <w:lang w:eastAsia="lv-LV"/>
        </w:rPr>
        <w:t xml:space="preserve"> </w:t>
      </w:r>
      <w:r w:rsidRPr="00314090">
        <w:rPr>
          <w:rFonts w:eastAsiaTheme="minorEastAsia" w:cs="Times New Roman"/>
          <w:sz w:val="20"/>
          <w:szCs w:val="20"/>
          <w:lang w:eastAsia="lv-LV"/>
        </w:rPr>
        <w:t>finansējums un valsts līdzfinansējums</w:t>
      </w:r>
    </w:p>
    <w:p w14:paraId="2BEA51A0" w14:textId="77777777" w:rsidR="00292407" w:rsidRDefault="00292407" w:rsidP="00184D41">
      <w:pPr>
        <w:tabs>
          <w:tab w:val="left" w:pos="567"/>
        </w:tabs>
        <w:spacing w:after="0"/>
        <w:ind w:left="357"/>
        <w:jc w:val="both"/>
        <w:rPr>
          <w:rFonts w:eastAsiaTheme="minorEastAsia" w:cs="Times New Roman"/>
          <w:sz w:val="16"/>
          <w:szCs w:val="16"/>
          <w:lang w:eastAsia="lv-LV"/>
        </w:rPr>
      </w:pPr>
    </w:p>
    <w:p w14:paraId="626E247C" w14:textId="7792A268" w:rsidR="008468B9" w:rsidRDefault="008468B9" w:rsidP="00A30CDD">
      <w:pPr>
        <w:tabs>
          <w:tab w:val="left" w:pos="567"/>
        </w:tabs>
        <w:spacing w:after="0"/>
        <w:ind w:left="357"/>
        <w:jc w:val="center"/>
        <w:rPr>
          <w:rFonts w:cs="Times New Roman"/>
          <w:b/>
          <w:bCs/>
          <w:sz w:val="24"/>
          <w:szCs w:val="24"/>
        </w:rPr>
      </w:pPr>
      <w:r w:rsidRPr="00F661C3">
        <w:rPr>
          <w:rFonts w:cs="Times New Roman"/>
          <w:b/>
          <w:bCs/>
          <w:sz w:val="24"/>
          <w:szCs w:val="24"/>
        </w:rPr>
        <w:t>Pamattrases būvdarbu līguma paredzētā naudas plūsma atbilstoši finansējuma avotiem*,</w:t>
      </w:r>
      <w:r w:rsidR="0080094D">
        <w:rPr>
          <w:rFonts w:cs="Times New Roman"/>
          <w:b/>
          <w:bCs/>
          <w:sz w:val="24"/>
          <w:szCs w:val="24"/>
        </w:rPr>
        <w:t xml:space="preserve"> </w:t>
      </w:r>
      <w:r w:rsidR="002C5510" w:rsidRPr="002C5510">
        <w:rPr>
          <w:rFonts w:cs="Times New Roman"/>
          <w:b/>
          <w:bCs/>
          <w:i/>
          <w:sz w:val="24"/>
          <w:szCs w:val="24"/>
        </w:rPr>
        <w:t>euro</w:t>
      </w:r>
    </w:p>
    <w:p w14:paraId="30F6A976" w14:textId="60FEFDDA" w:rsidR="00C371DB" w:rsidRPr="0080094D" w:rsidRDefault="00E27992" w:rsidP="00056AFE">
      <w:pPr>
        <w:tabs>
          <w:tab w:val="left" w:pos="0"/>
          <w:tab w:val="left" w:pos="709"/>
        </w:tabs>
        <w:spacing w:after="0" w:line="240" w:lineRule="auto"/>
        <w:contextualSpacing/>
        <w:jc w:val="right"/>
        <w:rPr>
          <w:rFonts w:cs="Times New Roman"/>
          <w:sz w:val="24"/>
          <w:szCs w:val="24"/>
        </w:rPr>
      </w:pPr>
      <w:r w:rsidRPr="0080094D">
        <w:rPr>
          <w:rFonts w:cs="Times New Roman"/>
          <w:sz w:val="24"/>
          <w:szCs w:val="24"/>
        </w:rPr>
        <w:t xml:space="preserve">3. </w:t>
      </w:r>
      <w:r w:rsidR="00C371DB" w:rsidRPr="0080094D">
        <w:rPr>
          <w:rFonts w:cs="Times New Roman"/>
          <w:sz w:val="24"/>
          <w:szCs w:val="24"/>
        </w:rPr>
        <w:t>tabula</w:t>
      </w:r>
    </w:p>
    <w:tbl>
      <w:tblPr>
        <w:tblStyle w:val="TableGrid"/>
        <w:tblW w:w="9209" w:type="dxa"/>
        <w:tblLook w:val="04A0" w:firstRow="1" w:lastRow="0" w:firstColumn="1" w:lastColumn="0" w:noHBand="0" w:noVBand="1"/>
      </w:tblPr>
      <w:tblGrid>
        <w:gridCol w:w="1858"/>
        <w:gridCol w:w="2106"/>
        <w:gridCol w:w="1701"/>
        <w:gridCol w:w="1418"/>
        <w:gridCol w:w="2126"/>
      </w:tblGrid>
      <w:tr w:rsidR="008468B9" w:rsidRPr="008468B9" w14:paraId="7576F06A" w14:textId="77777777" w:rsidTr="00130425">
        <w:trPr>
          <w:trHeight w:val="691"/>
        </w:trPr>
        <w:tc>
          <w:tcPr>
            <w:tcW w:w="1858" w:type="dxa"/>
          </w:tcPr>
          <w:p w14:paraId="367A87C2" w14:textId="77777777" w:rsidR="008468B9" w:rsidRPr="00C06878" w:rsidRDefault="008468B9" w:rsidP="6075987E">
            <w:pPr>
              <w:tabs>
                <w:tab w:val="left" w:pos="567"/>
              </w:tabs>
              <w:contextualSpacing/>
              <w:rPr>
                <w:rFonts w:cs="Times New Roman"/>
                <w:b/>
                <w:bCs/>
                <w:sz w:val="24"/>
                <w:szCs w:val="24"/>
              </w:rPr>
            </w:pPr>
            <w:r w:rsidRPr="6075987E">
              <w:rPr>
                <w:rFonts w:cs="Times New Roman"/>
                <w:b/>
                <w:bCs/>
                <w:sz w:val="24"/>
                <w:szCs w:val="24"/>
              </w:rPr>
              <w:t>Finansējuma avots</w:t>
            </w:r>
          </w:p>
        </w:tc>
        <w:tc>
          <w:tcPr>
            <w:tcW w:w="2106" w:type="dxa"/>
          </w:tcPr>
          <w:p w14:paraId="24E4CB00" w14:textId="77777777" w:rsidR="008468B9" w:rsidRPr="00C06878" w:rsidRDefault="008468B9" w:rsidP="6075987E">
            <w:pPr>
              <w:tabs>
                <w:tab w:val="left" w:pos="567"/>
              </w:tabs>
              <w:contextualSpacing/>
              <w:jc w:val="center"/>
              <w:rPr>
                <w:rFonts w:cs="Times New Roman"/>
                <w:b/>
                <w:bCs/>
                <w:sz w:val="24"/>
                <w:szCs w:val="24"/>
              </w:rPr>
            </w:pPr>
            <w:r w:rsidRPr="6075987E">
              <w:rPr>
                <w:rFonts w:cs="Times New Roman"/>
                <w:b/>
                <w:bCs/>
                <w:sz w:val="24"/>
                <w:szCs w:val="24"/>
              </w:rPr>
              <w:t>2024</w:t>
            </w:r>
          </w:p>
        </w:tc>
        <w:tc>
          <w:tcPr>
            <w:tcW w:w="1701" w:type="dxa"/>
          </w:tcPr>
          <w:p w14:paraId="784C7F36" w14:textId="77777777" w:rsidR="008468B9" w:rsidRPr="00C06878" w:rsidRDefault="008468B9" w:rsidP="6075987E">
            <w:pPr>
              <w:tabs>
                <w:tab w:val="left" w:pos="567"/>
              </w:tabs>
              <w:contextualSpacing/>
              <w:jc w:val="center"/>
              <w:rPr>
                <w:rFonts w:cs="Times New Roman"/>
                <w:b/>
                <w:bCs/>
                <w:sz w:val="24"/>
                <w:szCs w:val="24"/>
              </w:rPr>
            </w:pPr>
            <w:r w:rsidRPr="6075987E">
              <w:rPr>
                <w:rFonts w:cs="Times New Roman"/>
                <w:b/>
                <w:bCs/>
                <w:sz w:val="24"/>
                <w:szCs w:val="24"/>
              </w:rPr>
              <w:t>2025</w:t>
            </w:r>
          </w:p>
        </w:tc>
        <w:tc>
          <w:tcPr>
            <w:tcW w:w="1418" w:type="dxa"/>
          </w:tcPr>
          <w:p w14:paraId="29B92E02" w14:textId="77777777" w:rsidR="008468B9" w:rsidRPr="00C06878" w:rsidRDefault="008468B9" w:rsidP="6075987E">
            <w:pPr>
              <w:tabs>
                <w:tab w:val="left" w:pos="567"/>
              </w:tabs>
              <w:contextualSpacing/>
              <w:jc w:val="center"/>
              <w:rPr>
                <w:rFonts w:cs="Times New Roman"/>
                <w:b/>
                <w:bCs/>
                <w:sz w:val="24"/>
                <w:szCs w:val="24"/>
              </w:rPr>
            </w:pPr>
            <w:r w:rsidRPr="6075987E">
              <w:rPr>
                <w:rFonts w:cs="Times New Roman"/>
                <w:b/>
                <w:bCs/>
                <w:sz w:val="24"/>
                <w:szCs w:val="24"/>
              </w:rPr>
              <w:t>2026</w:t>
            </w:r>
          </w:p>
        </w:tc>
        <w:tc>
          <w:tcPr>
            <w:tcW w:w="2126" w:type="dxa"/>
          </w:tcPr>
          <w:p w14:paraId="4026D213" w14:textId="77777777" w:rsidR="008468B9" w:rsidRPr="00C06878" w:rsidRDefault="008468B9" w:rsidP="6075987E">
            <w:pPr>
              <w:tabs>
                <w:tab w:val="left" w:pos="567"/>
              </w:tabs>
              <w:contextualSpacing/>
              <w:jc w:val="center"/>
              <w:rPr>
                <w:rFonts w:cs="Times New Roman"/>
                <w:b/>
                <w:bCs/>
                <w:sz w:val="24"/>
                <w:szCs w:val="24"/>
              </w:rPr>
            </w:pPr>
            <w:r w:rsidRPr="6075987E">
              <w:rPr>
                <w:rFonts w:cs="Times New Roman"/>
                <w:b/>
                <w:bCs/>
                <w:sz w:val="24"/>
                <w:szCs w:val="24"/>
              </w:rPr>
              <w:t>2027</w:t>
            </w:r>
          </w:p>
        </w:tc>
      </w:tr>
      <w:tr w:rsidR="008468B9" w:rsidRPr="008468B9" w14:paraId="058E1BBB" w14:textId="77777777" w:rsidTr="00130425">
        <w:trPr>
          <w:trHeight w:val="389"/>
        </w:trPr>
        <w:tc>
          <w:tcPr>
            <w:tcW w:w="1858" w:type="dxa"/>
          </w:tcPr>
          <w:p w14:paraId="6EF20C57" w14:textId="590E2A25" w:rsidR="008468B9" w:rsidRPr="00C06878" w:rsidRDefault="008468B9" w:rsidP="6075987E">
            <w:pPr>
              <w:tabs>
                <w:tab w:val="left" w:pos="567"/>
              </w:tabs>
              <w:contextualSpacing/>
              <w:rPr>
                <w:rFonts w:cs="Times New Roman"/>
                <w:b/>
                <w:bCs/>
                <w:sz w:val="24"/>
                <w:szCs w:val="24"/>
              </w:rPr>
            </w:pPr>
            <w:r w:rsidRPr="000B4C33">
              <w:rPr>
                <w:rFonts w:cs="Times New Roman"/>
                <w:b/>
                <w:bCs/>
                <w:sz w:val="24"/>
                <w:szCs w:val="24"/>
              </w:rPr>
              <w:t>CEF8 un CEF9</w:t>
            </w:r>
            <w:r w:rsidR="7263E15F" w:rsidRPr="000B4C33">
              <w:rPr>
                <w:rFonts w:cs="Times New Roman"/>
                <w:b/>
                <w:bCs/>
                <w:sz w:val="24"/>
                <w:szCs w:val="24"/>
              </w:rPr>
              <w:t>***</w:t>
            </w:r>
          </w:p>
        </w:tc>
        <w:tc>
          <w:tcPr>
            <w:tcW w:w="2106" w:type="dxa"/>
            <w:vAlign w:val="center"/>
          </w:tcPr>
          <w:p w14:paraId="102432E3"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24 816 450</w:t>
            </w:r>
          </w:p>
        </w:tc>
        <w:tc>
          <w:tcPr>
            <w:tcW w:w="1701" w:type="dxa"/>
            <w:vAlign w:val="center"/>
          </w:tcPr>
          <w:p w14:paraId="57C0DB92"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82 721 500</w:t>
            </w:r>
          </w:p>
        </w:tc>
        <w:tc>
          <w:tcPr>
            <w:tcW w:w="1418" w:type="dxa"/>
            <w:vAlign w:val="center"/>
          </w:tcPr>
          <w:p w14:paraId="1CB45738"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57 905 050</w:t>
            </w:r>
          </w:p>
        </w:tc>
        <w:tc>
          <w:tcPr>
            <w:tcW w:w="2126" w:type="dxa"/>
            <w:vAlign w:val="center"/>
          </w:tcPr>
          <w:p w14:paraId="4D82B764" w14:textId="77777777" w:rsidR="008468B9" w:rsidRPr="00C06878" w:rsidRDefault="008468B9" w:rsidP="6075987E">
            <w:pPr>
              <w:tabs>
                <w:tab w:val="left" w:pos="567"/>
              </w:tabs>
              <w:contextualSpacing/>
              <w:jc w:val="center"/>
              <w:rPr>
                <w:rFonts w:eastAsia="Times New Roman" w:cs="Times New Roman"/>
                <w:sz w:val="18"/>
                <w:szCs w:val="18"/>
              </w:rPr>
            </w:pPr>
          </w:p>
        </w:tc>
      </w:tr>
      <w:tr w:rsidR="008468B9" w:rsidRPr="008468B9" w14:paraId="681AFE5C" w14:textId="77777777" w:rsidTr="00130425">
        <w:trPr>
          <w:trHeight w:val="691"/>
        </w:trPr>
        <w:tc>
          <w:tcPr>
            <w:tcW w:w="1858" w:type="dxa"/>
          </w:tcPr>
          <w:p w14:paraId="37CA8AA8" w14:textId="4162A611" w:rsidR="008468B9" w:rsidRPr="00C06878" w:rsidRDefault="008468B9" w:rsidP="6075987E">
            <w:pPr>
              <w:tabs>
                <w:tab w:val="left" w:pos="567"/>
              </w:tabs>
              <w:contextualSpacing/>
              <w:rPr>
                <w:rFonts w:cs="Times New Roman"/>
                <w:b/>
                <w:bCs/>
                <w:sz w:val="24"/>
                <w:szCs w:val="24"/>
              </w:rPr>
            </w:pPr>
            <w:r w:rsidRPr="6075987E">
              <w:rPr>
                <w:rFonts w:cs="Times New Roman"/>
                <w:b/>
                <w:bCs/>
                <w:sz w:val="24"/>
                <w:szCs w:val="24"/>
              </w:rPr>
              <w:t>CEF10 (pieteikums)</w:t>
            </w:r>
            <w:r w:rsidR="38C2ED1A" w:rsidRPr="6075987E">
              <w:rPr>
                <w:rFonts w:cs="Times New Roman"/>
                <w:b/>
                <w:bCs/>
                <w:sz w:val="24"/>
                <w:szCs w:val="24"/>
              </w:rPr>
              <w:t>*</w:t>
            </w:r>
            <w:r w:rsidR="0A032538" w:rsidRPr="6075987E">
              <w:rPr>
                <w:rFonts w:cs="Times New Roman"/>
                <w:b/>
                <w:bCs/>
                <w:sz w:val="24"/>
                <w:szCs w:val="24"/>
              </w:rPr>
              <w:t>*</w:t>
            </w:r>
          </w:p>
        </w:tc>
        <w:tc>
          <w:tcPr>
            <w:tcW w:w="2106" w:type="dxa"/>
            <w:vAlign w:val="center"/>
          </w:tcPr>
          <w:p w14:paraId="6A269508" w14:textId="794539EC" w:rsidR="008468B9" w:rsidRPr="00C06878" w:rsidRDefault="7795E008"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28 500 000</w:t>
            </w:r>
          </w:p>
        </w:tc>
        <w:tc>
          <w:tcPr>
            <w:tcW w:w="1701" w:type="dxa"/>
            <w:vAlign w:val="center"/>
          </w:tcPr>
          <w:p w14:paraId="653053CF" w14:textId="292E1AC8" w:rsidR="008468B9" w:rsidRPr="00C06878" w:rsidRDefault="22A2F80E"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199 500 000</w:t>
            </w:r>
          </w:p>
        </w:tc>
        <w:tc>
          <w:tcPr>
            <w:tcW w:w="1418" w:type="dxa"/>
            <w:vAlign w:val="center"/>
          </w:tcPr>
          <w:p w14:paraId="0A0C085D" w14:textId="51A93FC2" w:rsidR="008468B9" w:rsidRPr="00C06878" w:rsidRDefault="7B1D0E68"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228 000 000</w:t>
            </w:r>
          </w:p>
        </w:tc>
        <w:tc>
          <w:tcPr>
            <w:tcW w:w="2126" w:type="dxa"/>
            <w:vAlign w:val="center"/>
          </w:tcPr>
          <w:p w14:paraId="0AA99B4D" w14:textId="200A0F15" w:rsidR="008468B9" w:rsidRPr="00C06878" w:rsidRDefault="2749CE11"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114 000 000</w:t>
            </w:r>
          </w:p>
        </w:tc>
      </w:tr>
      <w:tr w:rsidR="6075987E" w14:paraId="3FCEE116" w14:textId="77777777" w:rsidTr="00130425">
        <w:trPr>
          <w:trHeight w:val="691"/>
        </w:trPr>
        <w:tc>
          <w:tcPr>
            <w:tcW w:w="1858" w:type="dxa"/>
          </w:tcPr>
          <w:p w14:paraId="2F01B439" w14:textId="1669C60E" w:rsidR="2749CE11" w:rsidRDefault="2749CE11" w:rsidP="6075987E">
            <w:pPr>
              <w:rPr>
                <w:rFonts w:cs="Times New Roman"/>
                <w:b/>
                <w:bCs/>
                <w:sz w:val="24"/>
                <w:szCs w:val="24"/>
              </w:rPr>
            </w:pPr>
            <w:r w:rsidRPr="6075987E">
              <w:rPr>
                <w:rFonts w:cs="Times New Roman"/>
                <w:b/>
                <w:bCs/>
                <w:sz w:val="24"/>
                <w:szCs w:val="24"/>
              </w:rPr>
              <w:t>CEF11 un CEF12 (pieteikums)**</w:t>
            </w:r>
          </w:p>
        </w:tc>
        <w:tc>
          <w:tcPr>
            <w:tcW w:w="2106" w:type="dxa"/>
            <w:vAlign w:val="center"/>
          </w:tcPr>
          <w:p w14:paraId="0EF673F4" w14:textId="2543C959" w:rsidR="6075987E" w:rsidRDefault="6075987E" w:rsidP="6075987E">
            <w:pPr>
              <w:jc w:val="center"/>
              <w:rPr>
                <w:rFonts w:eastAsia="Times New Roman" w:cs="Times New Roman"/>
                <w:sz w:val="18"/>
                <w:szCs w:val="18"/>
              </w:rPr>
            </w:pPr>
          </w:p>
        </w:tc>
        <w:tc>
          <w:tcPr>
            <w:tcW w:w="1701" w:type="dxa"/>
            <w:vAlign w:val="center"/>
          </w:tcPr>
          <w:p w14:paraId="659542D5" w14:textId="77A5FA8C" w:rsidR="2749CE11" w:rsidRDefault="2749CE11" w:rsidP="6075987E">
            <w:pPr>
              <w:jc w:val="center"/>
              <w:rPr>
                <w:rFonts w:eastAsia="Times New Roman" w:cs="Times New Roman"/>
                <w:sz w:val="18"/>
                <w:szCs w:val="18"/>
              </w:rPr>
            </w:pPr>
            <w:r w:rsidRPr="6075987E">
              <w:rPr>
                <w:rFonts w:eastAsia="Times New Roman" w:cs="Times New Roman"/>
                <w:sz w:val="18"/>
                <w:szCs w:val="18"/>
              </w:rPr>
              <w:t>200 000 000</w:t>
            </w:r>
          </w:p>
        </w:tc>
        <w:tc>
          <w:tcPr>
            <w:tcW w:w="1418" w:type="dxa"/>
            <w:vAlign w:val="center"/>
          </w:tcPr>
          <w:p w14:paraId="3659EA0E" w14:textId="7C2A13B2" w:rsidR="2749CE11" w:rsidRDefault="2749CE11" w:rsidP="6075987E">
            <w:pPr>
              <w:jc w:val="center"/>
              <w:rPr>
                <w:rFonts w:eastAsia="Times New Roman" w:cs="Times New Roman"/>
                <w:sz w:val="18"/>
                <w:szCs w:val="18"/>
              </w:rPr>
            </w:pPr>
            <w:r w:rsidRPr="6075987E">
              <w:rPr>
                <w:rFonts w:eastAsia="Times New Roman" w:cs="Times New Roman"/>
                <w:sz w:val="18"/>
                <w:szCs w:val="18"/>
              </w:rPr>
              <w:t>200 000 000</w:t>
            </w:r>
          </w:p>
        </w:tc>
        <w:tc>
          <w:tcPr>
            <w:tcW w:w="2126" w:type="dxa"/>
            <w:vAlign w:val="center"/>
          </w:tcPr>
          <w:p w14:paraId="2C8CBE81" w14:textId="57F6FD3E" w:rsidR="2749CE11" w:rsidRDefault="2749CE11" w:rsidP="6075987E">
            <w:pPr>
              <w:jc w:val="center"/>
              <w:rPr>
                <w:rFonts w:eastAsia="Times New Roman" w:cs="Times New Roman"/>
                <w:sz w:val="18"/>
                <w:szCs w:val="18"/>
              </w:rPr>
            </w:pPr>
            <w:r w:rsidRPr="6075987E">
              <w:rPr>
                <w:rFonts w:eastAsia="Times New Roman" w:cs="Times New Roman"/>
                <w:sz w:val="18"/>
                <w:szCs w:val="18"/>
              </w:rPr>
              <w:t>100 000 000</w:t>
            </w:r>
          </w:p>
        </w:tc>
      </w:tr>
      <w:tr w:rsidR="008468B9" w:rsidRPr="008468B9" w14:paraId="0AF0D50A" w14:textId="77777777" w:rsidTr="00130425">
        <w:trPr>
          <w:trHeight w:val="691"/>
        </w:trPr>
        <w:tc>
          <w:tcPr>
            <w:tcW w:w="1858" w:type="dxa"/>
          </w:tcPr>
          <w:p w14:paraId="6E9D0402" w14:textId="2BFE0474" w:rsidR="008468B9" w:rsidRPr="00C06878" w:rsidRDefault="008468B9" w:rsidP="6075987E">
            <w:pPr>
              <w:tabs>
                <w:tab w:val="left" w:pos="567"/>
              </w:tabs>
              <w:contextualSpacing/>
              <w:rPr>
                <w:rFonts w:cs="Times New Roman"/>
                <w:b/>
                <w:bCs/>
                <w:sz w:val="24"/>
                <w:szCs w:val="24"/>
              </w:rPr>
            </w:pPr>
            <w:r w:rsidRPr="6075987E">
              <w:rPr>
                <w:rFonts w:cs="Times New Roman"/>
                <w:b/>
                <w:bCs/>
                <w:sz w:val="24"/>
                <w:szCs w:val="24"/>
              </w:rPr>
              <w:t>MM3 (pieteikums)</w:t>
            </w:r>
            <w:r w:rsidR="0A032538" w:rsidRPr="6075987E">
              <w:rPr>
                <w:rFonts w:cs="Times New Roman"/>
                <w:b/>
                <w:bCs/>
                <w:sz w:val="24"/>
                <w:szCs w:val="24"/>
              </w:rPr>
              <w:t>**</w:t>
            </w:r>
          </w:p>
        </w:tc>
        <w:tc>
          <w:tcPr>
            <w:tcW w:w="2106" w:type="dxa"/>
            <w:vAlign w:val="center"/>
          </w:tcPr>
          <w:p w14:paraId="276CD486"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9 230 000</w:t>
            </w:r>
          </w:p>
        </w:tc>
        <w:tc>
          <w:tcPr>
            <w:tcW w:w="1701" w:type="dxa"/>
            <w:vAlign w:val="center"/>
          </w:tcPr>
          <w:p w14:paraId="1521DA2C"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23 075 000</w:t>
            </w:r>
          </w:p>
        </w:tc>
        <w:tc>
          <w:tcPr>
            <w:tcW w:w="1418" w:type="dxa"/>
            <w:vAlign w:val="center"/>
          </w:tcPr>
          <w:p w14:paraId="4EBB7405"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46 150 000</w:t>
            </w:r>
          </w:p>
        </w:tc>
        <w:tc>
          <w:tcPr>
            <w:tcW w:w="2126" w:type="dxa"/>
            <w:vAlign w:val="center"/>
          </w:tcPr>
          <w:p w14:paraId="085EB9D6" w14:textId="77777777" w:rsidR="008468B9" w:rsidRPr="00C06878" w:rsidRDefault="008468B9" w:rsidP="6075987E">
            <w:pPr>
              <w:tabs>
                <w:tab w:val="left" w:pos="567"/>
              </w:tabs>
              <w:contextualSpacing/>
              <w:jc w:val="center"/>
              <w:rPr>
                <w:rFonts w:eastAsia="Times New Roman" w:cs="Times New Roman"/>
                <w:sz w:val="18"/>
                <w:szCs w:val="18"/>
              </w:rPr>
            </w:pPr>
            <w:r w:rsidRPr="6075987E">
              <w:rPr>
                <w:rFonts w:eastAsia="Times New Roman" w:cs="Times New Roman"/>
                <w:sz w:val="18"/>
                <w:szCs w:val="18"/>
              </w:rPr>
              <w:t>13 845 000</w:t>
            </w:r>
          </w:p>
        </w:tc>
      </w:tr>
    </w:tbl>
    <w:p w14:paraId="13983C0E" w14:textId="242C9CA2" w:rsidR="008468B9" w:rsidRPr="000B4C33" w:rsidRDefault="5E583381" w:rsidP="0595A900">
      <w:pPr>
        <w:tabs>
          <w:tab w:val="left" w:pos="567"/>
        </w:tabs>
        <w:spacing w:after="0" w:line="240" w:lineRule="auto"/>
        <w:contextualSpacing/>
        <w:jc w:val="both"/>
        <w:rPr>
          <w:rFonts w:eastAsiaTheme="minorEastAsia" w:cs="Times New Roman"/>
          <w:sz w:val="20"/>
          <w:szCs w:val="20"/>
          <w:lang w:eastAsia="lv-LV"/>
        </w:rPr>
      </w:pPr>
      <w:r w:rsidRPr="000B4C33">
        <w:rPr>
          <w:rFonts w:eastAsiaTheme="minorEastAsia" w:cs="Times New Roman"/>
          <w:sz w:val="20"/>
          <w:szCs w:val="20"/>
          <w:lang w:eastAsia="lv-LV"/>
        </w:rPr>
        <w:t>*</w:t>
      </w:r>
      <w:r w:rsidR="30D7ABEF" w:rsidRPr="000B4C33">
        <w:rPr>
          <w:rFonts w:eastAsiaTheme="minorEastAsia" w:cs="Times New Roman"/>
          <w:sz w:val="20"/>
          <w:szCs w:val="20"/>
          <w:lang w:eastAsia="lv-LV"/>
        </w:rPr>
        <w:t xml:space="preserve"> </w:t>
      </w:r>
      <w:r w:rsidRPr="000B4C33">
        <w:rPr>
          <w:rFonts w:eastAsiaTheme="minorEastAsia" w:cs="Times New Roman"/>
          <w:sz w:val="20"/>
          <w:szCs w:val="20"/>
          <w:lang w:eastAsia="lv-LV"/>
        </w:rPr>
        <w:t>Izmaksās nav iekļauts PVN</w:t>
      </w:r>
      <w:r w:rsidR="30D7ABEF" w:rsidRPr="000B4C33">
        <w:rPr>
          <w:rFonts w:eastAsiaTheme="minorEastAsia" w:cs="Times New Roman"/>
          <w:sz w:val="20"/>
          <w:szCs w:val="20"/>
          <w:lang w:eastAsia="lv-LV"/>
        </w:rPr>
        <w:t>;</w:t>
      </w:r>
      <w:r w:rsidRPr="000B4C33">
        <w:rPr>
          <w:rFonts w:eastAsiaTheme="minorEastAsia" w:cs="Times New Roman"/>
          <w:sz w:val="20"/>
          <w:szCs w:val="20"/>
          <w:lang w:eastAsia="lv-LV"/>
        </w:rPr>
        <w:t xml:space="preserve"> konsolidēto materiālu izmaksas, kuras iepērk un nodrošina RBR, uzturēšanas starp kārtām izmaksas; dīkstāves izmaksas.</w:t>
      </w:r>
      <w:r w:rsidR="3114EBD0" w:rsidRPr="000B4C33">
        <w:rPr>
          <w:rFonts w:eastAsiaTheme="minorEastAsia" w:cs="Times New Roman"/>
          <w:sz w:val="20"/>
          <w:szCs w:val="20"/>
          <w:lang w:eastAsia="lv-LV"/>
        </w:rPr>
        <w:t xml:space="preserve"> Papildus, tā kā </w:t>
      </w:r>
      <w:r w:rsidR="387A1AE1" w:rsidRPr="000B4C33">
        <w:rPr>
          <w:rFonts w:eastAsiaTheme="minorEastAsia" w:cs="Times New Roman"/>
          <w:sz w:val="20"/>
          <w:szCs w:val="20"/>
          <w:lang w:eastAsia="lv-LV"/>
        </w:rPr>
        <w:t xml:space="preserve">nav zināms </w:t>
      </w:r>
      <w:r w:rsidR="0E85862E" w:rsidRPr="000B4C33">
        <w:rPr>
          <w:rFonts w:eastAsiaTheme="minorEastAsia" w:cs="Times New Roman"/>
          <w:sz w:val="20"/>
          <w:szCs w:val="20"/>
          <w:lang w:eastAsia="lv-LV"/>
        </w:rPr>
        <w:t xml:space="preserve">precīzs </w:t>
      </w:r>
      <w:r w:rsidR="387A1AE1" w:rsidRPr="000B4C33">
        <w:rPr>
          <w:rFonts w:eastAsiaTheme="minorEastAsia" w:cs="Times New Roman"/>
          <w:sz w:val="20"/>
          <w:szCs w:val="20"/>
          <w:lang w:eastAsia="lv-LV"/>
        </w:rPr>
        <w:t xml:space="preserve">RBR </w:t>
      </w:r>
      <w:r w:rsidR="6F57E17B" w:rsidRPr="000B4C33">
        <w:rPr>
          <w:rFonts w:eastAsiaTheme="minorEastAsia" w:cs="Times New Roman"/>
          <w:sz w:val="20"/>
          <w:szCs w:val="20"/>
          <w:lang w:eastAsia="lv-LV"/>
        </w:rPr>
        <w:t xml:space="preserve">būvprojektu </w:t>
      </w:r>
      <w:r w:rsidR="0E85862E" w:rsidRPr="000B4C33">
        <w:rPr>
          <w:rFonts w:eastAsiaTheme="minorEastAsia" w:cs="Times New Roman"/>
          <w:sz w:val="20"/>
          <w:szCs w:val="20"/>
          <w:lang w:eastAsia="lv-LV"/>
        </w:rPr>
        <w:t>iesniegšanas</w:t>
      </w:r>
      <w:r w:rsidR="2BEAEF2D" w:rsidRPr="000B4C33">
        <w:rPr>
          <w:rFonts w:eastAsiaTheme="minorEastAsia" w:cs="Times New Roman"/>
          <w:sz w:val="20"/>
          <w:szCs w:val="20"/>
          <w:lang w:eastAsia="lv-LV"/>
        </w:rPr>
        <w:t xml:space="preserve"> grafiks, </w:t>
      </w:r>
      <w:r w:rsidR="7C9A3C21" w:rsidRPr="000B4C33">
        <w:rPr>
          <w:rFonts w:eastAsiaTheme="minorEastAsia" w:cs="Times New Roman"/>
          <w:sz w:val="20"/>
          <w:szCs w:val="20"/>
          <w:lang w:eastAsia="lv-LV"/>
        </w:rPr>
        <w:t>naudas plūsmas sadalījums pa gadiem ir indikatīvs</w:t>
      </w:r>
      <w:r w:rsidR="6CACB05E" w:rsidRPr="000B4C33">
        <w:rPr>
          <w:rFonts w:eastAsiaTheme="minorEastAsia" w:cs="Times New Roman"/>
          <w:sz w:val="20"/>
          <w:szCs w:val="20"/>
          <w:lang w:eastAsia="lv-LV"/>
        </w:rPr>
        <w:t>.</w:t>
      </w:r>
    </w:p>
    <w:p w14:paraId="0C3CD7EE" w14:textId="07981A84" w:rsidR="00C371DB" w:rsidRPr="000B4C33" w:rsidRDefault="5CE41325" w:rsidP="394CD76E">
      <w:pPr>
        <w:tabs>
          <w:tab w:val="left" w:pos="567"/>
        </w:tabs>
        <w:spacing w:after="0" w:line="240" w:lineRule="auto"/>
        <w:contextualSpacing/>
        <w:jc w:val="both"/>
        <w:rPr>
          <w:rFonts w:eastAsiaTheme="minorEastAsia" w:cs="Times New Roman"/>
          <w:sz w:val="20"/>
          <w:szCs w:val="20"/>
          <w:lang w:eastAsia="lv-LV"/>
        </w:rPr>
      </w:pPr>
      <w:r w:rsidRPr="000B4C33">
        <w:rPr>
          <w:rFonts w:eastAsiaTheme="minorEastAsia" w:cs="Times New Roman"/>
          <w:sz w:val="20"/>
          <w:szCs w:val="20"/>
          <w:lang w:eastAsia="lv-LV"/>
        </w:rPr>
        <w:t xml:space="preserve">**- tā kā </w:t>
      </w:r>
      <w:r w:rsidR="077CFCF1" w:rsidRPr="000B4C33">
        <w:rPr>
          <w:rFonts w:eastAsiaTheme="minorEastAsia" w:cs="Times New Roman"/>
          <w:sz w:val="20"/>
          <w:szCs w:val="20"/>
          <w:lang w:eastAsia="lv-LV"/>
        </w:rPr>
        <w:t xml:space="preserve">norit </w:t>
      </w:r>
      <w:r w:rsidRPr="000B4C33">
        <w:rPr>
          <w:rFonts w:eastAsiaTheme="minorEastAsia" w:cs="Times New Roman"/>
          <w:sz w:val="20"/>
          <w:szCs w:val="20"/>
          <w:lang w:eastAsia="lv-LV"/>
        </w:rPr>
        <w:t>CEF10 pieteikum</w:t>
      </w:r>
      <w:r w:rsidR="077CFCF1" w:rsidRPr="000B4C33">
        <w:rPr>
          <w:rFonts w:eastAsiaTheme="minorEastAsia" w:cs="Times New Roman"/>
          <w:sz w:val="20"/>
          <w:szCs w:val="20"/>
          <w:lang w:eastAsia="lv-LV"/>
        </w:rPr>
        <w:t>a</w:t>
      </w:r>
      <w:r w:rsidRPr="000B4C33">
        <w:rPr>
          <w:rFonts w:eastAsiaTheme="minorEastAsia" w:cs="Times New Roman"/>
          <w:sz w:val="20"/>
          <w:szCs w:val="20"/>
          <w:lang w:eastAsia="lv-LV"/>
        </w:rPr>
        <w:t xml:space="preserve">  </w:t>
      </w:r>
      <w:r w:rsidR="077CFCF1" w:rsidRPr="000B4C33">
        <w:rPr>
          <w:rFonts w:eastAsiaTheme="minorEastAsia" w:cs="Times New Roman"/>
          <w:sz w:val="20"/>
          <w:szCs w:val="20"/>
          <w:lang w:eastAsia="lv-LV"/>
        </w:rPr>
        <w:t>sa</w:t>
      </w:r>
      <w:r w:rsidRPr="000B4C33">
        <w:rPr>
          <w:rFonts w:eastAsiaTheme="minorEastAsia" w:cs="Times New Roman"/>
          <w:sz w:val="20"/>
          <w:szCs w:val="20"/>
          <w:lang w:eastAsia="lv-LV"/>
        </w:rPr>
        <w:t>gatavo</w:t>
      </w:r>
      <w:r w:rsidR="077CFCF1" w:rsidRPr="000B4C33">
        <w:rPr>
          <w:rFonts w:eastAsiaTheme="minorEastAsia" w:cs="Times New Roman"/>
          <w:sz w:val="20"/>
          <w:szCs w:val="20"/>
          <w:lang w:eastAsia="lv-LV"/>
        </w:rPr>
        <w:t>šana</w:t>
      </w:r>
      <w:r w:rsidRPr="000B4C33">
        <w:rPr>
          <w:rFonts w:eastAsiaTheme="minorEastAsia" w:cs="Times New Roman"/>
          <w:sz w:val="20"/>
          <w:szCs w:val="20"/>
          <w:lang w:eastAsia="lv-LV"/>
        </w:rPr>
        <w:t xml:space="preserve"> un MM3 pieteikuma rezultāti būs zināmi 2023.gada decembrī, </w:t>
      </w:r>
      <w:r w:rsidR="71C1B4E0" w:rsidRPr="000B4C33">
        <w:rPr>
          <w:rFonts w:eastAsia="Times New Roman" w:cs="Times New Roman"/>
          <w:sz w:val="20"/>
          <w:szCs w:val="20"/>
        </w:rPr>
        <w:t xml:space="preserve">un CEF11 un CEF12 pieteikuma sagatavošana sāksies 2024. un 2025. gados, </w:t>
      </w:r>
      <w:r w:rsidRPr="000B4C33">
        <w:rPr>
          <w:rFonts w:eastAsiaTheme="minorEastAsia" w:cs="Times New Roman"/>
          <w:sz w:val="20"/>
          <w:szCs w:val="20"/>
          <w:lang w:eastAsia="lv-LV"/>
        </w:rPr>
        <w:t>skaitļi ir indikatīvi</w:t>
      </w:r>
      <w:r w:rsidR="7FE3EAEA" w:rsidRPr="000B4C33">
        <w:rPr>
          <w:rFonts w:eastAsiaTheme="minorEastAsia" w:cs="Times New Roman"/>
          <w:sz w:val="20"/>
          <w:szCs w:val="20"/>
          <w:lang w:eastAsia="lv-LV"/>
        </w:rPr>
        <w:t>.</w:t>
      </w:r>
      <w:r w:rsidRPr="000B4C33">
        <w:rPr>
          <w:rFonts w:eastAsiaTheme="minorEastAsia" w:cs="Times New Roman"/>
          <w:sz w:val="20"/>
          <w:szCs w:val="20"/>
          <w:lang w:eastAsia="lv-LV"/>
        </w:rPr>
        <w:t xml:space="preserve"> </w:t>
      </w:r>
    </w:p>
    <w:p w14:paraId="538CEE7E" w14:textId="78C1B015" w:rsidR="6DA4D5AC" w:rsidRPr="000B4C33" w:rsidRDefault="73840170" w:rsidP="6DA4D5AC">
      <w:pPr>
        <w:tabs>
          <w:tab w:val="left" w:pos="567"/>
        </w:tabs>
        <w:spacing w:after="0" w:line="240" w:lineRule="auto"/>
        <w:contextualSpacing/>
        <w:jc w:val="both"/>
        <w:rPr>
          <w:rFonts w:eastAsiaTheme="minorEastAsia" w:cs="Times New Roman"/>
          <w:sz w:val="20"/>
          <w:szCs w:val="20"/>
          <w:lang w:eastAsia="lv-LV"/>
        </w:rPr>
      </w:pPr>
      <w:r w:rsidRPr="000B4C33">
        <w:rPr>
          <w:rFonts w:eastAsiaTheme="minorEastAsia" w:cs="Times New Roman"/>
          <w:sz w:val="20"/>
          <w:szCs w:val="20"/>
          <w:lang w:eastAsia="lv-LV"/>
        </w:rPr>
        <w:lastRenderedPageBreak/>
        <w:t xml:space="preserve">*** Tā kā </w:t>
      </w:r>
      <w:r w:rsidR="007F5894">
        <w:rPr>
          <w:rFonts w:eastAsiaTheme="minorEastAsia" w:cs="Times New Roman"/>
          <w:sz w:val="20"/>
          <w:szCs w:val="20"/>
          <w:lang w:eastAsia="lv-LV"/>
        </w:rPr>
        <w:t>CEF</w:t>
      </w:r>
      <w:r w:rsidR="001412F7">
        <w:rPr>
          <w:rFonts w:eastAsiaTheme="minorEastAsia" w:cs="Times New Roman"/>
          <w:sz w:val="20"/>
          <w:szCs w:val="20"/>
          <w:lang w:eastAsia="lv-LV"/>
        </w:rPr>
        <w:t xml:space="preserve">8 un CEF9 </w:t>
      </w:r>
      <w:r w:rsidRPr="000B4C33">
        <w:rPr>
          <w:rFonts w:eastAsiaTheme="minorEastAsia" w:cs="Times New Roman"/>
          <w:sz w:val="20"/>
          <w:szCs w:val="20"/>
          <w:lang w:eastAsia="lv-LV"/>
        </w:rPr>
        <w:t>fi</w:t>
      </w:r>
      <w:r w:rsidR="0584D7A7" w:rsidRPr="000B4C33">
        <w:rPr>
          <w:rFonts w:eastAsiaTheme="minorEastAsia" w:cs="Times New Roman"/>
          <w:sz w:val="20"/>
          <w:szCs w:val="20"/>
          <w:lang w:eastAsia="lv-LV"/>
        </w:rPr>
        <w:t>nan</w:t>
      </w:r>
      <w:r w:rsidRPr="000B4C33">
        <w:rPr>
          <w:rFonts w:eastAsiaTheme="minorEastAsia" w:cs="Times New Roman"/>
          <w:sz w:val="20"/>
          <w:szCs w:val="20"/>
          <w:lang w:eastAsia="lv-LV"/>
        </w:rPr>
        <w:t>sēšanas līgumi ir parakstīti,</w:t>
      </w:r>
      <w:r w:rsidR="00850C88">
        <w:rPr>
          <w:rFonts w:eastAsiaTheme="minorEastAsia" w:cs="Times New Roman"/>
          <w:sz w:val="20"/>
          <w:szCs w:val="20"/>
          <w:lang w:eastAsia="lv-LV"/>
        </w:rPr>
        <w:t xml:space="preserve"> </w:t>
      </w:r>
      <w:r w:rsidR="0067219A">
        <w:rPr>
          <w:rFonts w:eastAsiaTheme="minorEastAsia" w:cs="Times New Roman"/>
          <w:sz w:val="20"/>
          <w:szCs w:val="20"/>
          <w:lang w:eastAsia="lv-LV"/>
        </w:rPr>
        <w:t xml:space="preserve">finansējums </w:t>
      </w:r>
      <w:r w:rsidR="00E41ACE">
        <w:rPr>
          <w:rFonts w:eastAsiaTheme="minorEastAsia" w:cs="Times New Roman"/>
          <w:sz w:val="20"/>
          <w:szCs w:val="20"/>
          <w:lang w:eastAsia="lv-LV"/>
        </w:rPr>
        <w:t xml:space="preserve">ietver CEF un </w:t>
      </w:r>
      <w:r w:rsidRPr="000B4C33">
        <w:rPr>
          <w:rFonts w:eastAsiaTheme="minorEastAsia" w:cs="Times New Roman"/>
          <w:sz w:val="20"/>
          <w:szCs w:val="20"/>
          <w:lang w:eastAsia="lv-LV"/>
        </w:rPr>
        <w:t xml:space="preserve"> valsts budžeta līd</w:t>
      </w:r>
      <w:r w:rsidR="1876D145" w:rsidRPr="000B4C33">
        <w:rPr>
          <w:rFonts w:eastAsiaTheme="minorEastAsia" w:cs="Times New Roman"/>
          <w:sz w:val="20"/>
          <w:szCs w:val="20"/>
          <w:lang w:eastAsia="lv-LV"/>
        </w:rPr>
        <w:t>zfinansējumu</w:t>
      </w:r>
      <w:r w:rsidR="00D93EDB">
        <w:rPr>
          <w:rFonts w:eastAsiaTheme="minorEastAsia" w:cs="Times New Roman"/>
          <w:sz w:val="20"/>
          <w:szCs w:val="20"/>
          <w:lang w:eastAsia="lv-LV"/>
        </w:rPr>
        <w:t>, bez PVN</w:t>
      </w:r>
      <w:r w:rsidR="000B4C33" w:rsidRPr="000B4C33">
        <w:rPr>
          <w:rFonts w:eastAsiaTheme="minorEastAsia" w:cs="Times New Roman"/>
          <w:sz w:val="20"/>
          <w:szCs w:val="20"/>
          <w:lang w:eastAsia="lv-LV"/>
        </w:rPr>
        <w:t>.</w:t>
      </w:r>
    </w:p>
    <w:p w14:paraId="4DC9F433" w14:textId="3499066E" w:rsidR="007D5B17" w:rsidRPr="00E147C1" w:rsidRDefault="000B4C33" w:rsidP="000B4C33">
      <w:pPr>
        <w:tabs>
          <w:tab w:val="left" w:pos="567"/>
        </w:tabs>
        <w:spacing w:after="0" w:line="240" w:lineRule="auto"/>
        <w:contextualSpacing/>
        <w:jc w:val="both"/>
        <w:rPr>
          <w:color w:val="C00000"/>
          <w:sz w:val="24"/>
          <w:szCs w:val="24"/>
        </w:rPr>
      </w:pPr>
      <w:r>
        <w:rPr>
          <w:sz w:val="24"/>
          <w:szCs w:val="24"/>
        </w:rPr>
        <w:tab/>
      </w:r>
      <w:r w:rsidR="2D81D66F" w:rsidRPr="0595A900">
        <w:rPr>
          <w:sz w:val="24"/>
          <w:szCs w:val="24"/>
        </w:rPr>
        <w:t xml:space="preserve">Kopumā </w:t>
      </w:r>
      <w:r w:rsidR="0FE4AC57" w:rsidRPr="0595A900">
        <w:rPr>
          <w:sz w:val="24"/>
          <w:szCs w:val="24"/>
        </w:rPr>
        <w:t>CEF</w:t>
      </w:r>
      <w:r w:rsidR="401ABE8C" w:rsidRPr="0595A900">
        <w:rPr>
          <w:sz w:val="24"/>
          <w:szCs w:val="24"/>
        </w:rPr>
        <w:t>8 un CEF</w:t>
      </w:r>
      <w:r w:rsidR="0FE4AC57" w:rsidRPr="0595A900">
        <w:rPr>
          <w:sz w:val="24"/>
          <w:szCs w:val="24"/>
        </w:rPr>
        <w:t>9</w:t>
      </w:r>
      <w:r w:rsidR="3AF9E4C7" w:rsidRPr="0595A900">
        <w:rPr>
          <w:sz w:val="24"/>
          <w:szCs w:val="24"/>
        </w:rPr>
        <w:t xml:space="preserve"> </w:t>
      </w:r>
      <w:r w:rsidR="14027ACA" w:rsidRPr="0595A900">
        <w:rPr>
          <w:sz w:val="24"/>
          <w:szCs w:val="24"/>
        </w:rPr>
        <w:t xml:space="preserve">projektu uzsaukumā Latvija saņēma </w:t>
      </w:r>
      <w:r w:rsidR="50C74B76" w:rsidRPr="0595A900">
        <w:rPr>
          <w:sz w:val="24"/>
          <w:szCs w:val="24"/>
        </w:rPr>
        <w:t>523 624 099</w:t>
      </w:r>
      <w:r w:rsidR="3EFF0565" w:rsidRPr="0595A900">
        <w:rPr>
          <w:sz w:val="24"/>
          <w:szCs w:val="24"/>
        </w:rPr>
        <w:t xml:space="preserve"> </w:t>
      </w:r>
      <w:r w:rsidR="002C5510" w:rsidRPr="002C5510">
        <w:rPr>
          <w:i/>
          <w:sz w:val="24"/>
          <w:szCs w:val="24"/>
        </w:rPr>
        <w:t>euro</w:t>
      </w:r>
      <w:r w:rsidR="00DB11B4" w:rsidRPr="0595A900">
        <w:rPr>
          <w:sz w:val="24"/>
          <w:szCs w:val="24"/>
        </w:rPr>
        <w:t xml:space="preserve"> </w:t>
      </w:r>
      <w:r w:rsidR="266A4701" w:rsidRPr="0595A900">
        <w:rPr>
          <w:sz w:val="24"/>
          <w:szCs w:val="24"/>
        </w:rPr>
        <w:t xml:space="preserve">finansējumu, </w:t>
      </w:r>
      <w:r w:rsidR="004B3679">
        <w:rPr>
          <w:sz w:val="24"/>
          <w:szCs w:val="24"/>
        </w:rPr>
        <w:t xml:space="preserve">kas sevī ietver gan </w:t>
      </w:r>
      <w:r w:rsidR="00B769FE">
        <w:rPr>
          <w:sz w:val="24"/>
          <w:szCs w:val="24"/>
        </w:rPr>
        <w:t xml:space="preserve">CEF </w:t>
      </w:r>
      <w:r w:rsidR="00EE687C">
        <w:rPr>
          <w:sz w:val="24"/>
          <w:szCs w:val="24"/>
        </w:rPr>
        <w:t>finansējumu</w:t>
      </w:r>
      <w:r w:rsidR="00AF26D2">
        <w:rPr>
          <w:sz w:val="24"/>
          <w:szCs w:val="24"/>
        </w:rPr>
        <w:t xml:space="preserve">, gan valsts budžeta </w:t>
      </w:r>
      <w:r w:rsidR="00EF205D">
        <w:rPr>
          <w:sz w:val="24"/>
          <w:szCs w:val="24"/>
        </w:rPr>
        <w:t>l</w:t>
      </w:r>
      <w:r w:rsidR="006F64A4">
        <w:rPr>
          <w:sz w:val="24"/>
          <w:szCs w:val="24"/>
        </w:rPr>
        <w:t>īdzfinansējumu</w:t>
      </w:r>
      <w:r w:rsidR="00986796">
        <w:rPr>
          <w:sz w:val="24"/>
          <w:szCs w:val="24"/>
        </w:rPr>
        <w:t xml:space="preserve">. </w:t>
      </w:r>
      <w:r w:rsidR="009035EB">
        <w:rPr>
          <w:sz w:val="24"/>
          <w:szCs w:val="24"/>
        </w:rPr>
        <w:t xml:space="preserve">No tiem </w:t>
      </w:r>
      <w:r w:rsidR="2E774653" w:rsidRPr="0595A900">
        <w:rPr>
          <w:sz w:val="24"/>
          <w:szCs w:val="24"/>
        </w:rPr>
        <w:t xml:space="preserve"> 165 443 000 </w:t>
      </w:r>
      <w:r w:rsidR="002C5510" w:rsidRPr="002C5510">
        <w:rPr>
          <w:i/>
          <w:sz w:val="24"/>
          <w:szCs w:val="24"/>
        </w:rPr>
        <w:t>euro</w:t>
      </w:r>
      <w:r w:rsidR="00DB11B4" w:rsidRPr="0595A900">
        <w:rPr>
          <w:sz w:val="24"/>
          <w:szCs w:val="24"/>
        </w:rPr>
        <w:t xml:space="preserve"> </w:t>
      </w:r>
      <w:r w:rsidR="2E774653" w:rsidRPr="0595A900">
        <w:rPr>
          <w:sz w:val="24"/>
          <w:szCs w:val="24"/>
        </w:rPr>
        <w:t>tiks izlietoti Līgumā paredzēto darbu veikšanai</w:t>
      </w:r>
      <w:r w:rsidR="4DB693FF" w:rsidRPr="0595A900">
        <w:rPr>
          <w:sz w:val="24"/>
          <w:szCs w:val="24"/>
        </w:rPr>
        <w:t xml:space="preserve">. </w:t>
      </w:r>
      <w:r w:rsidR="658A6D55" w:rsidRPr="0595A900">
        <w:rPr>
          <w:sz w:val="24"/>
          <w:szCs w:val="24"/>
        </w:rPr>
        <w:t>CEF10 un MM3 uzsaukumu rezultāti vēl nav zināmi, un tabulā norādītas šī brīža aplēses.</w:t>
      </w:r>
      <w:r w:rsidR="4DB693FF" w:rsidRPr="0595A900">
        <w:rPr>
          <w:color w:val="C00000"/>
          <w:sz w:val="24"/>
          <w:szCs w:val="24"/>
        </w:rPr>
        <w:t xml:space="preserve"> </w:t>
      </w:r>
    </w:p>
    <w:p w14:paraId="7581BCA5" w14:textId="6DDABA83" w:rsidR="0595A900" w:rsidRDefault="0595A900" w:rsidP="0595A900">
      <w:pPr>
        <w:tabs>
          <w:tab w:val="left" w:pos="567"/>
        </w:tabs>
        <w:spacing w:after="0" w:line="240" w:lineRule="auto"/>
        <w:ind w:firstLine="720"/>
        <w:contextualSpacing/>
        <w:jc w:val="both"/>
        <w:rPr>
          <w:color w:val="C00000"/>
          <w:sz w:val="24"/>
          <w:szCs w:val="24"/>
        </w:rPr>
      </w:pPr>
    </w:p>
    <w:p w14:paraId="00B3286B" w14:textId="77777777" w:rsidR="00B10D9B" w:rsidRPr="00660EB3" w:rsidRDefault="31ACFF76" w:rsidP="00911792">
      <w:pPr>
        <w:pStyle w:val="ListParagraph"/>
        <w:numPr>
          <w:ilvl w:val="1"/>
          <w:numId w:val="25"/>
        </w:numPr>
        <w:tabs>
          <w:tab w:val="left" w:pos="284"/>
        </w:tabs>
        <w:spacing w:before="120" w:after="120"/>
        <w:ind w:left="788" w:hanging="431"/>
        <w:contextualSpacing w:val="0"/>
        <w:jc w:val="center"/>
        <w:rPr>
          <w:rFonts w:eastAsiaTheme="minorEastAsia" w:cs="Times New Roman"/>
          <w:b/>
          <w:bCs/>
          <w:szCs w:val="24"/>
          <w:lang w:eastAsia="lv-LV"/>
        </w:rPr>
      </w:pPr>
      <w:r w:rsidRPr="0595A900">
        <w:rPr>
          <w:rFonts w:eastAsiaTheme="minorEastAsia" w:cs="Times New Roman"/>
          <w:b/>
          <w:bCs/>
          <w:lang w:eastAsia="lv-LV"/>
        </w:rPr>
        <w:t>Maksājumu principi un kārtība</w:t>
      </w:r>
    </w:p>
    <w:p w14:paraId="742234D5" w14:textId="77777777" w:rsidR="00B10D9B" w:rsidRPr="00660EB3" w:rsidRDefault="00B10D9B"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bookmarkStart w:id="1" w:name="_Hlk147573585"/>
      <w:r w:rsidRPr="00660EB3">
        <w:rPr>
          <w:rFonts w:eastAsiaTheme="minorEastAsia" w:cs="Times New Roman"/>
          <w:sz w:val="24"/>
          <w:szCs w:val="24"/>
          <w:lang w:eastAsia="lv-LV"/>
        </w:rPr>
        <w:t xml:space="preserve">Līguma summa veidosies no Uzņēmējam izmaksājamās summas par darbiem, kas ir paveikti un kuru apjomi ir noteikti saskaņā ar Līgumu un norādītajām vienības cenu izmaksām, un kurus aprēķina un kontrolē Inženieris (saskaņā ar standarta FIDIC </w:t>
      </w:r>
      <w:r w:rsidRPr="00660EB3">
        <w:rPr>
          <w:rFonts w:eastAsiaTheme="minorEastAsia" w:cs="Times New Roman"/>
          <w:i/>
          <w:iCs/>
          <w:sz w:val="24"/>
          <w:szCs w:val="24"/>
          <w:lang w:eastAsia="lv-LV"/>
        </w:rPr>
        <w:t>re-measurement</w:t>
      </w:r>
      <w:r w:rsidRPr="00660EB3">
        <w:rPr>
          <w:rFonts w:eastAsiaTheme="minorEastAsia" w:cs="Times New Roman"/>
          <w:sz w:val="24"/>
          <w:szCs w:val="24"/>
          <w:lang w:eastAsia="lv-LV"/>
        </w:rPr>
        <w:t xml:space="preserve"> līgumu, kas tiek pielietots vairumā publiskās infrastruktūras izbūves līgumos). </w:t>
      </w:r>
      <w:bookmarkEnd w:id="1"/>
      <w:r w:rsidRPr="00660EB3">
        <w:rPr>
          <w:rFonts w:eastAsiaTheme="minorEastAsia" w:cs="Times New Roman"/>
          <w:sz w:val="24"/>
          <w:szCs w:val="24"/>
          <w:lang w:eastAsia="lv-LV"/>
        </w:rPr>
        <w:t>Inženieris veiks detalizētu apjomu pārbaudi un šī uzdevuma veikšanai tiks piesaistīts kvalificēts Inženiera personāls, t.sk., vairāki tāmētāji no izmaksu kontrolētāju komandas, kas sastāv no dažādu nozaru speciālistiem, kas noteiks vai Uzņēmēja norādītie apjomi un veiktie darbi ir korekti.</w:t>
      </w:r>
    </w:p>
    <w:p w14:paraId="5F51D6C6" w14:textId="1EEC512E" w:rsidR="00B10D9B" w:rsidRPr="00660EB3" w:rsidRDefault="00B10D9B"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31ACFF76" w:rsidRPr="0595A900">
        <w:rPr>
          <w:rFonts w:eastAsiaTheme="minorEastAsia" w:cs="Times New Roman"/>
          <w:sz w:val="24"/>
          <w:szCs w:val="24"/>
          <w:lang w:eastAsia="lv-LV"/>
        </w:rPr>
        <w:t xml:space="preserve">Uzņēmējs reizi mēnesī </w:t>
      </w:r>
      <w:r w:rsidR="17D246D0" w:rsidRPr="0595A900">
        <w:rPr>
          <w:rFonts w:eastAsiaTheme="minorEastAsia" w:cs="Times New Roman"/>
          <w:sz w:val="24"/>
          <w:szCs w:val="24"/>
          <w:lang w:eastAsia="lv-LV"/>
        </w:rPr>
        <w:t>EDZL</w:t>
      </w:r>
      <w:r w:rsidR="6D973DF5" w:rsidRPr="0595A900">
        <w:rPr>
          <w:rFonts w:eastAsiaTheme="minorEastAsia" w:cs="Times New Roman"/>
          <w:sz w:val="24"/>
          <w:szCs w:val="24"/>
          <w:lang w:eastAsia="lv-LV"/>
        </w:rPr>
        <w:t xml:space="preserve"> </w:t>
      </w:r>
      <w:r w:rsidR="31ACFF76" w:rsidRPr="0595A900">
        <w:rPr>
          <w:rFonts w:eastAsiaTheme="minorEastAsia" w:cs="Times New Roman"/>
          <w:sz w:val="24"/>
          <w:szCs w:val="24"/>
          <w:lang w:eastAsia="lv-LV"/>
        </w:rPr>
        <w:t>iesniegs starpposma maksājuma pieteikumu (</w:t>
      </w:r>
      <w:r w:rsidR="31ACFF76" w:rsidRPr="0595A900">
        <w:rPr>
          <w:rFonts w:eastAsiaTheme="minorEastAsia" w:cs="Times New Roman"/>
          <w:i/>
          <w:iCs/>
          <w:sz w:val="24"/>
          <w:szCs w:val="24"/>
          <w:lang w:eastAsia="lv-LV"/>
        </w:rPr>
        <w:t>IPC</w:t>
      </w:r>
      <w:r w:rsidR="31ACFF76" w:rsidRPr="0595A900">
        <w:rPr>
          <w:rFonts w:eastAsiaTheme="minorEastAsia" w:cs="Times New Roman"/>
          <w:sz w:val="24"/>
          <w:szCs w:val="24"/>
          <w:lang w:eastAsia="lv-LV"/>
        </w:rPr>
        <w:t>) un tas saturēs darbus un apjomus, kas veikti kalendārā mēneša ietvaros un kuru izpildi un apjomus pārbaudīs Inženiera nozīmēti sertificēti tāmētāji (</w:t>
      </w:r>
      <w:r w:rsidR="00FE2F80" w:rsidRPr="003F1977">
        <w:rPr>
          <w:rFonts w:eastAsiaTheme="minorEastAsia" w:cs="Times New Roman"/>
          <w:sz w:val="24"/>
          <w:szCs w:val="24"/>
          <w:lang w:eastAsia="lv-LV"/>
        </w:rPr>
        <w:t>no angļu val. –</w:t>
      </w:r>
      <w:r w:rsidR="00FE2F80">
        <w:rPr>
          <w:rFonts w:eastAsiaTheme="minorEastAsia" w:cs="Times New Roman"/>
          <w:szCs w:val="24"/>
          <w:lang w:eastAsia="lv-LV"/>
        </w:rPr>
        <w:t xml:space="preserve"> </w:t>
      </w:r>
      <w:r w:rsidR="31ACFF76" w:rsidRPr="0595A900">
        <w:rPr>
          <w:rFonts w:eastAsiaTheme="minorEastAsia" w:cs="Times New Roman"/>
          <w:i/>
          <w:iCs/>
          <w:sz w:val="24"/>
          <w:szCs w:val="24"/>
          <w:lang w:eastAsia="lv-LV"/>
        </w:rPr>
        <w:t>quantity surveyors</w:t>
      </w:r>
      <w:r w:rsidR="31ACFF76" w:rsidRPr="0595A900">
        <w:rPr>
          <w:rFonts w:eastAsiaTheme="minorEastAsia" w:cs="Times New Roman"/>
          <w:sz w:val="24"/>
          <w:szCs w:val="24"/>
          <w:lang w:eastAsia="lv-LV"/>
        </w:rPr>
        <w:t>).</w:t>
      </w:r>
      <w:r w:rsidR="44496B1D" w:rsidRPr="0595A900">
        <w:rPr>
          <w:rFonts w:eastAsiaTheme="minorEastAsia" w:cs="Times New Roman"/>
          <w:sz w:val="24"/>
          <w:szCs w:val="24"/>
          <w:lang w:eastAsia="lv-LV"/>
        </w:rPr>
        <w:t xml:space="preserve"> </w:t>
      </w:r>
      <w:r w:rsidR="22735D7A" w:rsidRPr="0595A900">
        <w:rPr>
          <w:rFonts w:eastAsiaTheme="minorEastAsia" w:cs="Times New Roman"/>
          <w:sz w:val="24"/>
          <w:szCs w:val="24"/>
          <w:lang w:eastAsia="lv-LV"/>
        </w:rPr>
        <w:t xml:space="preserve">Maksājumu dokumentācijas apstrāde </w:t>
      </w:r>
      <w:r w:rsidR="17D246D0" w:rsidRPr="0595A900">
        <w:rPr>
          <w:rFonts w:eastAsiaTheme="minorEastAsia" w:cs="Times New Roman"/>
          <w:sz w:val="24"/>
          <w:szCs w:val="24"/>
          <w:lang w:eastAsia="lv-LV"/>
        </w:rPr>
        <w:t>EDZL</w:t>
      </w:r>
      <w:r w:rsidR="22735D7A" w:rsidRPr="0595A900">
        <w:rPr>
          <w:rFonts w:eastAsiaTheme="minorEastAsia" w:cs="Times New Roman"/>
          <w:sz w:val="24"/>
          <w:szCs w:val="24"/>
          <w:lang w:eastAsia="lv-LV"/>
        </w:rPr>
        <w:t xml:space="preserve"> norisināsies atbilstoši izstrādātajām iekšējām procedūrām saskaņā ar </w:t>
      </w:r>
      <w:r w:rsidR="00FE2F80">
        <w:rPr>
          <w:rFonts w:eastAsiaTheme="minorEastAsia" w:cs="Times New Roman"/>
          <w:sz w:val="24"/>
          <w:szCs w:val="24"/>
          <w:lang w:eastAsia="lv-LV"/>
        </w:rPr>
        <w:t>S</w:t>
      </w:r>
      <w:r w:rsidR="22735D7A" w:rsidRPr="0595A900">
        <w:rPr>
          <w:rFonts w:eastAsiaTheme="minorEastAsia" w:cs="Times New Roman"/>
          <w:sz w:val="24"/>
          <w:szCs w:val="24"/>
          <w:lang w:eastAsia="lv-LV"/>
        </w:rPr>
        <w:t xml:space="preserve">tarptautiskās inženierkonsultantu federācijas FIDIC, kuras ir sevišķi piemērotas un plaši pielietotas, lai administrētu liela mēroga infrastruktūras būvniecības objektu maksājumus, kā arī jau vairākus gadus tiek piemērotas Rīgas Centrālās stacijas un </w:t>
      </w:r>
      <w:r w:rsidR="5286013E" w:rsidRPr="0595A900">
        <w:rPr>
          <w:rFonts w:eastAsiaTheme="minorEastAsia" w:cs="Times New Roman"/>
          <w:sz w:val="24"/>
          <w:szCs w:val="24"/>
          <w:lang w:eastAsia="lv-LV"/>
        </w:rPr>
        <w:t xml:space="preserve">starptautiskās lidostas „Rīga” Rail Baltica stacijas </w:t>
      </w:r>
      <w:r w:rsidR="22735D7A" w:rsidRPr="0595A900">
        <w:rPr>
          <w:rFonts w:eastAsiaTheme="minorEastAsia" w:cs="Times New Roman"/>
          <w:sz w:val="24"/>
          <w:szCs w:val="24"/>
          <w:lang w:eastAsia="lv-LV"/>
        </w:rPr>
        <w:t>būvobjektos.</w:t>
      </w:r>
      <w:r w:rsidR="25727199" w:rsidRPr="0595A900">
        <w:rPr>
          <w:rFonts w:eastAsiaTheme="minorEastAsia" w:cs="Times New Roman"/>
          <w:sz w:val="24"/>
          <w:szCs w:val="24"/>
          <w:lang w:eastAsia="lv-LV"/>
        </w:rPr>
        <w:t xml:space="preserve"> </w:t>
      </w:r>
      <w:r w:rsidR="44496B1D" w:rsidRPr="0595A900">
        <w:rPr>
          <w:rFonts w:eastAsiaTheme="minorEastAsia" w:cs="Times New Roman"/>
          <w:sz w:val="24"/>
          <w:szCs w:val="24"/>
          <w:lang w:eastAsia="lv-LV"/>
        </w:rPr>
        <w:t xml:space="preserve">Ministrija </w:t>
      </w:r>
      <w:r w:rsidR="25727199" w:rsidRPr="0595A900">
        <w:rPr>
          <w:rFonts w:eastAsiaTheme="minorEastAsia" w:cs="Times New Roman"/>
          <w:sz w:val="24"/>
          <w:szCs w:val="24"/>
          <w:lang w:eastAsia="lv-LV"/>
        </w:rPr>
        <w:t xml:space="preserve">rēķinus </w:t>
      </w:r>
      <w:r w:rsidR="07293738" w:rsidRPr="0595A900">
        <w:rPr>
          <w:rFonts w:eastAsiaTheme="minorEastAsia" w:cs="Times New Roman"/>
          <w:sz w:val="24"/>
          <w:szCs w:val="24"/>
          <w:lang w:eastAsia="lv-LV"/>
        </w:rPr>
        <w:t xml:space="preserve">apmaksā </w:t>
      </w:r>
      <w:r w:rsidR="38F1E723" w:rsidRPr="0595A900">
        <w:rPr>
          <w:rFonts w:eastAsiaTheme="minorEastAsia" w:cs="Times New Roman"/>
          <w:sz w:val="24"/>
          <w:szCs w:val="24"/>
          <w:lang w:eastAsia="lv-LV"/>
        </w:rPr>
        <w:t>60</w:t>
      </w:r>
      <w:r w:rsidR="5AAC8FCB" w:rsidRPr="0595A900">
        <w:rPr>
          <w:rFonts w:eastAsiaTheme="minorEastAsia" w:cs="Times New Roman"/>
          <w:sz w:val="24"/>
          <w:szCs w:val="24"/>
          <w:lang w:eastAsia="lv-LV"/>
        </w:rPr>
        <w:t xml:space="preserve"> darba dienu laikā </w:t>
      </w:r>
      <w:r w:rsidR="38F1E723" w:rsidRPr="0595A900">
        <w:rPr>
          <w:rFonts w:eastAsiaTheme="minorEastAsia" w:cs="Times New Roman"/>
          <w:sz w:val="24"/>
          <w:szCs w:val="24"/>
          <w:lang w:eastAsia="lv-LV"/>
        </w:rPr>
        <w:t xml:space="preserve">kopš </w:t>
      </w:r>
      <w:r w:rsidR="5AD8BBFC" w:rsidRPr="0595A900">
        <w:rPr>
          <w:rFonts w:eastAsiaTheme="minorEastAsia" w:cs="Times New Roman"/>
          <w:sz w:val="24"/>
          <w:szCs w:val="24"/>
          <w:lang w:eastAsia="lv-LV"/>
        </w:rPr>
        <w:t xml:space="preserve">to izrakstīšanas </w:t>
      </w:r>
      <w:r w:rsidR="3F38DB8B" w:rsidRPr="0595A900">
        <w:rPr>
          <w:rFonts w:eastAsiaTheme="minorEastAsia" w:cs="Times New Roman"/>
          <w:sz w:val="24"/>
          <w:szCs w:val="24"/>
          <w:lang w:eastAsia="lv-LV"/>
        </w:rPr>
        <w:t>datuma</w:t>
      </w:r>
      <w:r w:rsidR="4898E899" w:rsidRPr="0595A900">
        <w:rPr>
          <w:rFonts w:eastAsiaTheme="minorEastAsia" w:cs="Times New Roman"/>
          <w:sz w:val="24"/>
          <w:szCs w:val="24"/>
          <w:lang w:eastAsia="lv-LV"/>
        </w:rPr>
        <w:t>,</w:t>
      </w:r>
      <w:r w:rsidR="37DB3941" w:rsidRPr="0595A900">
        <w:rPr>
          <w:rFonts w:eastAsiaTheme="minorEastAsia" w:cs="Times New Roman"/>
          <w:sz w:val="24"/>
          <w:szCs w:val="24"/>
          <w:lang w:eastAsia="lv-LV"/>
        </w:rPr>
        <w:t xml:space="preserve"> </w:t>
      </w:r>
      <w:r w:rsidR="46208C0C" w:rsidRPr="0595A900">
        <w:rPr>
          <w:rFonts w:eastAsiaTheme="minorEastAsia" w:cs="Times New Roman"/>
          <w:sz w:val="24"/>
          <w:szCs w:val="24"/>
          <w:lang w:eastAsia="lv-LV"/>
        </w:rPr>
        <w:t xml:space="preserve">pamatojoties uz </w:t>
      </w:r>
      <w:r w:rsidR="17D246D0" w:rsidRPr="0595A900">
        <w:rPr>
          <w:rFonts w:eastAsiaTheme="minorEastAsia" w:cs="Times New Roman"/>
          <w:sz w:val="24"/>
          <w:szCs w:val="24"/>
          <w:lang w:eastAsia="lv-LV"/>
        </w:rPr>
        <w:t>EDZL</w:t>
      </w:r>
      <w:r w:rsidR="46208C0C" w:rsidRPr="0595A900">
        <w:rPr>
          <w:rFonts w:eastAsiaTheme="minorEastAsia" w:cs="Times New Roman"/>
          <w:sz w:val="24"/>
          <w:szCs w:val="24"/>
          <w:lang w:eastAsia="lv-LV"/>
        </w:rPr>
        <w:t xml:space="preserve"> </w:t>
      </w:r>
      <w:r w:rsidR="378D163D" w:rsidRPr="0595A900">
        <w:rPr>
          <w:rFonts w:eastAsiaTheme="minorEastAsia" w:cs="Times New Roman"/>
          <w:sz w:val="24"/>
          <w:szCs w:val="24"/>
          <w:lang w:eastAsia="lv-LV"/>
        </w:rPr>
        <w:t xml:space="preserve">un FIDIC inženiera </w:t>
      </w:r>
      <w:r w:rsidR="547E276C" w:rsidRPr="0595A900">
        <w:rPr>
          <w:rFonts w:eastAsiaTheme="minorEastAsia" w:cs="Times New Roman"/>
          <w:sz w:val="24"/>
          <w:szCs w:val="24"/>
          <w:lang w:eastAsia="lv-LV"/>
        </w:rPr>
        <w:t xml:space="preserve">parakstītajiem </w:t>
      </w:r>
      <w:r w:rsidR="00FE2F80">
        <w:rPr>
          <w:rFonts w:eastAsiaTheme="minorEastAsia" w:cs="Times New Roman"/>
          <w:sz w:val="24"/>
          <w:szCs w:val="24"/>
          <w:lang w:eastAsia="lv-LV"/>
        </w:rPr>
        <w:t>p</w:t>
      </w:r>
      <w:r w:rsidR="3FE3690E" w:rsidRPr="0595A900">
        <w:rPr>
          <w:rFonts w:eastAsiaTheme="minorEastAsia" w:cs="Times New Roman"/>
          <w:sz w:val="24"/>
          <w:szCs w:val="24"/>
          <w:lang w:eastAsia="lv-LV"/>
        </w:rPr>
        <w:t>ieņemšan</w:t>
      </w:r>
      <w:r w:rsidR="569ED1E3" w:rsidRPr="0595A900">
        <w:rPr>
          <w:rFonts w:eastAsiaTheme="minorEastAsia" w:cs="Times New Roman"/>
          <w:sz w:val="24"/>
          <w:szCs w:val="24"/>
          <w:lang w:eastAsia="lv-LV"/>
        </w:rPr>
        <w:t>a</w:t>
      </w:r>
      <w:r w:rsidR="3FE3690E" w:rsidRPr="0595A900">
        <w:rPr>
          <w:rFonts w:eastAsiaTheme="minorEastAsia" w:cs="Times New Roman"/>
          <w:sz w:val="24"/>
          <w:szCs w:val="24"/>
          <w:lang w:eastAsia="lv-LV"/>
        </w:rPr>
        <w:t xml:space="preserve">s – nodošanas </w:t>
      </w:r>
      <w:r w:rsidR="2DE8C5D5" w:rsidRPr="0595A900">
        <w:rPr>
          <w:rFonts w:eastAsiaTheme="minorEastAsia" w:cs="Times New Roman"/>
          <w:sz w:val="24"/>
          <w:szCs w:val="24"/>
          <w:lang w:eastAsia="lv-LV"/>
        </w:rPr>
        <w:t>aktiem</w:t>
      </w:r>
      <w:r w:rsidR="3F38DB8B" w:rsidRPr="0595A900">
        <w:rPr>
          <w:rFonts w:eastAsiaTheme="minorEastAsia" w:cs="Times New Roman"/>
          <w:sz w:val="24"/>
          <w:szCs w:val="24"/>
          <w:lang w:eastAsia="lv-LV"/>
        </w:rPr>
        <w:t xml:space="preserve"> (</w:t>
      </w:r>
      <w:r w:rsidR="784E2326" w:rsidRPr="0595A900">
        <w:rPr>
          <w:rFonts w:eastAsiaTheme="minorEastAsia" w:cs="Times New Roman"/>
          <w:sz w:val="24"/>
          <w:szCs w:val="24"/>
          <w:lang w:eastAsia="lv-LV"/>
        </w:rPr>
        <w:t xml:space="preserve">turpmāk – PNA) </w:t>
      </w:r>
      <w:r w:rsidR="3F38DB8B" w:rsidRPr="0595A900">
        <w:rPr>
          <w:rFonts w:eastAsiaTheme="minorEastAsia" w:cs="Times New Roman"/>
          <w:sz w:val="24"/>
          <w:szCs w:val="24"/>
          <w:lang w:eastAsia="lv-LV"/>
        </w:rPr>
        <w:t>un salīdzinot</w:t>
      </w:r>
      <w:r w:rsidR="0355D580" w:rsidRPr="0595A900">
        <w:rPr>
          <w:rFonts w:eastAsiaTheme="minorEastAsia" w:cs="Times New Roman"/>
          <w:sz w:val="24"/>
          <w:szCs w:val="24"/>
          <w:lang w:eastAsia="lv-LV"/>
        </w:rPr>
        <w:t xml:space="preserve"> PNA minētos darbus </w:t>
      </w:r>
      <w:r w:rsidR="3F38DB8B" w:rsidRPr="0595A900">
        <w:rPr>
          <w:rFonts w:eastAsiaTheme="minorEastAsia" w:cs="Times New Roman"/>
          <w:sz w:val="24"/>
          <w:szCs w:val="24"/>
          <w:lang w:eastAsia="lv-LV"/>
        </w:rPr>
        <w:t>a</w:t>
      </w:r>
      <w:r w:rsidR="21303F79" w:rsidRPr="0595A900">
        <w:rPr>
          <w:rFonts w:eastAsiaTheme="minorEastAsia" w:cs="Times New Roman"/>
          <w:sz w:val="24"/>
          <w:szCs w:val="24"/>
          <w:lang w:eastAsia="lv-LV"/>
        </w:rPr>
        <w:t xml:space="preserve">r </w:t>
      </w:r>
      <w:r w:rsidR="785F5C54" w:rsidRPr="0595A900">
        <w:rPr>
          <w:rFonts w:eastAsiaTheme="minorEastAsia" w:cs="Times New Roman"/>
          <w:sz w:val="24"/>
          <w:szCs w:val="24"/>
          <w:lang w:eastAsia="lv-LV"/>
        </w:rPr>
        <w:t>būvniecības līgumos noteikta</w:t>
      </w:r>
      <w:r w:rsidR="538BA166" w:rsidRPr="0595A900">
        <w:rPr>
          <w:rFonts w:eastAsiaTheme="minorEastAsia" w:cs="Times New Roman"/>
          <w:sz w:val="24"/>
          <w:szCs w:val="24"/>
          <w:lang w:eastAsia="lv-LV"/>
        </w:rPr>
        <w:t>jiem darbiem.</w:t>
      </w:r>
      <w:r w:rsidR="3F38DB8B" w:rsidRPr="0595A900">
        <w:rPr>
          <w:rFonts w:eastAsiaTheme="minorEastAsia" w:cs="Times New Roman"/>
          <w:sz w:val="24"/>
          <w:szCs w:val="24"/>
          <w:lang w:eastAsia="lv-LV"/>
        </w:rPr>
        <w:t xml:space="preserve"> </w:t>
      </w:r>
      <w:r w:rsidR="3FE3690E" w:rsidRPr="0595A900">
        <w:rPr>
          <w:rFonts w:eastAsiaTheme="minorEastAsia" w:cs="Times New Roman"/>
          <w:sz w:val="24"/>
          <w:szCs w:val="24"/>
          <w:lang w:eastAsia="lv-LV"/>
        </w:rPr>
        <w:t xml:space="preserve"> </w:t>
      </w:r>
    </w:p>
    <w:p w14:paraId="36E06768" w14:textId="6D9879D5" w:rsidR="008F5ECD" w:rsidRPr="00BB3E02" w:rsidRDefault="00B10D9B" w:rsidP="00056AFE">
      <w:pPr>
        <w:tabs>
          <w:tab w:val="left" w:pos="567"/>
        </w:tabs>
        <w:spacing w:after="0" w:line="240" w:lineRule="auto"/>
        <w:contextualSpacing/>
        <w:jc w:val="both"/>
        <w:rPr>
          <w:sz w:val="24"/>
          <w:szCs w:val="24"/>
        </w:rPr>
      </w:pPr>
      <w:r w:rsidRPr="00660EB3">
        <w:rPr>
          <w:rFonts w:eastAsiaTheme="minorEastAsia" w:cs="Times New Roman"/>
          <w:sz w:val="24"/>
          <w:szCs w:val="24"/>
          <w:lang w:eastAsia="lv-LV"/>
        </w:rPr>
        <w:tab/>
      </w:r>
      <w:bookmarkStart w:id="2" w:name="_Hlk147733083"/>
      <w:r w:rsidRPr="00660EB3">
        <w:rPr>
          <w:rFonts w:eastAsiaTheme="minorEastAsia" w:cs="Times New Roman"/>
          <w:sz w:val="24"/>
          <w:szCs w:val="24"/>
          <w:lang w:eastAsia="lv-LV"/>
        </w:rPr>
        <w:t>Saskaņā ar  Publisko iepirkumu likuma 61.</w:t>
      </w:r>
      <w:r w:rsidR="00FE2F80">
        <w:rPr>
          <w:rFonts w:eastAsiaTheme="minorEastAsia" w:cs="Times New Roman"/>
          <w:sz w:val="24"/>
          <w:szCs w:val="24"/>
          <w:lang w:eastAsia="lv-LV"/>
        </w:rPr>
        <w:t xml:space="preserve"> </w:t>
      </w:r>
      <w:r w:rsidRPr="00660EB3">
        <w:rPr>
          <w:rFonts w:eastAsiaTheme="minorEastAsia" w:cs="Times New Roman"/>
          <w:sz w:val="24"/>
          <w:szCs w:val="24"/>
          <w:lang w:eastAsia="lv-LV"/>
        </w:rPr>
        <w:t>panta sesto daļu, Ekonomikas ministrijas 2020.</w:t>
      </w:r>
      <w:r w:rsidR="00FE2F80">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gada Vadlīnijām būvdarbu līguma cenas indeksācijai, FIDIC standarta līgumu klauzulām par cenu indeksāciju un starptautiski atzītu būvniecības līgumu praksi (Eiropas Savienības Revīzijas palātas ieteikumi, Pasaules bankas ieteikumi), līgumā iestrādāts detalizēts mehānisms precīzai indeksācijas noteikšanai, ņemot vērā, ka indeksi tiks piemēroti specifiski gan darbaspēkam, gan materiāliem, gan mehānismiem un aprīkojumam. Indeksācija tiks precīzi noteikta </w:t>
      </w:r>
      <w:r w:rsidRPr="00C371DB">
        <w:rPr>
          <w:rFonts w:eastAsiaTheme="minorEastAsia" w:cs="Times New Roman"/>
          <w:sz w:val="24"/>
          <w:szCs w:val="24"/>
          <w:lang w:eastAsia="lv-LV"/>
        </w:rPr>
        <w:t>katrai paveiktā darba sastāvdaļai (indeksu grupa) balstoties uz līgumā iekļautu formulu un tiks attiecināta tikai darbiem, kas ir norādīti finanšu formā kā indeksējami (konkrētās indeksu grupas līguma izpildes gaitā netiks mainītas). Indeksu avoti</w:t>
      </w:r>
      <w:r w:rsidR="001C4ABD" w:rsidRPr="00C371DB">
        <w:rPr>
          <w:rFonts w:eastAsiaTheme="minorEastAsia" w:cs="Times New Roman"/>
          <w:sz w:val="24"/>
          <w:szCs w:val="24"/>
          <w:lang w:eastAsia="lv-LV"/>
        </w:rPr>
        <w:t xml:space="preserve"> (</w:t>
      </w:r>
      <w:r w:rsidR="00BB3E02">
        <w:rPr>
          <w:rFonts w:eastAsiaTheme="minorEastAsia" w:cs="Times New Roman"/>
          <w:sz w:val="24"/>
          <w:szCs w:val="24"/>
          <w:lang w:eastAsia="lv-LV"/>
        </w:rPr>
        <w:t>detalizēts</w:t>
      </w:r>
      <w:r w:rsidR="0032508A">
        <w:rPr>
          <w:rFonts w:eastAsiaTheme="minorEastAsia" w:cs="Times New Roman"/>
          <w:sz w:val="24"/>
          <w:szCs w:val="24"/>
          <w:lang w:eastAsia="lv-LV"/>
        </w:rPr>
        <w:t xml:space="preserve"> saraksts ir pieejams</w:t>
      </w:r>
      <w:r w:rsidR="001C4ABD" w:rsidRPr="00C371DB">
        <w:rPr>
          <w:rFonts w:eastAsiaTheme="minorEastAsia" w:cs="Times New Roman"/>
          <w:sz w:val="24"/>
          <w:szCs w:val="24"/>
          <w:lang w:eastAsia="lv-LV"/>
        </w:rPr>
        <w:t xml:space="preserve"> </w:t>
      </w:r>
      <w:r w:rsidR="00DB11B4">
        <w:rPr>
          <w:rFonts w:eastAsiaTheme="minorEastAsia" w:cs="Times New Roman"/>
          <w:sz w:val="24"/>
          <w:szCs w:val="24"/>
          <w:lang w:eastAsia="lv-LV"/>
        </w:rPr>
        <w:t xml:space="preserve">2. </w:t>
      </w:r>
      <w:r w:rsidR="001C4ABD" w:rsidRPr="00C371DB">
        <w:rPr>
          <w:rFonts w:eastAsiaTheme="minorEastAsia" w:cs="Times New Roman"/>
          <w:sz w:val="24"/>
          <w:szCs w:val="24"/>
          <w:lang w:eastAsia="lv-LV"/>
        </w:rPr>
        <w:t>pielikumā)</w:t>
      </w:r>
      <w:r w:rsidRPr="00C371DB">
        <w:rPr>
          <w:rFonts w:eastAsiaTheme="minorEastAsia" w:cs="Times New Roman"/>
          <w:sz w:val="24"/>
          <w:szCs w:val="24"/>
          <w:lang w:eastAsia="lv-LV"/>
        </w:rPr>
        <w:t xml:space="preserve"> ir gan vietējie – Latvijas Centrālā statistikas pārvalde, gan starptautiski – Eiropas Centrālā banka un MEPS International, ņemot vērā vai konkrētā resursa cenu galvenokārt ietekmē vietējais tirgus (darbaspēka gadījumā) vai starptautiskais</w:t>
      </w:r>
      <w:r w:rsidRPr="00660EB3">
        <w:rPr>
          <w:rFonts w:eastAsiaTheme="minorEastAsia" w:cs="Times New Roman"/>
          <w:sz w:val="24"/>
          <w:szCs w:val="24"/>
          <w:lang w:eastAsia="lv-LV"/>
        </w:rPr>
        <w:t xml:space="preserve"> tirgus (tērauda izstrādājumi, stiegrojums). </w:t>
      </w:r>
      <w:bookmarkEnd w:id="2"/>
      <w:r w:rsidR="00D41BD3">
        <w:rPr>
          <w:rFonts w:eastAsiaTheme="minorEastAsia" w:cs="Times New Roman"/>
          <w:sz w:val="24"/>
          <w:szCs w:val="24"/>
          <w:lang w:eastAsia="lv-LV"/>
        </w:rPr>
        <w:t>Dažādais i</w:t>
      </w:r>
      <w:r w:rsidR="00B83727">
        <w:rPr>
          <w:rFonts w:eastAsiaTheme="minorEastAsia" w:cs="Times New Roman"/>
          <w:sz w:val="24"/>
          <w:szCs w:val="24"/>
          <w:lang w:eastAsia="lv-LV"/>
        </w:rPr>
        <w:t>n</w:t>
      </w:r>
      <w:r w:rsidR="008F5ECD">
        <w:rPr>
          <w:rFonts w:eastAsiaTheme="minorEastAsia" w:cs="Times New Roman"/>
          <w:sz w:val="24"/>
          <w:szCs w:val="24"/>
          <w:lang w:eastAsia="lv-LV"/>
        </w:rPr>
        <w:t xml:space="preserve">deksu </w:t>
      </w:r>
      <w:r w:rsidR="008F5ECD" w:rsidRPr="00BB3E02">
        <w:rPr>
          <w:sz w:val="24"/>
          <w:szCs w:val="24"/>
        </w:rPr>
        <w:t xml:space="preserve">grozs ir izvēlēts kā riskus mazinošs pasākums visām līgumā iesaistītajām pusēm. Ņemot vērā gan līguma ļoti ievērojamo apjomu (3,7 miljardi </w:t>
      </w:r>
      <w:r w:rsidR="002C5510" w:rsidRPr="002C5510">
        <w:rPr>
          <w:i/>
          <w:sz w:val="24"/>
          <w:szCs w:val="24"/>
        </w:rPr>
        <w:t>euro</w:t>
      </w:r>
      <w:r w:rsidR="008F5ECD" w:rsidRPr="00BB3E02">
        <w:rPr>
          <w:sz w:val="24"/>
          <w:szCs w:val="24"/>
        </w:rPr>
        <w:t>), gan arī darbības laiku (</w:t>
      </w:r>
      <w:r w:rsidR="00BB3E02">
        <w:rPr>
          <w:sz w:val="24"/>
          <w:szCs w:val="24"/>
        </w:rPr>
        <w:t>96 mēneši</w:t>
      </w:r>
      <w:r w:rsidR="008F5ECD" w:rsidRPr="00BB3E02">
        <w:rPr>
          <w:sz w:val="24"/>
          <w:szCs w:val="24"/>
        </w:rPr>
        <w:t xml:space="preserve">): </w:t>
      </w:r>
    </w:p>
    <w:p w14:paraId="65B37787" w14:textId="7D7FA9CC" w:rsidR="002858B0" w:rsidRDefault="002858B0" w:rsidP="00911792">
      <w:pPr>
        <w:pStyle w:val="ListParagraph"/>
        <w:numPr>
          <w:ilvl w:val="0"/>
          <w:numId w:val="31"/>
        </w:numPr>
        <w:rPr>
          <w:szCs w:val="24"/>
          <w14:ligatures w14:val="standardContextual"/>
        </w:rPr>
      </w:pPr>
      <w:r w:rsidRPr="003F1141">
        <w:rPr>
          <w:szCs w:val="24"/>
          <w14:ligatures w14:val="standardContextual"/>
        </w:rPr>
        <w:t>Atsevišķiem Rail Baltica pamattrases izbūvē nepieciešamajiem materiāliem</w:t>
      </w:r>
      <w:r>
        <w:rPr>
          <w:szCs w:val="24"/>
          <w14:ligatures w14:val="standardContextual"/>
        </w:rPr>
        <w:t xml:space="preserve">, piemēram, cementam, Latvijā nav pieejami CSP indeksi </w:t>
      </w:r>
      <w:r w:rsidRPr="003F1141">
        <w:rPr>
          <w:szCs w:val="24"/>
          <w14:ligatures w14:val="standardContextual"/>
        </w:rPr>
        <w:t>vai</w:t>
      </w:r>
      <w:r>
        <w:rPr>
          <w:szCs w:val="24"/>
          <w14:ligatures w14:val="standardContextual"/>
        </w:rPr>
        <w:t>, ja CSP indekss ir pieejams,</w:t>
      </w:r>
      <w:r w:rsidRPr="003F1141">
        <w:rPr>
          <w:szCs w:val="24"/>
          <w14:ligatures w14:val="standardContextual"/>
        </w:rPr>
        <w:t xml:space="preserve"> tas var ievērojami pieaugt </w:t>
      </w:r>
      <w:r w:rsidR="00056CEA" w:rsidRPr="003F1141">
        <w:rPr>
          <w:szCs w:val="24"/>
          <w14:ligatures w14:val="standardContextual"/>
        </w:rPr>
        <w:t>(piemēram, tēraud</w:t>
      </w:r>
      <w:r w:rsidR="00056CEA">
        <w:rPr>
          <w:szCs w:val="24"/>
          <w14:ligatures w14:val="standardContextual"/>
        </w:rPr>
        <w:t>am</w:t>
      </w:r>
      <w:r w:rsidR="00056CEA" w:rsidRPr="003F1141">
        <w:rPr>
          <w:szCs w:val="24"/>
          <w14:ligatures w14:val="standardContextual"/>
        </w:rPr>
        <w:t>)</w:t>
      </w:r>
      <w:r w:rsidR="00056CEA">
        <w:rPr>
          <w:szCs w:val="24"/>
          <w14:ligatures w14:val="standardContextual"/>
        </w:rPr>
        <w:t xml:space="preserve"> </w:t>
      </w:r>
      <w:r w:rsidRPr="003F1141">
        <w:rPr>
          <w:szCs w:val="24"/>
          <w14:ligatures w14:val="standardContextual"/>
        </w:rPr>
        <w:t xml:space="preserve">būvniecības nozares </w:t>
      </w:r>
      <w:r w:rsidR="00452B1E">
        <w:rPr>
          <w:szCs w:val="24"/>
          <w14:ligatures w14:val="standardContextual"/>
        </w:rPr>
        <w:t>straujas “</w:t>
      </w:r>
      <w:r w:rsidRPr="003F1141">
        <w:rPr>
          <w:szCs w:val="24"/>
          <w14:ligatures w14:val="standardContextual"/>
        </w:rPr>
        <w:t>uzsilšanas</w:t>
      </w:r>
      <w:r w:rsidR="00452B1E">
        <w:rPr>
          <w:szCs w:val="24"/>
          <w14:ligatures w14:val="standardContextual"/>
        </w:rPr>
        <w:t>”</w:t>
      </w:r>
      <w:r w:rsidRPr="003F1141">
        <w:rPr>
          <w:szCs w:val="24"/>
          <w14:ligatures w14:val="standardContextual"/>
        </w:rPr>
        <w:t xml:space="preserve"> </w:t>
      </w:r>
      <w:r w:rsidR="00452B1E">
        <w:rPr>
          <w:szCs w:val="24"/>
          <w14:ligatures w14:val="standardContextual"/>
        </w:rPr>
        <w:t xml:space="preserve">gadījumā, tai skaitā  dēļ ievērojamā </w:t>
      </w:r>
      <w:r w:rsidRPr="003F1141">
        <w:rPr>
          <w:szCs w:val="24"/>
          <w14:ligatures w14:val="standardContextual"/>
        </w:rPr>
        <w:t>Rail Baltica projekt</w:t>
      </w:r>
      <w:r w:rsidR="00452B1E">
        <w:rPr>
          <w:szCs w:val="24"/>
          <w14:ligatures w14:val="standardContextual"/>
        </w:rPr>
        <w:t>a apjoma</w:t>
      </w:r>
      <w:r>
        <w:rPr>
          <w:szCs w:val="24"/>
          <w14:ligatures w14:val="standardContextual"/>
        </w:rPr>
        <w:t>. Ņemot vērā, ka CSP indeksi neatspoguļo reālo materiālu vērtību starptautiskajā tirgū, v</w:t>
      </w:r>
      <w:r w:rsidRPr="003F1141">
        <w:rPr>
          <w:szCs w:val="24"/>
          <w14:ligatures w14:val="standardContextual"/>
        </w:rPr>
        <w:t>ietējā CSP indeksa pielietošanas gadījumā tiktu negatīvi ietekmētas projekta izmaksas, t.sk., valsts budžets.</w:t>
      </w:r>
      <w:r>
        <w:rPr>
          <w:szCs w:val="24"/>
          <w14:ligatures w14:val="standardContextual"/>
        </w:rPr>
        <w:t xml:space="preserve"> </w:t>
      </w:r>
      <w:r w:rsidRPr="00A02799">
        <w:rPr>
          <w:szCs w:val="24"/>
          <w14:ligatures w14:val="standardContextual"/>
        </w:rPr>
        <w:t xml:space="preserve">Piemēram, </w:t>
      </w:r>
      <w:r w:rsidRPr="003F1141">
        <w:rPr>
          <w:szCs w:val="24"/>
        </w:rPr>
        <w:t>MEPS ir pasaulē atzīts neatkarīgs tērauda tirgus datus analīzes veicējs</w:t>
      </w:r>
      <w:r>
        <w:rPr>
          <w:szCs w:val="24"/>
        </w:rPr>
        <w:t xml:space="preserve">, tādējādi </w:t>
      </w:r>
      <w:r w:rsidRPr="003F1141">
        <w:rPr>
          <w:szCs w:val="24"/>
        </w:rPr>
        <w:lastRenderedPageBreak/>
        <w:t>MEPS indeksi sniedz objektīvāku informāciju par tērauda tirgiem, ņemot vērā, ka Rail Baltica vajadzībām tērauda izstrādājumi (piemēram, stiegrojums) tiks iepirkti starptautiskajos tirgos.</w:t>
      </w:r>
      <w:r>
        <w:rPr>
          <w:szCs w:val="24"/>
        </w:rPr>
        <w:t xml:space="preserve"> </w:t>
      </w:r>
    </w:p>
    <w:p w14:paraId="2F4A7BDE" w14:textId="1A3B0386" w:rsidR="00BE6EF5" w:rsidRPr="00BE6EF5" w:rsidRDefault="00EC1B51" w:rsidP="00911792">
      <w:pPr>
        <w:pStyle w:val="ListParagraph"/>
        <w:numPr>
          <w:ilvl w:val="0"/>
          <w:numId w:val="31"/>
        </w:numPr>
        <w:rPr>
          <w:szCs w:val="24"/>
          <w14:ligatures w14:val="standardContextual"/>
        </w:rPr>
      </w:pPr>
      <w:r>
        <w:rPr>
          <w:szCs w:val="24"/>
        </w:rPr>
        <w:t>S</w:t>
      </w:r>
      <w:r w:rsidR="008F5ECD" w:rsidRPr="00DE2099">
        <w:rPr>
          <w:szCs w:val="24"/>
        </w:rPr>
        <w:t>ituācijai pēc krīzēm stabilizējoties</w:t>
      </w:r>
      <w:r>
        <w:rPr>
          <w:szCs w:val="24"/>
        </w:rPr>
        <w:t xml:space="preserve"> un piegādes ķēdēm atbilstoši pielāgojoties</w:t>
      </w:r>
      <w:r w:rsidR="008F5ECD" w:rsidRPr="00DE2099">
        <w:rPr>
          <w:szCs w:val="24"/>
        </w:rPr>
        <w:t xml:space="preserve">, tirgus indeksi </w:t>
      </w:r>
      <w:r w:rsidR="009E3E35">
        <w:rPr>
          <w:szCs w:val="24"/>
        </w:rPr>
        <w:t xml:space="preserve">ir </w:t>
      </w:r>
      <w:r w:rsidR="008F5ECD" w:rsidRPr="00DE2099">
        <w:rPr>
          <w:szCs w:val="24"/>
        </w:rPr>
        <w:t>uzsāk</w:t>
      </w:r>
      <w:r w:rsidR="009E3E35">
        <w:rPr>
          <w:szCs w:val="24"/>
        </w:rPr>
        <w:t>uši</w:t>
      </w:r>
      <w:r w:rsidR="008F5ECD" w:rsidRPr="00DE2099">
        <w:rPr>
          <w:szCs w:val="24"/>
        </w:rPr>
        <w:t xml:space="preserve"> strauju lejupslīdi, kamēr CSP indeksi turpina uzrādīt augstu rādījumu vai pat kāpumu. </w:t>
      </w:r>
      <w:r w:rsidR="00844F47">
        <w:rPr>
          <w:szCs w:val="24"/>
        </w:rPr>
        <w:t>Piemēram,</w:t>
      </w:r>
      <w:r w:rsidR="008F5ECD" w:rsidRPr="00DE2099">
        <w:rPr>
          <w:szCs w:val="24"/>
        </w:rPr>
        <w:t xml:space="preserve"> tērauda tirgus indeks</w:t>
      </w:r>
      <w:r w:rsidR="00844F47">
        <w:rPr>
          <w:szCs w:val="24"/>
        </w:rPr>
        <w:t>s</w:t>
      </w:r>
      <w:r w:rsidR="008F5ECD" w:rsidRPr="00BE6EF5">
        <w:rPr>
          <w:szCs w:val="24"/>
        </w:rPr>
        <w:t xml:space="preserve"> MEPS uzrāda stabilu kritumu tirgus cenās jau kopš 2022.</w:t>
      </w:r>
      <w:r w:rsidR="008E306E">
        <w:rPr>
          <w:szCs w:val="24"/>
        </w:rPr>
        <w:t xml:space="preserve"> </w:t>
      </w:r>
      <w:r w:rsidR="008F5ECD" w:rsidRPr="00BE6EF5">
        <w:rPr>
          <w:szCs w:val="24"/>
        </w:rPr>
        <w:t>gada jūlija, kamēr CSP statistikas indeksi turpina pieaugt. Šādā situācijā pasūtītājs ievērojami virs patiesās ietekmes pārmaksātu indeksācijas maksājumu</w:t>
      </w:r>
      <w:r w:rsidR="00885D83" w:rsidRPr="002858B0">
        <w:rPr>
          <w:szCs w:val="24"/>
        </w:rPr>
        <w:t xml:space="preserve">. </w:t>
      </w:r>
    </w:p>
    <w:p w14:paraId="218AD5F9" w14:textId="25A0A78B" w:rsidR="009E3E35" w:rsidRPr="009E3E35" w:rsidRDefault="00B10D9B" w:rsidP="00056AFE">
      <w:pPr>
        <w:pStyle w:val="ListParagraph"/>
        <w:rPr>
          <w:rFonts w:eastAsiaTheme="minorEastAsia" w:cs="Times New Roman"/>
          <w:szCs w:val="24"/>
          <w:lang w:eastAsia="lv-LV"/>
        </w:rPr>
      </w:pPr>
      <w:r w:rsidRPr="009E3E35">
        <w:rPr>
          <w:rFonts w:eastAsiaTheme="minorEastAsia" w:cs="Times New Roman"/>
          <w:b/>
          <w:bCs/>
          <w:szCs w:val="24"/>
          <w:lang w:eastAsia="lv-LV"/>
        </w:rPr>
        <w:t>Bāzes indeksi</w:t>
      </w:r>
      <w:r w:rsidRPr="002858B0">
        <w:rPr>
          <w:rFonts w:eastAsiaTheme="minorEastAsia" w:cs="Times New Roman"/>
          <w:szCs w:val="24"/>
          <w:lang w:eastAsia="lv-LV"/>
        </w:rPr>
        <w:t xml:space="preserve"> </w:t>
      </w:r>
      <w:r w:rsidR="00BE6EF5">
        <w:rPr>
          <w:rFonts w:eastAsiaTheme="minorEastAsia" w:cs="Times New Roman"/>
          <w:szCs w:val="24"/>
          <w:lang w:eastAsia="lv-LV"/>
        </w:rPr>
        <w:t>ir</w:t>
      </w:r>
      <w:r w:rsidRPr="002858B0">
        <w:rPr>
          <w:rFonts w:eastAsiaTheme="minorEastAsia" w:cs="Times New Roman"/>
          <w:szCs w:val="24"/>
          <w:lang w:eastAsia="lv-LV"/>
        </w:rPr>
        <w:t xml:space="preserve"> noteikti uz piedāvājuma iesniegšanas brīdi </w:t>
      </w:r>
      <w:r w:rsidR="007233BB" w:rsidRPr="002858B0">
        <w:rPr>
          <w:rFonts w:eastAsiaTheme="minorEastAsia" w:cs="Times New Roman"/>
          <w:szCs w:val="24"/>
          <w:lang w:eastAsia="lv-LV"/>
        </w:rPr>
        <w:t xml:space="preserve">– </w:t>
      </w:r>
      <w:r w:rsidR="007233BB" w:rsidRPr="009E3E35">
        <w:rPr>
          <w:rFonts w:eastAsiaTheme="minorEastAsia" w:cs="Times New Roman"/>
          <w:b/>
          <w:bCs/>
          <w:szCs w:val="24"/>
          <w:lang w:eastAsia="lv-LV"/>
        </w:rPr>
        <w:t>2023. gada jūliju</w:t>
      </w:r>
      <w:r w:rsidR="007233BB" w:rsidRPr="002858B0">
        <w:rPr>
          <w:rFonts w:eastAsiaTheme="minorEastAsia" w:cs="Times New Roman"/>
          <w:szCs w:val="24"/>
          <w:lang w:eastAsia="lv-LV"/>
        </w:rPr>
        <w:t xml:space="preserve"> –</w:t>
      </w:r>
      <w:r w:rsidR="007233BB" w:rsidRPr="002858B0">
        <w:rPr>
          <w:rFonts w:eastAsiaTheme="minorEastAsia" w:cs="Times New Roman"/>
          <w:b/>
          <w:bCs/>
          <w:szCs w:val="24"/>
          <w:lang w:eastAsia="lv-LV"/>
        </w:rPr>
        <w:t xml:space="preserve"> </w:t>
      </w:r>
      <w:r w:rsidRPr="002858B0">
        <w:rPr>
          <w:rFonts w:eastAsiaTheme="minorEastAsia" w:cs="Times New Roman"/>
          <w:szCs w:val="24"/>
          <w:lang w:eastAsia="lv-LV"/>
        </w:rPr>
        <w:t xml:space="preserve">iepirkuma ietvaros. </w:t>
      </w:r>
      <w:r w:rsidRPr="009E3E35">
        <w:rPr>
          <w:rFonts w:eastAsiaTheme="minorEastAsia" w:cs="Times New Roman"/>
          <w:b/>
          <w:bCs/>
          <w:szCs w:val="24"/>
          <w:lang w:eastAsia="lv-LV"/>
        </w:rPr>
        <w:t>Indeksācijas rezultātā veikto darbu cena var gan pieaugt, gan samazināties, atkarībā no indeksu svārstībām pret bāzes indeksiem</w:t>
      </w:r>
      <w:r w:rsidRPr="002858B0">
        <w:rPr>
          <w:rFonts w:eastAsiaTheme="minorEastAsia" w:cs="Times New Roman"/>
          <w:szCs w:val="24"/>
          <w:lang w:eastAsia="lv-LV"/>
        </w:rPr>
        <w:t xml:space="preserve">. </w:t>
      </w:r>
    </w:p>
    <w:p w14:paraId="2548BCF0" w14:textId="5CEDB92B" w:rsidR="00B10D9B" w:rsidRPr="00E147C1" w:rsidRDefault="31ACFF76" w:rsidP="00911792">
      <w:pPr>
        <w:pStyle w:val="ListParagraph"/>
        <w:numPr>
          <w:ilvl w:val="0"/>
          <w:numId w:val="31"/>
        </w:numPr>
      </w:pPr>
      <w:r w:rsidRPr="0595A900">
        <w:rPr>
          <w:rFonts w:eastAsiaTheme="minorEastAsia" w:cs="Times New Roman"/>
          <w:lang w:eastAsia="lv-LV"/>
        </w:rPr>
        <w:t xml:space="preserve">Attiecībā uz indeksāciju, Uzņēmējam ir  jāiesniedz atsevišķs pieteikums reizi ceturksnī, kad indeksi ir oficiāli pieejami, par tajā paveiktajiem darbiem un pēdējā ceturkšņa mēneša starpposma maksājuma pieteikums ir apstiprināts no Inženiera puses. Indeksācijas aplēse tiek iekļauta CEF pieteikumu aprēķinos un tā ir attiecināma no CEF finanšu līdzekļiem, jo tās ir tiešās izmaksas, kas noteiktas publiskā iepirkuma procedūras rezultātā. Atbilstoši </w:t>
      </w:r>
      <w:r w:rsidR="53B8517C" w:rsidRPr="0595A900">
        <w:rPr>
          <w:rFonts w:eastAsiaTheme="minorEastAsia" w:cs="Times New Roman"/>
          <w:lang w:eastAsia="lv-LV"/>
        </w:rPr>
        <w:t>RBR</w:t>
      </w:r>
      <w:r w:rsidRPr="0595A900">
        <w:rPr>
          <w:rFonts w:eastAsiaTheme="minorEastAsia" w:cs="Times New Roman"/>
          <w:lang w:eastAsia="lv-LV"/>
        </w:rPr>
        <w:t xml:space="preserve"> projekta kapitālizmaksu noteikšanas metodoloģijai, projekta kapitālizmaksu aprēķinā ietvertais indeksācijas apjoms ir noteikts vidēji 6%</w:t>
      </w:r>
      <w:r w:rsidR="5B5566B1" w:rsidRPr="0595A900">
        <w:rPr>
          <w:rFonts w:eastAsiaTheme="minorEastAsia" w:cs="Times New Roman"/>
          <w:lang w:eastAsia="lv-LV"/>
        </w:rPr>
        <w:t xml:space="preserve"> </w:t>
      </w:r>
      <w:r w:rsidRPr="0595A900">
        <w:rPr>
          <w:rFonts w:eastAsiaTheme="minorEastAsia" w:cs="Times New Roman"/>
          <w:lang w:eastAsia="lv-LV"/>
        </w:rPr>
        <w:t>gadā, t.sk., ņemot vērā paredzēto darbu uzsākšanas un pabeigšanas datumus (darbu ilgumu) saskaņā ar Rail Baltica projekta laika grafiku (</w:t>
      </w:r>
      <w:r w:rsidRPr="0595A900">
        <w:rPr>
          <w:rFonts w:eastAsiaTheme="minorEastAsia" w:cs="Times New Roman"/>
          <w:i/>
          <w:iCs/>
          <w:lang w:eastAsia="lv-LV"/>
        </w:rPr>
        <w:t>Delivery Programme 2030</w:t>
      </w:r>
      <w:r w:rsidRPr="0595A900">
        <w:rPr>
          <w:rFonts w:eastAsiaTheme="minorEastAsia" w:cs="Times New Roman"/>
          <w:lang w:eastAsia="lv-LV"/>
        </w:rPr>
        <w:t>). Gadījumos, ja līguma izpildes laikā iestājas liela mēroga ārēji riski, kuru ietekmē indeksi ievērojami pieaug, potenciāli izmaksu segšanai var būt nepieciešami valsts budžeta līdzekļi.</w:t>
      </w:r>
    </w:p>
    <w:p w14:paraId="6D22E0B8" w14:textId="77777777" w:rsidR="00692ACE" w:rsidRPr="00660EB3" w:rsidRDefault="00692ACE" w:rsidP="00911792">
      <w:pPr>
        <w:pStyle w:val="ListParagraph"/>
        <w:numPr>
          <w:ilvl w:val="0"/>
          <w:numId w:val="25"/>
        </w:numPr>
        <w:tabs>
          <w:tab w:val="left" w:pos="284"/>
        </w:tabs>
        <w:spacing w:before="120" w:after="120"/>
        <w:ind w:left="357" w:hanging="357"/>
        <w:contextualSpacing w:val="0"/>
        <w:jc w:val="center"/>
        <w:rPr>
          <w:rFonts w:eastAsiaTheme="minorEastAsia" w:cs="Times New Roman"/>
          <w:b/>
          <w:bCs/>
          <w:szCs w:val="24"/>
          <w:lang w:eastAsia="lv-LV"/>
        </w:rPr>
      </w:pPr>
      <w:r w:rsidRPr="00660EB3">
        <w:rPr>
          <w:rFonts w:eastAsiaTheme="minorEastAsia" w:cs="Times New Roman"/>
          <w:b/>
          <w:bCs/>
          <w:szCs w:val="24"/>
          <w:lang w:eastAsia="lv-LV"/>
        </w:rPr>
        <w:t>Līguma kārtas</w:t>
      </w:r>
    </w:p>
    <w:p w14:paraId="6E13D991" w14:textId="0D86D259" w:rsidR="00692ACE" w:rsidRPr="00660EB3" w:rsidRDefault="00692ACE"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 xml:space="preserve">Ņemot vērā būvdarbu priekšnosacījumu pieejamību, līgums ir sadalīts </w:t>
      </w:r>
      <w:r w:rsidR="00E51B6A">
        <w:rPr>
          <w:rFonts w:eastAsiaTheme="minorEastAsia" w:cs="Times New Roman"/>
          <w:sz w:val="24"/>
          <w:szCs w:val="24"/>
          <w:lang w:eastAsia="lv-LV"/>
        </w:rPr>
        <w:t>četrās</w:t>
      </w:r>
      <w:r w:rsidRPr="00660EB3">
        <w:rPr>
          <w:rFonts w:eastAsiaTheme="minorEastAsia" w:cs="Times New Roman"/>
          <w:sz w:val="24"/>
          <w:szCs w:val="24"/>
          <w:lang w:eastAsia="lv-LV"/>
        </w:rPr>
        <w:t xml:space="preserve"> kārtās. Kārta I un </w:t>
      </w:r>
      <w:r w:rsidR="009F3C18">
        <w:rPr>
          <w:rFonts w:eastAsiaTheme="minorEastAsia" w:cs="Times New Roman"/>
          <w:sz w:val="24"/>
          <w:szCs w:val="24"/>
          <w:lang w:eastAsia="lv-LV"/>
        </w:rPr>
        <w:t>k</w:t>
      </w:r>
      <w:r w:rsidRPr="00660EB3">
        <w:rPr>
          <w:rFonts w:eastAsiaTheme="minorEastAsia" w:cs="Times New Roman"/>
          <w:sz w:val="24"/>
          <w:szCs w:val="24"/>
          <w:lang w:eastAsia="lv-LV"/>
        </w:rPr>
        <w:t>ārta II ir sadalīta divās daļās, ietverot darbus, par kuriem slēdzot līgumu tiek uzņemtas saistības (</w:t>
      </w:r>
      <w:r w:rsidR="008E306E" w:rsidRPr="003F1977">
        <w:rPr>
          <w:rFonts w:eastAsiaTheme="minorEastAsia" w:cs="Times New Roman"/>
          <w:sz w:val="24"/>
          <w:szCs w:val="24"/>
          <w:lang w:eastAsia="lv-LV"/>
        </w:rPr>
        <w:t>no angļu val. –</w:t>
      </w:r>
      <w:r w:rsidR="008E306E">
        <w:rPr>
          <w:rFonts w:eastAsiaTheme="minorEastAsia" w:cs="Times New Roman"/>
          <w:szCs w:val="24"/>
          <w:lang w:eastAsia="lv-LV"/>
        </w:rPr>
        <w:t xml:space="preserve"> </w:t>
      </w:r>
      <w:r w:rsidRPr="009E3E35">
        <w:rPr>
          <w:rFonts w:eastAsiaTheme="minorEastAsia" w:cs="Times New Roman"/>
          <w:i/>
          <w:iCs/>
          <w:sz w:val="24"/>
          <w:szCs w:val="24"/>
          <w:lang w:eastAsia="lv-LV"/>
        </w:rPr>
        <w:t>committed</w:t>
      </w:r>
      <w:r w:rsidRPr="00660EB3">
        <w:rPr>
          <w:rFonts w:eastAsiaTheme="minorEastAsia" w:cs="Times New Roman"/>
          <w:sz w:val="24"/>
          <w:szCs w:val="24"/>
          <w:lang w:eastAsia="lv-LV"/>
        </w:rPr>
        <w:t>), kā arī zemāk minētos atsevišķi pasūtāmos (</w:t>
      </w:r>
      <w:r w:rsidR="008E306E" w:rsidRPr="00F95979">
        <w:rPr>
          <w:rFonts w:eastAsiaTheme="minorEastAsia" w:cs="Times New Roman"/>
          <w:sz w:val="24"/>
          <w:szCs w:val="24"/>
          <w:lang w:eastAsia="lv-LV"/>
        </w:rPr>
        <w:t>no angļu val. –</w:t>
      </w:r>
      <w:r w:rsidR="008E306E">
        <w:rPr>
          <w:rFonts w:eastAsiaTheme="minorEastAsia" w:cs="Times New Roman"/>
          <w:szCs w:val="24"/>
          <w:lang w:eastAsia="lv-LV"/>
        </w:rPr>
        <w:t xml:space="preserve"> </w:t>
      </w:r>
      <w:r w:rsidRPr="009E3E35">
        <w:rPr>
          <w:rFonts w:eastAsiaTheme="minorEastAsia" w:cs="Times New Roman"/>
          <w:i/>
          <w:iCs/>
          <w:sz w:val="24"/>
          <w:szCs w:val="24"/>
          <w:lang w:eastAsia="lv-LV"/>
        </w:rPr>
        <w:t>optional</w:t>
      </w:r>
      <w:r w:rsidRPr="00660EB3">
        <w:rPr>
          <w:rFonts w:eastAsiaTheme="minorEastAsia" w:cs="Times New Roman"/>
          <w:sz w:val="24"/>
          <w:szCs w:val="24"/>
          <w:lang w:eastAsia="lv-LV"/>
        </w:rPr>
        <w:t xml:space="preserve">) darbus, bet </w:t>
      </w:r>
      <w:r w:rsidR="009F3C18">
        <w:rPr>
          <w:rFonts w:eastAsiaTheme="minorEastAsia" w:cs="Times New Roman"/>
          <w:sz w:val="24"/>
          <w:szCs w:val="24"/>
          <w:lang w:eastAsia="lv-LV"/>
        </w:rPr>
        <w:t>k</w:t>
      </w:r>
      <w:r w:rsidRPr="00660EB3">
        <w:rPr>
          <w:rFonts w:eastAsiaTheme="minorEastAsia" w:cs="Times New Roman"/>
          <w:sz w:val="24"/>
          <w:szCs w:val="24"/>
          <w:lang w:eastAsia="lv-LV"/>
        </w:rPr>
        <w:t xml:space="preserve">ārta III un </w:t>
      </w:r>
      <w:r w:rsidR="009F3C18">
        <w:rPr>
          <w:rFonts w:eastAsiaTheme="minorEastAsia" w:cs="Times New Roman"/>
          <w:sz w:val="24"/>
          <w:szCs w:val="24"/>
          <w:lang w:eastAsia="lv-LV"/>
        </w:rPr>
        <w:t>k</w:t>
      </w:r>
      <w:r w:rsidRPr="00660EB3">
        <w:rPr>
          <w:rFonts w:eastAsiaTheme="minorEastAsia" w:cs="Times New Roman"/>
          <w:sz w:val="24"/>
          <w:szCs w:val="24"/>
          <w:lang w:eastAsia="lv-LV"/>
        </w:rPr>
        <w:t>ārta IV satur tikai atsevišķi pasūtāmos darbus (</w:t>
      </w:r>
      <w:r w:rsidRPr="009E3E35">
        <w:rPr>
          <w:rFonts w:eastAsiaTheme="minorEastAsia" w:cs="Times New Roman"/>
          <w:i/>
          <w:iCs/>
          <w:sz w:val="24"/>
          <w:szCs w:val="24"/>
          <w:lang w:eastAsia="lv-LV"/>
        </w:rPr>
        <w:t>optional</w:t>
      </w:r>
      <w:r w:rsidRPr="00660EB3">
        <w:rPr>
          <w:rFonts w:eastAsiaTheme="minorEastAsia" w:cs="Times New Roman"/>
          <w:sz w:val="24"/>
          <w:szCs w:val="24"/>
          <w:lang w:eastAsia="lv-LV"/>
        </w:rPr>
        <w:t>):</w:t>
      </w:r>
    </w:p>
    <w:p w14:paraId="0A8E9115" w14:textId="648A9EC2" w:rsidR="00692ACE" w:rsidRPr="006A5E8A" w:rsidRDefault="00692ACE" w:rsidP="00911792">
      <w:pPr>
        <w:pStyle w:val="ListParagraph"/>
        <w:numPr>
          <w:ilvl w:val="0"/>
          <w:numId w:val="23"/>
        </w:numPr>
        <w:rPr>
          <w:rFonts w:eastAsiaTheme="minorEastAsia" w:cs="Times New Roman"/>
          <w:szCs w:val="24"/>
          <w:lang w:eastAsia="lv-LV"/>
        </w:rPr>
      </w:pPr>
      <w:r w:rsidRPr="006A5E8A">
        <w:rPr>
          <w:rFonts w:eastAsiaTheme="minorEastAsia" w:cs="Times New Roman"/>
          <w:b/>
          <w:bCs/>
          <w:szCs w:val="24"/>
          <w:lang w:eastAsia="lv-LV"/>
        </w:rPr>
        <w:t>Darbi par kuriem tiek uzņemtas saistības (</w:t>
      </w:r>
      <w:r w:rsidRPr="006A5E8A">
        <w:rPr>
          <w:rFonts w:eastAsiaTheme="minorEastAsia" w:cs="Times New Roman"/>
          <w:b/>
          <w:bCs/>
          <w:i/>
          <w:iCs/>
          <w:szCs w:val="24"/>
          <w:lang w:eastAsia="lv-LV"/>
        </w:rPr>
        <w:t>committed</w:t>
      </w:r>
      <w:r w:rsidRPr="006A5E8A">
        <w:rPr>
          <w:rFonts w:eastAsiaTheme="minorEastAsia" w:cs="Times New Roman"/>
          <w:b/>
          <w:bCs/>
          <w:szCs w:val="24"/>
          <w:lang w:eastAsia="lv-LV"/>
        </w:rPr>
        <w:t>)</w:t>
      </w:r>
      <w:r w:rsidRPr="006A5E8A">
        <w:rPr>
          <w:rFonts w:eastAsiaTheme="minorEastAsia" w:cs="Times New Roman"/>
          <w:szCs w:val="24"/>
          <w:lang w:eastAsia="lv-LV"/>
        </w:rPr>
        <w:t xml:space="preserve"> – garantēti būvdarbi un tiem nepieciešamie sagatavošanās darbi atsevišķu būvatļauju ietvaros, kas tiks uzticētas Uzņēmējam noslēdzot līgumu:</w:t>
      </w:r>
    </w:p>
    <w:p w14:paraId="25F6A15A" w14:textId="08405E74" w:rsidR="006A5E8A" w:rsidRDefault="00692ACE" w:rsidP="00911792">
      <w:pPr>
        <w:numPr>
          <w:ilvl w:val="1"/>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Kārtas I ietvaros </w:t>
      </w:r>
      <w:r w:rsidRPr="00660EB3">
        <w:rPr>
          <w:rFonts w:eastAsiaTheme="minorEastAsia" w:cs="Times New Roman"/>
          <w:sz w:val="24"/>
          <w:szCs w:val="24"/>
          <w:lang w:eastAsia="lv-LV"/>
        </w:rPr>
        <w:t xml:space="preserve">– galvenās komandas mobilizēšana un galvenā ofisa ierīkošana; būvprojektu izskatīšanas un būvdarbu sagatavošanas fāzes (turpmāk – DRCP) vispārīgā daļa: vispārīgo vadības ziņojumu sagatavošana; galvenās komandas un galvenā ofisa izdevumu segšana 12 mēnešu apjomā; DRCP </w:t>
      </w:r>
      <w:r w:rsidR="00E51B6A">
        <w:rPr>
          <w:rFonts w:eastAsiaTheme="minorEastAsia" w:cs="Times New Roman"/>
          <w:sz w:val="24"/>
          <w:szCs w:val="24"/>
          <w:lang w:eastAsia="lv-LV"/>
        </w:rPr>
        <w:t>četrām</w:t>
      </w:r>
      <w:r w:rsidRPr="00660EB3">
        <w:rPr>
          <w:rFonts w:eastAsiaTheme="minorEastAsia" w:cs="Times New Roman"/>
          <w:sz w:val="24"/>
          <w:szCs w:val="24"/>
          <w:lang w:eastAsia="lv-LV"/>
        </w:rPr>
        <w:t xml:space="preserve"> būvatļaujām. </w:t>
      </w:r>
    </w:p>
    <w:p w14:paraId="1A607A6B" w14:textId="28742B82" w:rsidR="00692ACE" w:rsidRPr="00660EB3" w:rsidRDefault="448980D4" w:rsidP="638FD9FE">
      <w:pPr>
        <w:spacing w:after="0" w:line="240" w:lineRule="auto"/>
        <w:ind w:left="1080"/>
        <w:contextualSpacing/>
        <w:jc w:val="both"/>
        <w:rPr>
          <w:rFonts w:eastAsiaTheme="minorEastAsia" w:cs="Times New Roman"/>
          <w:sz w:val="24"/>
          <w:szCs w:val="24"/>
          <w:lang w:eastAsia="lv-LV"/>
        </w:rPr>
      </w:pPr>
      <w:r w:rsidRPr="638FD9FE">
        <w:rPr>
          <w:rFonts w:eastAsiaTheme="minorEastAsia" w:cs="Times New Roman"/>
          <w:sz w:val="24"/>
          <w:szCs w:val="24"/>
          <w:lang w:eastAsia="lv-LV"/>
        </w:rPr>
        <w:t>Šo</w:t>
      </w:r>
      <w:r w:rsidRPr="638FD9FE">
        <w:rPr>
          <w:rFonts w:eastAsiaTheme="minorEastAsia" w:cs="Times New Roman"/>
          <w:b/>
          <w:bCs/>
          <w:sz w:val="24"/>
          <w:szCs w:val="24"/>
          <w:lang w:eastAsia="lv-LV"/>
        </w:rPr>
        <w:t xml:space="preserve"> </w:t>
      </w:r>
      <w:r w:rsidR="34CCA8EB" w:rsidRPr="638FD9FE">
        <w:rPr>
          <w:rFonts w:eastAsiaTheme="minorEastAsia" w:cs="Times New Roman"/>
          <w:sz w:val="24"/>
          <w:szCs w:val="24"/>
          <w:lang w:eastAsia="lv-LV"/>
        </w:rPr>
        <w:t xml:space="preserve">darbu kopējās izmaksas tiek lēstas 10,8 miljonu </w:t>
      </w:r>
      <w:r w:rsidR="002C5510" w:rsidRPr="002C5510">
        <w:rPr>
          <w:rFonts w:eastAsiaTheme="minorEastAsia" w:cs="Times New Roman"/>
          <w:i/>
          <w:sz w:val="24"/>
          <w:szCs w:val="24"/>
          <w:lang w:eastAsia="lv-LV"/>
        </w:rPr>
        <w:t>euro</w:t>
      </w:r>
      <w:r w:rsidR="34CCA8EB" w:rsidRPr="638FD9FE">
        <w:rPr>
          <w:rFonts w:eastAsiaTheme="minorEastAsia" w:cs="Times New Roman"/>
          <w:sz w:val="24"/>
          <w:szCs w:val="24"/>
          <w:lang w:eastAsia="lv-LV"/>
        </w:rPr>
        <w:t xml:space="preserve"> apmērā un tās paredzēts segt no CEF</w:t>
      </w:r>
      <w:r w:rsidRPr="638FD9FE">
        <w:rPr>
          <w:rFonts w:eastAsiaTheme="minorEastAsia" w:cs="Times New Roman"/>
          <w:sz w:val="24"/>
          <w:szCs w:val="24"/>
          <w:lang w:eastAsia="lv-LV"/>
        </w:rPr>
        <w:t xml:space="preserve"> </w:t>
      </w:r>
      <w:r w:rsidR="34CCA8EB" w:rsidRPr="638FD9FE">
        <w:rPr>
          <w:rFonts w:eastAsiaTheme="minorEastAsia" w:cs="Times New Roman"/>
          <w:sz w:val="24"/>
          <w:szCs w:val="24"/>
          <w:lang w:eastAsia="lv-LV"/>
        </w:rPr>
        <w:t>8 un CEF</w:t>
      </w:r>
      <w:r w:rsidRPr="638FD9FE">
        <w:rPr>
          <w:rFonts w:eastAsiaTheme="minorEastAsia" w:cs="Times New Roman"/>
          <w:sz w:val="24"/>
          <w:szCs w:val="24"/>
          <w:lang w:eastAsia="lv-LV"/>
        </w:rPr>
        <w:t xml:space="preserve"> </w:t>
      </w:r>
      <w:r w:rsidR="34CCA8EB" w:rsidRPr="638FD9FE">
        <w:rPr>
          <w:rFonts w:eastAsiaTheme="minorEastAsia" w:cs="Times New Roman"/>
          <w:sz w:val="24"/>
          <w:szCs w:val="24"/>
          <w:lang w:eastAsia="lv-LV"/>
        </w:rPr>
        <w:t>9 pieejamā finansējuma.</w:t>
      </w:r>
    </w:p>
    <w:p w14:paraId="742C6A03" w14:textId="77777777" w:rsidR="006A5E8A" w:rsidRDefault="00692ACE" w:rsidP="00911792">
      <w:pPr>
        <w:numPr>
          <w:ilvl w:val="1"/>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Kārtas II ietvaros </w:t>
      </w:r>
      <w:r w:rsidRPr="00660EB3">
        <w:rPr>
          <w:rFonts w:eastAsiaTheme="minorEastAsia" w:cs="Times New Roman"/>
          <w:sz w:val="24"/>
          <w:szCs w:val="24"/>
          <w:lang w:eastAsia="lv-LV"/>
        </w:rPr>
        <w:t xml:space="preserve">– dienvidu reģionālās komandas mobilizēšana; būvdarbi (dzelzceļa apakšbūve) četrām būvatļaujām dienvidu daļā; dienvidu reģionālās komandas izdevumu segšana 12 mēnešiem. </w:t>
      </w:r>
    </w:p>
    <w:p w14:paraId="29BF6ACD" w14:textId="0BB5E9E1" w:rsidR="00842E5B" w:rsidRPr="006A5E8A" w:rsidRDefault="006A5E8A" w:rsidP="00056AFE">
      <w:pPr>
        <w:spacing w:after="0" w:line="240" w:lineRule="auto"/>
        <w:ind w:left="1080"/>
        <w:contextualSpacing/>
        <w:jc w:val="both"/>
        <w:rPr>
          <w:rFonts w:eastAsiaTheme="minorEastAsia" w:cs="Times New Roman"/>
          <w:sz w:val="24"/>
          <w:szCs w:val="24"/>
          <w:lang w:eastAsia="lv-LV"/>
        </w:rPr>
      </w:pPr>
      <w:r>
        <w:rPr>
          <w:rFonts w:eastAsiaTheme="minorEastAsia" w:cs="Times New Roman"/>
          <w:sz w:val="24"/>
          <w:szCs w:val="24"/>
          <w:lang w:eastAsia="lv-LV"/>
        </w:rPr>
        <w:t>Šo plānoto darbu</w:t>
      </w:r>
      <w:r w:rsidR="00692ACE" w:rsidRPr="006A5E8A">
        <w:rPr>
          <w:rFonts w:eastAsiaTheme="minorEastAsia" w:cs="Times New Roman"/>
          <w:sz w:val="24"/>
          <w:szCs w:val="24"/>
          <w:lang w:eastAsia="lv-LV"/>
        </w:rPr>
        <w:t xml:space="preserve"> kopējās izmaksas tiek lēstas </w:t>
      </w:r>
      <w:r w:rsidR="00692ACE" w:rsidRPr="00E6369D">
        <w:rPr>
          <w:rFonts w:eastAsiaTheme="minorEastAsia" w:cs="Times New Roman"/>
          <w:sz w:val="24"/>
          <w:szCs w:val="24"/>
          <w:lang w:eastAsia="lv-LV"/>
        </w:rPr>
        <w:t xml:space="preserve">113,2 miljonu </w:t>
      </w:r>
      <w:r w:rsidR="002C5510" w:rsidRPr="002C5510">
        <w:rPr>
          <w:rFonts w:eastAsiaTheme="minorEastAsia" w:cs="Times New Roman"/>
          <w:i/>
          <w:sz w:val="24"/>
          <w:szCs w:val="24"/>
          <w:lang w:eastAsia="lv-LV"/>
        </w:rPr>
        <w:t>euro</w:t>
      </w:r>
      <w:r w:rsidR="00692ACE" w:rsidRPr="00E6369D">
        <w:rPr>
          <w:rFonts w:eastAsiaTheme="minorEastAsia" w:cs="Times New Roman"/>
          <w:sz w:val="24"/>
          <w:szCs w:val="24"/>
          <w:lang w:eastAsia="lv-LV"/>
        </w:rPr>
        <w:t xml:space="preserve"> apmērā</w:t>
      </w:r>
      <w:r w:rsidR="00692ACE" w:rsidRPr="006A5E8A">
        <w:rPr>
          <w:rFonts w:eastAsiaTheme="minorEastAsia" w:cs="Times New Roman"/>
          <w:sz w:val="24"/>
          <w:szCs w:val="24"/>
          <w:lang w:eastAsia="lv-LV"/>
        </w:rPr>
        <w:t xml:space="preserve"> un tās paredzēts segt no CEF</w:t>
      </w:r>
      <w:r w:rsidRPr="006A5E8A">
        <w:rPr>
          <w:rFonts w:eastAsiaTheme="minorEastAsia" w:cs="Times New Roman"/>
          <w:sz w:val="24"/>
          <w:szCs w:val="24"/>
          <w:lang w:eastAsia="lv-LV"/>
        </w:rPr>
        <w:t xml:space="preserve"> </w:t>
      </w:r>
      <w:r w:rsidR="00692ACE" w:rsidRPr="006A5E8A">
        <w:rPr>
          <w:rFonts w:eastAsiaTheme="minorEastAsia" w:cs="Times New Roman"/>
          <w:sz w:val="24"/>
          <w:szCs w:val="24"/>
          <w:lang w:eastAsia="lv-LV"/>
        </w:rPr>
        <w:t>8 un CEF</w:t>
      </w:r>
      <w:r w:rsidRPr="006A5E8A">
        <w:rPr>
          <w:rFonts w:eastAsiaTheme="minorEastAsia" w:cs="Times New Roman"/>
          <w:sz w:val="24"/>
          <w:szCs w:val="24"/>
          <w:lang w:eastAsia="lv-LV"/>
        </w:rPr>
        <w:t xml:space="preserve"> </w:t>
      </w:r>
      <w:r w:rsidR="00692ACE" w:rsidRPr="006A5E8A">
        <w:rPr>
          <w:rFonts w:eastAsiaTheme="minorEastAsia" w:cs="Times New Roman"/>
          <w:sz w:val="24"/>
          <w:szCs w:val="24"/>
          <w:lang w:eastAsia="lv-LV"/>
        </w:rPr>
        <w:t>9 pieejamā finansējuma.</w:t>
      </w:r>
      <w:r w:rsidR="00D40E99" w:rsidRPr="006A5E8A">
        <w:rPr>
          <w:rFonts w:eastAsiaTheme="minorEastAsia" w:cs="Times New Roman"/>
          <w:b/>
          <w:bCs/>
          <w:color w:val="FF0000"/>
          <w:sz w:val="24"/>
          <w:szCs w:val="24"/>
          <w:lang w:eastAsia="lv-LV"/>
        </w:rPr>
        <w:t xml:space="preserve"> </w:t>
      </w:r>
      <w:r w:rsidR="00792164" w:rsidRPr="006A5E8A">
        <w:rPr>
          <w:rFonts w:eastAsiaTheme="minorEastAsia" w:cs="Times New Roman"/>
          <w:sz w:val="24"/>
          <w:szCs w:val="24"/>
          <w:lang w:eastAsia="lv-LV"/>
        </w:rPr>
        <w:t>D</w:t>
      </w:r>
      <w:r w:rsidR="00B61C90" w:rsidRPr="006A5E8A">
        <w:rPr>
          <w:rFonts w:eastAsiaTheme="minorEastAsia" w:cs="Times New Roman"/>
          <w:sz w:val="24"/>
          <w:szCs w:val="24"/>
          <w:lang w:eastAsia="lv-LV"/>
        </w:rPr>
        <w:t>etalizēt</w:t>
      </w:r>
      <w:r w:rsidR="00792164" w:rsidRPr="006A5E8A">
        <w:rPr>
          <w:rFonts w:eastAsiaTheme="minorEastAsia" w:cs="Times New Roman"/>
          <w:sz w:val="24"/>
          <w:szCs w:val="24"/>
          <w:lang w:eastAsia="lv-LV"/>
        </w:rPr>
        <w:t>s</w:t>
      </w:r>
      <w:r w:rsidR="00B61C90" w:rsidRPr="006A5E8A">
        <w:rPr>
          <w:rFonts w:eastAsiaTheme="minorEastAsia" w:cs="Times New Roman"/>
          <w:sz w:val="24"/>
          <w:szCs w:val="24"/>
          <w:lang w:eastAsia="lv-LV"/>
        </w:rPr>
        <w:t xml:space="preserve"> izmaksu pārskat</w:t>
      </w:r>
      <w:r w:rsidR="00792164" w:rsidRPr="006A5E8A">
        <w:rPr>
          <w:rFonts w:eastAsiaTheme="minorEastAsia" w:cs="Times New Roman"/>
          <w:sz w:val="24"/>
          <w:szCs w:val="24"/>
          <w:lang w:eastAsia="lv-LV"/>
        </w:rPr>
        <w:t>s</w:t>
      </w:r>
      <w:r w:rsidR="00B61C90" w:rsidRPr="006A5E8A">
        <w:rPr>
          <w:rFonts w:eastAsiaTheme="minorEastAsia" w:cs="Times New Roman"/>
          <w:sz w:val="24"/>
          <w:szCs w:val="24"/>
          <w:lang w:eastAsia="lv-LV"/>
        </w:rPr>
        <w:t xml:space="preserve"> </w:t>
      </w:r>
      <w:r w:rsidR="00792164" w:rsidRPr="006A5E8A">
        <w:rPr>
          <w:rFonts w:eastAsiaTheme="minorEastAsia" w:cs="Times New Roman"/>
          <w:sz w:val="24"/>
          <w:szCs w:val="24"/>
          <w:lang w:eastAsia="lv-LV"/>
        </w:rPr>
        <w:t xml:space="preserve">atspoguļots </w:t>
      </w:r>
      <w:r w:rsidR="00792164" w:rsidRPr="00050BD7">
        <w:rPr>
          <w:rFonts w:eastAsiaTheme="minorEastAsia" w:cs="Times New Roman"/>
          <w:sz w:val="24"/>
          <w:szCs w:val="24"/>
          <w:lang w:eastAsia="lv-LV"/>
        </w:rPr>
        <w:t xml:space="preserve">tabulās Nr. </w:t>
      </w:r>
      <w:r w:rsidR="000302E7">
        <w:rPr>
          <w:rFonts w:eastAsiaTheme="minorEastAsia" w:cs="Times New Roman"/>
          <w:sz w:val="24"/>
          <w:szCs w:val="24"/>
          <w:lang w:eastAsia="lv-LV"/>
        </w:rPr>
        <w:t>4</w:t>
      </w:r>
      <w:r w:rsidR="00792164" w:rsidRPr="00050BD7">
        <w:rPr>
          <w:rFonts w:eastAsiaTheme="minorEastAsia" w:cs="Times New Roman"/>
          <w:sz w:val="24"/>
          <w:szCs w:val="24"/>
          <w:lang w:eastAsia="lv-LV"/>
        </w:rPr>
        <w:t>-</w:t>
      </w:r>
      <w:r w:rsidR="000302E7">
        <w:rPr>
          <w:rFonts w:eastAsiaTheme="minorEastAsia" w:cs="Times New Roman"/>
          <w:sz w:val="24"/>
          <w:szCs w:val="24"/>
          <w:lang w:eastAsia="lv-LV"/>
        </w:rPr>
        <w:t>7</w:t>
      </w:r>
      <w:r w:rsidR="00792164" w:rsidRPr="00050BD7">
        <w:rPr>
          <w:rFonts w:eastAsiaTheme="minorEastAsia" w:cs="Times New Roman"/>
          <w:sz w:val="24"/>
          <w:szCs w:val="24"/>
          <w:lang w:eastAsia="lv-LV"/>
        </w:rPr>
        <w:t>.</w:t>
      </w:r>
      <w:r w:rsidR="00792164" w:rsidRPr="006A5E8A">
        <w:rPr>
          <w:rFonts w:eastAsiaTheme="minorEastAsia" w:cs="Times New Roman"/>
          <w:b/>
          <w:bCs/>
          <w:sz w:val="24"/>
          <w:szCs w:val="24"/>
          <w:lang w:eastAsia="lv-LV"/>
        </w:rPr>
        <w:t xml:space="preserve"> </w:t>
      </w:r>
    </w:p>
    <w:p w14:paraId="2D3149DC" w14:textId="6CE0AC5B" w:rsidR="00842E5B" w:rsidRDefault="5B23A3B6" w:rsidP="00056AFE">
      <w:pPr>
        <w:spacing w:after="0" w:line="240" w:lineRule="auto"/>
        <w:contextualSpacing/>
        <w:jc w:val="both"/>
        <w:rPr>
          <w:rFonts w:cs="Times New Roman"/>
          <w:sz w:val="24"/>
          <w:szCs w:val="24"/>
        </w:rPr>
      </w:pPr>
      <w:r w:rsidRPr="6075987E">
        <w:rPr>
          <w:rFonts w:cs="Times New Roman"/>
          <w:b/>
          <w:bCs/>
          <w:sz w:val="24"/>
          <w:szCs w:val="24"/>
        </w:rPr>
        <w:t>Kopā</w:t>
      </w:r>
      <w:r w:rsidRPr="6075987E">
        <w:rPr>
          <w:rFonts w:cs="Times New Roman"/>
          <w:sz w:val="24"/>
          <w:szCs w:val="24"/>
        </w:rPr>
        <w:t xml:space="preserve">: Aptuveni 124 miljoni </w:t>
      </w:r>
      <w:r w:rsidR="002C5510" w:rsidRPr="002C5510">
        <w:rPr>
          <w:rFonts w:cs="Times New Roman"/>
          <w:i/>
          <w:sz w:val="24"/>
          <w:szCs w:val="24"/>
        </w:rPr>
        <w:t>euro</w:t>
      </w:r>
      <w:r w:rsidRPr="6075987E">
        <w:rPr>
          <w:rFonts w:cs="Times New Roman"/>
          <w:sz w:val="24"/>
          <w:szCs w:val="24"/>
        </w:rPr>
        <w:t xml:space="preserve"> no kuriem aptuveni 105,4 miljoni </w:t>
      </w:r>
      <w:r w:rsidR="002C5510" w:rsidRPr="002C5510">
        <w:rPr>
          <w:rFonts w:cs="Times New Roman"/>
          <w:i/>
          <w:sz w:val="24"/>
          <w:szCs w:val="24"/>
        </w:rPr>
        <w:t>euro</w:t>
      </w:r>
      <w:r w:rsidRPr="6075987E">
        <w:rPr>
          <w:rFonts w:cs="Times New Roman"/>
          <w:sz w:val="24"/>
          <w:szCs w:val="24"/>
        </w:rPr>
        <w:t xml:space="preserve"> CEF līdzfinansējuma apmērs un aptuveni 18,6 miljoni </w:t>
      </w:r>
      <w:r w:rsidR="002C5510" w:rsidRPr="002C5510">
        <w:rPr>
          <w:rFonts w:cs="Times New Roman"/>
          <w:i/>
          <w:sz w:val="24"/>
          <w:szCs w:val="24"/>
        </w:rPr>
        <w:t>euro</w:t>
      </w:r>
      <w:r w:rsidRPr="6075987E">
        <w:rPr>
          <w:rFonts w:cs="Times New Roman"/>
          <w:sz w:val="24"/>
          <w:szCs w:val="24"/>
        </w:rPr>
        <w:t xml:space="preserve"> valsts budžeta finansējums.</w:t>
      </w:r>
    </w:p>
    <w:p w14:paraId="144CB547" w14:textId="77777777" w:rsidR="006A5E8A" w:rsidRPr="00E478A7" w:rsidRDefault="006A5E8A" w:rsidP="00056AFE">
      <w:pPr>
        <w:spacing w:after="0" w:line="240" w:lineRule="auto"/>
        <w:contextualSpacing/>
        <w:jc w:val="both"/>
        <w:rPr>
          <w:rFonts w:cs="Times New Roman"/>
          <w:sz w:val="24"/>
          <w:szCs w:val="24"/>
        </w:rPr>
      </w:pPr>
    </w:p>
    <w:p w14:paraId="0C951280" w14:textId="77777777" w:rsidR="00692ACE" w:rsidRPr="00660EB3" w:rsidRDefault="00692ACE" w:rsidP="00911792">
      <w:pPr>
        <w:numPr>
          <w:ilvl w:val="0"/>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lastRenderedPageBreak/>
        <w:t>Pasūtāmie darbi (</w:t>
      </w:r>
      <w:r w:rsidRPr="00660EB3">
        <w:rPr>
          <w:rFonts w:eastAsiaTheme="minorEastAsia" w:cs="Times New Roman"/>
          <w:b/>
          <w:bCs/>
          <w:i/>
          <w:iCs/>
          <w:sz w:val="24"/>
          <w:szCs w:val="24"/>
          <w:lang w:eastAsia="lv-LV"/>
        </w:rPr>
        <w:t>optional</w:t>
      </w:r>
      <w:r w:rsidRPr="00660EB3">
        <w:rPr>
          <w:rFonts w:eastAsiaTheme="minorEastAsia" w:cs="Times New Roman"/>
          <w:b/>
          <w:bCs/>
          <w:sz w:val="24"/>
          <w:szCs w:val="24"/>
          <w:lang w:eastAsia="lv-LV"/>
        </w:rPr>
        <w:t xml:space="preserve">) </w:t>
      </w:r>
      <w:r w:rsidRPr="00660EB3">
        <w:rPr>
          <w:rFonts w:eastAsiaTheme="minorEastAsia" w:cs="Times New Roman"/>
          <w:sz w:val="24"/>
          <w:szCs w:val="24"/>
          <w:lang w:eastAsia="lv-LV"/>
        </w:rPr>
        <w:t>– atsevišķi pasūtāmi darbi, kuru pasūtīšanai nepieciešama priekšnosacījumu (būvprojektu, zemju, finansējuma) pieejamība (iekļauti kopējā piedāvājumā summā):</w:t>
      </w:r>
    </w:p>
    <w:p w14:paraId="4DF3812E" w14:textId="77777777" w:rsidR="00692ACE" w:rsidRPr="00660EB3" w:rsidRDefault="00692ACE" w:rsidP="00911792">
      <w:pPr>
        <w:numPr>
          <w:ilvl w:val="1"/>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Kārtas I ietvaros </w:t>
      </w:r>
      <w:r w:rsidRPr="00660EB3">
        <w:rPr>
          <w:rFonts w:eastAsiaTheme="minorEastAsia" w:cs="Times New Roman"/>
          <w:sz w:val="24"/>
          <w:szCs w:val="24"/>
          <w:lang w:eastAsia="lv-LV"/>
        </w:rPr>
        <w:t>– Galvenās komandas mobilizēšana un apmaksa pēc sākotnējā 12 mēnešu perioda, t.i., līgumā definēto 81 mēnešu apmērā; DRCP vispārīgā daļa: būvprojektu izskatīšana; DRCP katras būvatļaujas ietvaros: dienvidu daļa un DRCP katras būvatļaujas ietvaros: ziemeļu daļa.</w:t>
      </w:r>
    </w:p>
    <w:p w14:paraId="11AFA2E5" w14:textId="356831ED" w:rsidR="00692ACE" w:rsidRPr="00660EB3" w:rsidRDefault="00692ACE" w:rsidP="00911792">
      <w:pPr>
        <w:numPr>
          <w:ilvl w:val="1"/>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Kārtas II ietvaros </w:t>
      </w:r>
      <w:r w:rsidRPr="00660EB3">
        <w:rPr>
          <w:rFonts w:eastAsiaTheme="minorEastAsia" w:cs="Times New Roman"/>
          <w:sz w:val="24"/>
          <w:szCs w:val="24"/>
          <w:lang w:eastAsia="lv-LV"/>
        </w:rPr>
        <w:t>– Būvdarbi (dzelzceļa apakšbūve) 27 būvatļaujām dienvidu daļā; dienvidu reģionālās komandas izdevumu segšana pēc 12 mēnešiem, t.i. līgumā definēto 33 mēnešu apmērā; reģionālās būvdarbu bāzes (dienvidu) būvdarbi dienvidu reģionālā ofisa ierīkošana</w:t>
      </w:r>
      <w:r w:rsidR="005C6840">
        <w:rPr>
          <w:rFonts w:eastAsiaTheme="minorEastAsia" w:cs="Times New Roman"/>
          <w:sz w:val="24"/>
          <w:szCs w:val="24"/>
          <w:lang w:eastAsia="lv-LV"/>
        </w:rPr>
        <w:t xml:space="preserve"> (būvdarbu bāzes izbūves izmaksas paredzēts segt no CEF</w:t>
      </w:r>
      <w:r w:rsidR="006A5E8A">
        <w:rPr>
          <w:rFonts w:eastAsiaTheme="minorEastAsia" w:cs="Times New Roman"/>
          <w:sz w:val="24"/>
          <w:szCs w:val="24"/>
          <w:lang w:eastAsia="lv-LV"/>
        </w:rPr>
        <w:t xml:space="preserve"> </w:t>
      </w:r>
      <w:r w:rsidR="005C6840">
        <w:rPr>
          <w:rFonts w:eastAsiaTheme="minorEastAsia" w:cs="Times New Roman"/>
          <w:sz w:val="24"/>
          <w:szCs w:val="24"/>
          <w:lang w:eastAsia="lv-LV"/>
        </w:rPr>
        <w:t>9 pieejamā finansējuma).</w:t>
      </w:r>
    </w:p>
    <w:p w14:paraId="1A08F539" w14:textId="77777777" w:rsidR="00692ACE" w:rsidRPr="00660EB3" w:rsidRDefault="00692ACE" w:rsidP="00911792">
      <w:pPr>
        <w:numPr>
          <w:ilvl w:val="1"/>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Kārtas III ietvaros </w:t>
      </w:r>
      <w:r w:rsidRPr="00660EB3">
        <w:rPr>
          <w:rFonts w:eastAsiaTheme="minorEastAsia" w:cs="Times New Roman"/>
          <w:sz w:val="24"/>
          <w:szCs w:val="24"/>
          <w:lang w:eastAsia="lv-LV"/>
        </w:rPr>
        <w:t>– ziemeļu reģionālās komandas mobilizēšana; būvdarbi (dzelzceļa apakšbūve) 32 būvatļaujām ziemeļu daļā; ziemeļu reģionālās komandas izdevumu segšana 48 mēnešu apmērā; reģionālās būvdarbu bāzes (ziemeļu) būvdarbi un ziemeļu reģionālā ofisa ierīkošana.</w:t>
      </w:r>
    </w:p>
    <w:p w14:paraId="64B450DD" w14:textId="77777777" w:rsidR="00692ACE" w:rsidRPr="00660EB3" w:rsidRDefault="00692ACE" w:rsidP="00911792">
      <w:pPr>
        <w:numPr>
          <w:ilvl w:val="1"/>
          <w:numId w:val="23"/>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Kārtas IV ietvaros </w:t>
      </w:r>
      <w:r w:rsidRPr="00660EB3">
        <w:rPr>
          <w:rFonts w:eastAsiaTheme="minorEastAsia" w:cs="Times New Roman"/>
          <w:sz w:val="24"/>
          <w:szCs w:val="24"/>
          <w:lang w:eastAsia="lv-LV"/>
        </w:rPr>
        <w:t xml:space="preserve">– Būvdarbi (dzelzceļa virsbūve) dienvidu un ziemeļu daļās; reģionālās būvdarbu bāzes (dienvidu) sliežu būvdarbi un reģionālās būvdarbu bāzes (ziemeļu) sliežu būvdarbi. </w:t>
      </w:r>
    </w:p>
    <w:p w14:paraId="748F2139" w14:textId="4CC05405" w:rsidR="00692ACE" w:rsidRPr="00660EB3" w:rsidRDefault="3679CC24" w:rsidP="0595A900">
      <w:pPr>
        <w:spacing w:after="0" w:line="240" w:lineRule="auto"/>
        <w:ind w:left="1080"/>
        <w:contextualSpacing/>
        <w:jc w:val="both"/>
        <w:rPr>
          <w:rFonts w:eastAsiaTheme="minorEastAsia" w:cs="Times New Roman"/>
          <w:sz w:val="24"/>
          <w:szCs w:val="24"/>
          <w:lang w:eastAsia="lv-LV"/>
        </w:rPr>
      </w:pPr>
      <w:r w:rsidRPr="0595A900">
        <w:rPr>
          <w:rFonts w:eastAsiaTheme="minorEastAsia" w:cs="Times New Roman"/>
          <w:sz w:val="24"/>
          <w:szCs w:val="24"/>
          <w:lang w:eastAsia="lv-LV"/>
        </w:rPr>
        <w:t>Šie darbi tiek pasūtīti, ja ir pieejams finansējums un citu kārtu ietvaros izbūvētā dzelzceļa apakšbūve nodrošina iespēju izbūvēt vismaz 25</w:t>
      </w:r>
      <w:r w:rsidR="090801F4" w:rsidRPr="0595A900">
        <w:rPr>
          <w:rFonts w:eastAsiaTheme="minorEastAsia" w:cs="Times New Roman"/>
          <w:sz w:val="24"/>
          <w:szCs w:val="24"/>
          <w:lang w:eastAsia="lv-LV"/>
        </w:rPr>
        <w:t xml:space="preserve"> </w:t>
      </w:r>
      <w:r w:rsidRPr="0595A900">
        <w:rPr>
          <w:rFonts w:eastAsiaTheme="minorEastAsia" w:cs="Times New Roman"/>
          <w:sz w:val="24"/>
          <w:szCs w:val="24"/>
          <w:lang w:eastAsia="lv-LV"/>
        </w:rPr>
        <w:t>km nepārtrauktu sliežu ceļu, tā kā sliežu ceļu izbūve mazākā apjomā nav tehnoloģiski un finansiāli efektīva, ņemot vērā, ka nepieciešams specifisks ritošais sastāvs, mehānismi un iekārtas, kas nav pieejamas Latvijā un ir jāpiegādā no citām Eiropas Savienības valstīm.</w:t>
      </w:r>
      <w:r w:rsidR="516CA497" w:rsidRPr="0595A900">
        <w:rPr>
          <w:rFonts w:eastAsiaTheme="minorEastAsia" w:cs="Times New Roman"/>
          <w:sz w:val="24"/>
          <w:szCs w:val="24"/>
          <w:lang w:eastAsia="lv-LV"/>
        </w:rPr>
        <w:t xml:space="preserve"> Diemžēl, Baltijas valstis šobrīd vēl nav vienojušās par efektīvu un savstarpēji koordinētu dzelzceļa būvniecībai nepieciešamā ritošā sastāva un iekārtu nodrošināšanas stratēģiju un mēroga ekonomiju.</w:t>
      </w:r>
    </w:p>
    <w:p w14:paraId="31FA79F9" w14:textId="77777777" w:rsidR="00692ACE" w:rsidRPr="00660EB3" w:rsidRDefault="00692ACE" w:rsidP="00056AFE">
      <w:pPr>
        <w:spacing w:after="0" w:line="240" w:lineRule="auto"/>
        <w:contextualSpacing/>
        <w:jc w:val="both"/>
        <w:rPr>
          <w:rFonts w:eastAsiaTheme="minorEastAsia" w:cs="Times New Roman"/>
          <w:sz w:val="24"/>
          <w:szCs w:val="24"/>
          <w:lang w:eastAsia="lv-LV"/>
        </w:rPr>
      </w:pPr>
    </w:p>
    <w:p w14:paraId="6043131D" w14:textId="77777777" w:rsidR="00865475" w:rsidRPr="00660EB3" w:rsidRDefault="00865475" w:rsidP="00911792">
      <w:pPr>
        <w:pStyle w:val="ListParagraph"/>
        <w:numPr>
          <w:ilvl w:val="1"/>
          <w:numId w:val="25"/>
        </w:numPr>
        <w:ind w:left="788" w:hanging="431"/>
        <w:jc w:val="center"/>
        <w:rPr>
          <w:rFonts w:eastAsiaTheme="minorEastAsia" w:cs="Times New Roman"/>
          <w:b/>
          <w:bCs/>
          <w:szCs w:val="24"/>
          <w:lang w:eastAsia="lv-LV"/>
        </w:rPr>
      </w:pPr>
      <w:r w:rsidRPr="00660EB3">
        <w:rPr>
          <w:rFonts w:eastAsiaTheme="minorEastAsia" w:cs="Times New Roman"/>
          <w:b/>
          <w:bCs/>
          <w:szCs w:val="24"/>
          <w:lang w:eastAsia="lv-LV"/>
        </w:rPr>
        <w:t>Sākotnējie darbi un finansējums</w:t>
      </w:r>
    </w:p>
    <w:p w14:paraId="08413374" w14:textId="24346740" w:rsidR="00865475" w:rsidRDefault="00865475"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Pamatojoties uz būvdarbu uzsākšanas priekšnosacījumu pieejamību uz 2023.</w:t>
      </w:r>
      <w:r w:rsidR="00731F59">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gada </w:t>
      </w:r>
      <w:r w:rsidR="00A0502D">
        <w:rPr>
          <w:rFonts w:eastAsiaTheme="minorEastAsia" w:cs="Times New Roman"/>
          <w:sz w:val="24"/>
          <w:szCs w:val="24"/>
          <w:lang w:eastAsia="lv-LV"/>
        </w:rPr>
        <w:t>septembri</w:t>
      </w:r>
      <w:r w:rsidR="006D7E73">
        <w:rPr>
          <w:rFonts w:eastAsiaTheme="minorEastAsia" w:cs="Times New Roman"/>
          <w:sz w:val="24"/>
          <w:szCs w:val="24"/>
          <w:lang w:eastAsia="lv-LV"/>
        </w:rPr>
        <w:t xml:space="preserve"> un L</w:t>
      </w:r>
      <w:r w:rsidRPr="00660EB3">
        <w:rPr>
          <w:rFonts w:eastAsiaTheme="minorEastAsia" w:cs="Times New Roman"/>
          <w:sz w:val="24"/>
          <w:szCs w:val="24"/>
          <w:lang w:eastAsia="lv-LV"/>
        </w:rPr>
        <w:t>īgumā paredzēt</w:t>
      </w:r>
      <w:r w:rsidR="00DC530D">
        <w:rPr>
          <w:rFonts w:eastAsiaTheme="minorEastAsia" w:cs="Times New Roman"/>
          <w:sz w:val="24"/>
          <w:szCs w:val="24"/>
          <w:lang w:eastAsia="lv-LV"/>
        </w:rPr>
        <w:t>ajiem</w:t>
      </w:r>
      <w:r w:rsidRPr="00660EB3">
        <w:rPr>
          <w:rFonts w:eastAsiaTheme="minorEastAsia" w:cs="Times New Roman"/>
          <w:sz w:val="24"/>
          <w:szCs w:val="24"/>
          <w:lang w:eastAsia="lv-LV"/>
        </w:rPr>
        <w:t xml:space="preserve"> darb</w:t>
      </w:r>
      <w:r w:rsidR="00DC530D">
        <w:rPr>
          <w:rFonts w:eastAsiaTheme="minorEastAsia" w:cs="Times New Roman"/>
          <w:sz w:val="24"/>
          <w:szCs w:val="24"/>
          <w:lang w:eastAsia="lv-LV"/>
        </w:rPr>
        <w:t>iem</w:t>
      </w:r>
      <w:r w:rsidRPr="00660EB3">
        <w:rPr>
          <w:rFonts w:eastAsiaTheme="minorEastAsia" w:cs="Times New Roman"/>
          <w:sz w:val="24"/>
          <w:szCs w:val="24"/>
          <w:lang w:eastAsia="lv-LV"/>
        </w:rPr>
        <w:t>, par kuriem</w:t>
      </w:r>
      <w:r w:rsidR="006D7E73">
        <w:rPr>
          <w:rFonts w:eastAsiaTheme="minorEastAsia" w:cs="Times New Roman"/>
          <w:sz w:val="24"/>
          <w:szCs w:val="24"/>
          <w:lang w:eastAsia="lv-LV"/>
        </w:rPr>
        <w:t>,</w:t>
      </w:r>
      <w:r w:rsidRPr="00660EB3">
        <w:rPr>
          <w:rFonts w:eastAsiaTheme="minorEastAsia" w:cs="Times New Roman"/>
          <w:sz w:val="24"/>
          <w:szCs w:val="24"/>
          <w:lang w:eastAsia="lv-LV"/>
        </w:rPr>
        <w:t xml:space="preserve"> noslēdzot </w:t>
      </w:r>
      <w:r w:rsidR="006D7E73">
        <w:rPr>
          <w:rFonts w:eastAsiaTheme="minorEastAsia" w:cs="Times New Roman"/>
          <w:sz w:val="24"/>
          <w:szCs w:val="24"/>
          <w:lang w:eastAsia="lv-LV"/>
        </w:rPr>
        <w:t>L</w:t>
      </w:r>
      <w:r w:rsidRPr="00660EB3">
        <w:rPr>
          <w:rFonts w:eastAsiaTheme="minorEastAsia" w:cs="Times New Roman"/>
          <w:sz w:val="24"/>
          <w:szCs w:val="24"/>
          <w:lang w:eastAsia="lv-LV"/>
        </w:rPr>
        <w:t>īgumu</w:t>
      </w:r>
      <w:r w:rsidR="006D7E73">
        <w:rPr>
          <w:rFonts w:eastAsiaTheme="minorEastAsia" w:cs="Times New Roman"/>
          <w:sz w:val="24"/>
          <w:szCs w:val="24"/>
          <w:lang w:eastAsia="lv-LV"/>
        </w:rPr>
        <w:t>,</w:t>
      </w:r>
      <w:r w:rsidRPr="00660EB3">
        <w:rPr>
          <w:rFonts w:eastAsiaTheme="minorEastAsia" w:cs="Times New Roman"/>
          <w:sz w:val="24"/>
          <w:szCs w:val="24"/>
          <w:lang w:eastAsia="lv-LV"/>
        </w:rPr>
        <w:t xml:space="preserve"> tiek uzņemtas saistības</w:t>
      </w:r>
      <w:r w:rsidR="006D7E73">
        <w:rPr>
          <w:rFonts w:eastAsiaTheme="minorEastAsia" w:cs="Times New Roman"/>
          <w:sz w:val="24"/>
          <w:szCs w:val="24"/>
          <w:lang w:eastAsia="lv-LV"/>
        </w:rPr>
        <w:t>, kā arī</w:t>
      </w:r>
      <w:r w:rsidRPr="00660EB3">
        <w:rPr>
          <w:rFonts w:eastAsiaTheme="minorEastAsia" w:cs="Times New Roman"/>
          <w:sz w:val="24"/>
          <w:szCs w:val="24"/>
          <w:lang w:eastAsia="lv-LV"/>
        </w:rPr>
        <w:t xml:space="preserve"> kopējo būvdarbu stratēģiju, darbi </w:t>
      </w:r>
      <w:r w:rsidR="00DC530D">
        <w:rPr>
          <w:rFonts w:eastAsiaTheme="minorEastAsia" w:cs="Times New Roman"/>
          <w:sz w:val="24"/>
          <w:szCs w:val="24"/>
          <w:lang w:eastAsia="lv-LV"/>
        </w:rPr>
        <w:t>L</w:t>
      </w:r>
      <w:r w:rsidRPr="00C84D87">
        <w:rPr>
          <w:rFonts w:eastAsiaTheme="minorEastAsia" w:cs="Times New Roman"/>
          <w:sz w:val="24"/>
          <w:szCs w:val="24"/>
          <w:lang w:eastAsia="lv-LV"/>
        </w:rPr>
        <w:t>īguma sākuma posmā sāksies</w:t>
      </w:r>
      <w:r w:rsidRPr="00660EB3">
        <w:rPr>
          <w:rFonts w:eastAsiaTheme="minorEastAsia" w:cs="Times New Roman"/>
          <w:sz w:val="24"/>
          <w:szCs w:val="24"/>
          <w:lang w:eastAsia="lv-LV"/>
        </w:rPr>
        <w:t xml:space="preserve"> ar sekojošām aktivitātēm:</w:t>
      </w:r>
      <w:r w:rsidR="006D7E73">
        <w:rPr>
          <w:rFonts w:eastAsiaTheme="minorEastAsia" w:cs="Times New Roman"/>
          <w:sz w:val="24"/>
          <w:szCs w:val="24"/>
          <w:lang w:eastAsia="lv-LV"/>
        </w:rPr>
        <w:t xml:space="preserve"> </w:t>
      </w:r>
    </w:p>
    <w:p w14:paraId="485F9C8B" w14:textId="0240FD66" w:rsidR="00865475" w:rsidRPr="00660EB3" w:rsidRDefault="00865475" w:rsidP="00911792">
      <w:pPr>
        <w:numPr>
          <w:ilvl w:val="0"/>
          <w:numId w:val="14"/>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Galvenās vadības komandas un </w:t>
      </w:r>
      <w:r w:rsidR="00EE63A3">
        <w:rPr>
          <w:rFonts w:eastAsiaTheme="minorEastAsia" w:cs="Times New Roman"/>
          <w:sz w:val="24"/>
          <w:szCs w:val="24"/>
          <w:lang w:eastAsia="lv-LV"/>
        </w:rPr>
        <w:t>d</w:t>
      </w:r>
      <w:r w:rsidRPr="00660EB3">
        <w:rPr>
          <w:rFonts w:eastAsiaTheme="minorEastAsia" w:cs="Times New Roman"/>
          <w:sz w:val="24"/>
          <w:szCs w:val="24"/>
          <w:lang w:eastAsia="lv-LV"/>
        </w:rPr>
        <w:t xml:space="preserve">ienvidu daļas reģionālās komandas mobilizēšana un galvenā ofisa iekārtošana – saskaņā ar </w:t>
      </w:r>
      <w:r w:rsidR="0044678E">
        <w:rPr>
          <w:rFonts w:eastAsiaTheme="minorEastAsia" w:cs="Times New Roman"/>
          <w:sz w:val="24"/>
          <w:szCs w:val="24"/>
          <w:lang w:eastAsia="lv-LV"/>
        </w:rPr>
        <w:t>L</w:t>
      </w:r>
      <w:r w:rsidRPr="00660EB3">
        <w:rPr>
          <w:rFonts w:eastAsiaTheme="minorEastAsia" w:cs="Times New Roman"/>
          <w:sz w:val="24"/>
          <w:szCs w:val="24"/>
          <w:lang w:eastAsia="lv-LV"/>
        </w:rPr>
        <w:t xml:space="preserve">īgumu, izmaksu apjoms tiks precīzi noteikts, kad Uzņēmējs un Inženieris pēc līguma noslēgšanas iepazīsies ar situāciju attiecībā uz pieejamajiem būvprojektiem, zemēm, kā arī esošajiem un plānotajiem darbiem, t.sk., saskaņojot mobilizācijas plānu ar </w:t>
      </w:r>
      <w:r w:rsidR="0074220C">
        <w:rPr>
          <w:rFonts w:eastAsiaTheme="minorEastAsia" w:cs="Times New Roman"/>
          <w:sz w:val="24"/>
          <w:szCs w:val="24"/>
          <w:lang w:eastAsia="lv-LV"/>
        </w:rPr>
        <w:t>EDZL</w:t>
      </w:r>
      <w:r w:rsidRPr="00660EB3">
        <w:rPr>
          <w:rFonts w:eastAsiaTheme="minorEastAsia" w:cs="Times New Roman"/>
          <w:sz w:val="24"/>
          <w:szCs w:val="24"/>
          <w:lang w:eastAsia="lv-LV"/>
        </w:rPr>
        <w:t>, lai izslēgtu nelietderīgu finanšu resursu izlietojumu;</w:t>
      </w:r>
    </w:p>
    <w:p w14:paraId="17054B34" w14:textId="1245D98C" w:rsidR="00865475" w:rsidRPr="00660EB3" w:rsidRDefault="00865475" w:rsidP="00911792">
      <w:pPr>
        <w:numPr>
          <w:ilvl w:val="0"/>
          <w:numId w:val="14"/>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Būvprojektu izskatīšanas un būvdarbu sagatavošanas vispārējie darbi: vispārējie vadības ziņojumi – 604 000 </w:t>
      </w:r>
      <w:r w:rsidR="002C5510" w:rsidRPr="002C5510">
        <w:rPr>
          <w:rFonts w:eastAsiaTheme="minorEastAsia" w:cs="Times New Roman"/>
          <w:i/>
          <w:sz w:val="24"/>
          <w:szCs w:val="24"/>
          <w:lang w:eastAsia="lv-LV"/>
        </w:rPr>
        <w:t>euro</w:t>
      </w:r>
      <w:r w:rsidRPr="00660EB3">
        <w:rPr>
          <w:rFonts w:eastAsiaTheme="minorEastAsia" w:cs="Times New Roman"/>
          <w:sz w:val="24"/>
          <w:szCs w:val="24"/>
          <w:lang w:eastAsia="lv-LV"/>
        </w:rPr>
        <w:t>;</w:t>
      </w:r>
    </w:p>
    <w:p w14:paraId="4122C10A" w14:textId="11DEAF88" w:rsidR="00865475" w:rsidRPr="00660EB3" w:rsidRDefault="36B6884D" w:rsidP="0595A900">
      <w:pPr>
        <w:numPr>
          <w:ilvl w:val="0"/>
          <w:numId w:val="14"/>
        </w:numPr>
        <w:spacing w:after="0" w:line="240" w:lineRule="auto"/>
        <w:contextualSpacing/>
        <w:jc w:val="both"/>
        <w:rPr>
          <w:rFonts w:eastAsiaTheme="minorEastAsia" w:cs="Times New Roman"/>
          <w:sz w:val="24"/>
          <w:szCs w:val="24"/>
          <w:lang w:eastAsia="lv-LV"/>
        </w:rPr>
      </w:pPr>
      <w:r w:rsidRPr="6075987E">
        <w:rPr>
          <w:rFonts w:eastAsiaTheme="minorEastAsia" w:cs="Times New Roman"/>
          <w:sz w:val="24"/>
          <w:szCs w:val="24"/>
          <w:lang w:eastAsia="lv-LV"/>
        </w:rPr>
        <w:t xml:space="preserve">Dienvidu reģionālās būvdarbu bāzes būvdarbi (IMF BP1), </w:t>
      </w:r>
      <w:r w:rsidRPr="6075987E">
        <w:rPr>
          <w:rFonts w:eastAsiaTheme="minorEastAsia" w:cs="Times New Roman"/>
          <w:i/>
          <w:iCs/>
          <w:sz w:val="24"/>
          <w:szCs w:val="24"/>
          <w:lang w:eastAsia="lv-LV"/>
        </w:rPr>
        <w:t>DRCP</w:t>
      </w:r>
      <w:r w:rsidRPr="6075987E">
        <w:rPr>
          <w:rFonts w:eastAsiaTheme="minorEastAsia" w:cs="Times New Roman"/>
          <w:sz w:val="24"/>
          <w:szCs w:val="24"/>
          <w:lang w:eastAsia="lv-LV"/>
        </w:rPr>
        <w:t xml:space="preserve"> ziņojumi; pieejams CEF</w:t>
      </w:r>
      <w:r w:rsidR="00236CF7">
        <w:rPr>
          <w:rFonts w:eastAsiaTheme="minorEastAsia" w:cs="Times New Roman"/>
          <w:sz w:val="24"/>
          <w:szCs w:val="24"/>
          <w:lang w:eastAsia="lv-LV"/>
        </w:rPr>
        <w:t xml:space="preserve"> </w:t>
      </w:r>
      <w:r w:rsidRPr="6075987E">
        <w:rPr>
          <w:rFonts w:eastAsiaTheme="minorEastAsia" w:cs="Times New Roman"/>
          <w:sz w:val="24"/>
          <w:szCs w:val="24"/>
          <w:lang w:eastAsia="lv-LV"/>
        </w:rPr>
        <w:t xml:space="preserve">9 finansējums, būvprojekta izstrāde pabeigta un atsavināšanu paredzēts pabeigt 2023. gadā – saskaņā ar līgumu, izmaksu apjoms tiks precīzi noteikts, kad Uzņēmējs un Inženieris pēc līguma noslēgšanas iepazīsies ar situāciju attiecībā uz pieejamo būvprojektu, zemēm, kā arī esošajiem un plānotajiem darbiem, t.sk., saskaņojot mobilizācijas plānu ar </w:t>
      </w:r>
      <w:r w:rsidR="17D246D0" w:rsidRPr="6075987E">
        <w:rPr>
          <w:rFonts w:eastAsiaTheme="minorEastAsia" w:cs="Times New Roman"/>
          <w:sz w:val="24"/>
          <w:szCs w:val="24"/>
          <w:lang w:eastAsia="lv-LV"/>
        </w:rPr>
        <w:t>EDZL</w:t>
      </w:r>
      <w:r w:rsidRPr="6075987E">
        <w:rPr>
          <w:rFonts w:eastAsiaTheme="minorEastAsia" w:cs="Times New Roman"/>
          <w:sz w:val="24"/>
          <w:szCs w:val="24"/>
          <w:lang w:eastAsia="lv-LV"/>
        </w:rPr>
        <w:t>, lai izslēgtu nelietderīgu finanšu resursu izlietojumu;</w:t>
      </w:r>
    </w:p>
    <w:p w14:paraId="6D546A7B" w14:textId="45A11527" w:rsidR="00865475" w:rsidRPr="00660EB3" w:rsidRDefault="00865475" w:rsidP="00911792">
      <w:pPr>
        <w:numPr>
          <w:ilvl w:val="0"/>
          <w:numId w:val="14"/>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lastRenderedPageBreak/>
        <w:t xml:space="preserve">Dzelzceļa apakšbūves darbi </w:t>
      </w:r>
      <w:r w:rsidR="00BF26E1">
        <w:rPr>
          <w:rFonts w:eastAsiaTheme="minorEastAsia" w:cs="Times New Roman"/>
          <w:sz w:val="24"/>
          <w:szCs w:val="24"/>
          <w:lang w:eastAsia="lv-LV"/>
        </w:rPr>
        <w:t>četrām</w:t>
      </w:r>
      <w:r w:rsidRPr="00660EB3">
        <w:rPr>
          <w:rFonts w:eastAsiaTheme="minorEastAsia" w:cs="Times New Roman"/>
          <w:sz w:val="24"/>
          <w:szCs w:val="24"/>
          <w:lang w:eastAsia="lv-LV"/>
        </w:rPr>
        <w:t xml:space="preserve"> būvatļaujām (DS4 BP1; DS4 BP2; DS4 BP4; DS4 BP7 – kopā aptuveni 12 km), kā arī būvprojektu izskatīšanas un būvdarbu sagatavošanas (</w:t>
      </w:r>
      <w:r w:rsidRPr="00660EB3">
        <w:rPr>
          <w:rFonts w:eastAsiaTheme="minorEastAsia" w:cs="Times New Roman"/>
          <w:i/>
          <w:iCs/>
          <w:sz w:val="24"/>
          <w:szCs w:val="24"/>
          <w:lang w:eastAsia="lv-LV"/>
        </w:rPr>
        <w:t>DRCP</w:t>
      </w:r>
      <w:r w:rsidRPr="00660EB3">
        <w:rPr>
          <w:rFonts w:eastAsiaTheme="minorEastAsia" w:cs="Times New Roman"/>
          <w:sz w:val="24"/>
          <w:szCs w:val="24"/>
          <w:lang w:eastAsia="lv-LV"/>
        </w:rPr>
        <w:t>) ziņojumi attiecīgajām būvatļaujām, kas ļaus novērst neprecizitātes, kā arī uzlabot būvdarbu organizāciju un samazināt kapitālizmaksas; pieejams CEF</w:t>
      </w:r>
      <w:r w:rsidR="006D7E7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8 finansējums, būvprojektu izstrāde un atsavināšana procesā – konkrēto darbu precīzs izmaksu apjoms tiks noteikts, kad būs pieejami visi </w:t>
      </w:r>
      <w:r w:rsidR="00BF26E1">
        <w:rPr>
          <w:rFonts w:eastAsiaTheme="minorEastAsia" w:cs="Times New Roman"/>
          <w:sz w:val="24"/>
          <w:szCs w:val="24"/>
          <w:lang w:eastAsia="lv-LV"/>
        </w:rPr>
        <w:t>četri</w:t>
      </w:r>
      <w:r w:rsidRPr="00660EB3">
        <w:rPr>
          <w:rFonts w:eastAsiaTheme="minorEastAsia" w:cs="Times New Roman"/>
          <w:sz w:val="24"/>
          <w:szCs w:val="24"/>
          <w:lang w:eastAsia="lv-LV"/>
        </w:rPr>
        <w:t xml:space="preserve"> </w:t>
      </w:r>
      <w:r w:rsidR="00C843DE">
        <w:rPr>
          <w:rFonts w:eastAsiaTheme="minorEastAsia" w:cs="Times New Roman"/>
          <w:sz w:val="24"/>
          <w:szCs w:val="24"/>
          <w:lang w:eastAsia="lv-LV"/>
        </w:rPr>
        <w:t>RBR</w:t>
      </w:r>
      <w:r w:rsidRPr="00660EB3">
        <w:rPr>
          <w:rFonts w:eastAsiaTheme="minorEastAsia" w:cs="Times New Roman"/>
          <w:sz w:val="24"/>
          <w:szCs w:val="24"/>
          <w:lang w:eastAsia="lv-LV"/>
        </w:rPr>
        <w:t xml:space="preserve"> līguma ietvaros izstrādājamie būvprojekti un pirms Uzņēmējam tiks dots uzdevums uzsākt darbus minētajās būvatļaujās (</w:t>
      </w:r>
      <w:r w:rsidR="0074220C">
        <w:rPr>
          <w:rFonts w:eastAsiaTheme="minorEastAsia" w:cs="Times New Roman"/>
          <w:sz w:val="24"/>
          <w:szCs w:val="24"/>
          <w:lang w:eastAsia="lv-LV"/>
        </w:rPr>
        <w:t>EDZL</w:t>
      </w:r>
      <w:r w:rsidR="00E91783"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nav pienākums uzdot uzsākt darbus, ja nav pieejams nepieciešamais finansējums);</w:t>
      </w:r>
    </w:p>
    <w:p w14:paraId="5A85E652" w14:textId="4FB54F1C" w:rsidR="00865475" w:rsidRPr="00660EB3" w:rsidRDefault="36B6884D" w:rsidP="0595A900">
      <w:pPr>
        <w:numPr>
          <w:ilvl w:val="0"/>
          <w:numId w:val="14"/>
        </w:numPr>
        <w:spacing w:after="0" w:line="240" w:lineRule="auto"/>
        <w:contextualSpacing/>
        <w:jc w:val="both"/>
        <w:rPr>
          <w:rFonts w:eastAsiaTheme="minorEastAsia" w:cs="Times New Roman"/>
          <w:sz w:val="24"/>
          <w:szCs w:val="24"/>
          <w:lang w:eastAsia="lv-LV"/>
        </w:rPr>
      </w:pPr>
      <w:r w:rsidRPr="6075987E">
        <w:rPr>
          <w:rFonts w:eastAsiaTheme="minorEastAsia" w:cs="Times New Roman"/>
          <w:sz w:val="24"/>
          <w:szCs w:val="24"/>
          <w:lang w:eastAsia="lv-LV"/>
        </w:rPr>
        <w:t xml:space="preserve">Dzelzceļa apakšbūves darbi </w:t>
      </w:r>
      <w:r w:rsidR="00BF26E1">
        <w:rPr>
          <w:rFonts w:eastAsiaTheme="minorEastAsia" w:cs="Times New Roman"/>
          <w:sz w:val="24"/>
          <w:szCs w:val="24"/>
          <w:lang w:eastAsia="lv-LV"/>
        </w:rPr>
        <w:t>vienai</w:t>
      </w:r>
      <w:r w:rsidRPr="6075987E">
        <w:rPr>
          <w:rFonts w:eastAsiaTheme="minorEastAsia" w:cs="Times New Roman"/>
          <w:sz w:val="24"/>
          <w:szCs w:val="24"/>
          <w:lang w:eastAsia="lv-LV"/>
        </w:rPr>
        <w:t xml:space="preserve"> būvatļaujai (DS4 BP3, aptuveni 1</w:t>
      </w:r>
      <w:r w:rsidR="5D9649A9" w:rsidRPr="6075987E">
        <w:rPr>
          <w:rFonts w:eastAsiaTheme="minorEastAsia" w:cs="Times New Roman"/>
          <w:sz w:val="24"/>
          <w:szCs w:val="24"/>
          <w:lang w:eastAsia="lv-LV"/>
        </w:rPr>
        <w:t xml:space="preserve"> </w:t>
      </w:r>
      <w:r w:rsidRPr="6075987E">
        <w:rPr>
          <w:rFonts w:eastAsiaTheme="minorEastAsia" w:cs="Times New Roman"/>
          <w:sz w:val="24"/>
          <w:szCs w:val="24"/>
          <w:lang w:eastAsia="lv-LV"/>
        </w:rPr>
        <w:t xml:space="preserve">km), </w:t>
      </w:r>
      <w:r w:rsidRPr="6075987E">
        <w:rPr>
          <w:rFonts w:eastAsiaTheme="minorEastAsia" w:cs="Times New Roman"/>
          <w:i/>
          <w:iCs/>
          <w:sz w:val="24"/>
          <w:szCs w:val="24"/>
          <w:lang w:eastAsia="lv-LV"/>
        </w:rPr>
        <w:t>DRCP</w:t>
      </w:r>
      <w:r w:rsidRPr="6075987E">
        <w:rPr>
          <w:rFonts w:eastAsiaTheme="minorEastAsia" w:cs="Times New Roman"/>
          <w:sz w:val="24"/>
          <w:szCs w:val="24"/>
          <w:lang w:eastAsia="lv-LV"/>
        </w:rPr>
        <w:t xml:space="preserve"> ziņojumi; pieejams CEF9 finansējums, būvprojektu izstrāde un atsavināšana procesā – konkrēto darbu precīzs izmaksu apjoms tiks noteikts, kad būs pieejami </w:t>
      </w:r>
      <w:r w:rsidR="53B8517C" w:rsidRPr="6075987E">
        <w:rPr>
          <w:rFonts w:eastAsiaTheme="minorEastAsia" w:cs="Times New Roman"/>
          <w:sz w:val="24"/>
          <w:szCs w:val="24"/>
          <w:lang w:eastAsia="lv-LV"/>
        </w:rPr>
        <w:t>RBR</w:t>
      </w:r>
      <w:r w:rsidRPr="6075987E">
        <w:rPr>
          <w:rFonts w:eastAsiaTheme="minorEastAsia" w:cs="Times New Roman"/>
          <w:sz w:val="24"/>
          <w:szCs w:val="24"/>
          <w:lang w:eastAsia="lv-LV"/>
        </w:rPr>
        <w:t xml:space="preserve"> līguma ietvaros izstrādājamais būvprojekts un pirms Uzņēmējam tiks dots uzdevums uzsākt darbus minētajā būvatļaujā (</w:t>
      </w:r>
      <w:r w:rsidR="17D246D0" w:rsidRPr="6075987E">
        <w:rPr>
          <w:rFonts w:eastAsiaTheme="minorEastAsia" w:cs="Times New Roman"/>
          <w:sz w:val="24"/>
          <w:szCs w:val="24"/>
          <w:lang w:eastAsia="lv-LV"/>
        </w:rPr>
        <w:t>EDZL</w:t>
      </w:r>
      <w:r w:rsidR="6D973DF5" w:rsidRPr="6075987E">
        <w:rPr>
          <w:rFonts w:eastAsiaTheme="minorEastAsia" w:cs="Times New Roman"/>
          <w:sz w:val="24"/>
          <w:szCs w:val="24"/>
          <w:lang w:eastAsia="lv-LV"/>
        </w:rPr>
        <w:t xml:space="preserve"> </w:t>
      </w:r>
      <w:r w:rsidRPr="6075987E">
        <w:rPr>
          <w:rFonts w:eastAsiaTheme="minorEastAsia" w:cs="Times New Roman"/>
          <w:sz w:val="24"/>
          <w:szCs w:val="24"/>
          <w:lang w:eastAsia="lv-LV"/>
        </w:rPr>
        <w:t>nav pienākums uzdot uzsākt darbus, ja nav pieejams nepieciešamais finansējums)</w:t>
      </w:r>
      <w:r w:rsidR="009B3140">
        <w:rPr>
          <w:rFonts w:eastAsiaTheme="minorEastAsia" w:cs="Times New Roman"/>
          <w:sz w:val="24"/>
          <w:szCs w:val="24"/>
          <w:lang w:eastAsia="lv-LV"/>
        </w:rPr>
        <w:t>;</w:t>
      </w:r>
    </w:p>
    <w:p w14:paraId="5DE1B885" w14:textId="77777777" w:rsidR="00865475" w:rsidRDefault="00865475" w:rsidP="6075987E">
      <w:pPr>
        <w:numPr>
          <w:ilvl w:val="0"/>
          <w:numId w:val="14"/>
        </w:numPr>
        <w:spacing w:after="0" w:line="240" w:lineRule="auto"/>
        <w:contextualSpacing/>
        <w:jc w:val="both"/>
        <w:rPr>
          <w:rFonts w:eastAsiaTheme="minorEastAsia" w:cs="Times New Roman"/>
          <w:sz w:val="24"/>
          <w:szCs w:val="24"/>
          <w:lang w:eastAsia="lv-LV"/>
        </w:rPr>
      </w:pPr>
      <w:r w:rsidRPr="6075987E">
        <w:rPr>
          <w:rFonts w:eastAsiaTheme="minorEastAsia" w:cs="Times New Roman"/>
          <w:sz w:val="24"/>
          <w:szCs w:val="24"/>
          <w:lang w:eastAsia="lv-LV"/>
        </w:rPr>
        <w:t>Visu augstāk minēto būvatļauju būvdarbu uzsākšanas nosacījumu iestāšanās.</w:t>
      </w:r>
    </w:p>
    <w:p w14:paraId="372DEE2A" w14:textId="77777777" w:rsidR="0033137B" w:rsidRDefault="0033137B" w:rsidP="0033137B">
      <w:pPr>
        <w:spacing w:after="0" w:line="240" w:lineRule="auto"/>
        <w:contextualSpacing/>
        <w:jc w:val="both"/>
        <w:rPr>
          <w:rFonts w:eastAsiaTheme="minorEastAsia" w:cs="Times New Roman"/>
          <w:sz w:val="24"/>
          <w:szCs w:val="24"/>
          <w:lang w:eastAsia="lv-LV"/>
        </w:rPr>
      </w:pPr>
    </w:p>
    <w:p w14:paraId="248B2154" w14:textId="3C803A43" w:rsidR="5E366C83" w:rsidRDefault="5E366C83" w:rsidP="0033137B">
      <w:pPr>
        <w:spacing w:after="0" w:line="240" w:lineRule="auto"/>
        <w:contextualSpacing/>
        <w:jc w:val="both"/>
        <w:rPr>
          <w:rFonts w:eastAsiaTheme="minorEastAsia" w:cs="Times New Roman"/>
          <w:sz w:val="24"/>
          <w:szCs w:val="24"/>
          <w:lang w:eastAsia="lv-LV"/>
        </w:rPr>
      </w:pPr>
      <w:r w:rsidRPr="6075987E">
        <w:rPr>
          <w:rFonts w:eastAsiaTheme="minorEastAsia" w:cs="Times New Roman"/>
          <w:sz w:val="24"/>
          <w:szCs w:val="24"/>
          <w:lang w:eastAsia="lv-LV"/>
        </w:rPr>
        <w:t xml:space="preserve">Veicamo būvdarbu vizuāls atspoguļojums pa projekta posmiem un apakšposmiem skatāms </w:t>
      </w:r>
      <w:r w:rsidR="0081142B">
        <w:rPr>
          <w:rFonts w:eastAsiaTheme="minorEastAsia" w:cs="Times New Roman"/>
          <w:sz w:val="24"/>
          <w:szCs w:val="24"/>
          <w:lang w:eastAsia="lv-LV"/>
        </w:rPr>
        <w:t xml:space="preserve">1. </w:t>
      </w:r>
      <w:r w:rsidRPr="6075987E">
        <w:rPr>
          <w:rFonts w:eastAsiaTheme="minorEastAsia" w:cs="Times New Roman"/>
          <w:sz w:val="24"/>
          <w:szCs w:val="24"/>
          <w:lang w:eastAsia="lv-LV"/>
        </w:rPr>
        <w:t>attēlā:</w:t>
      </w:r>
    </w:p>
    <w:p w14:paraId="6342A461" w14:textId="70CEE7C8" w:rsidR="5E366C83" w:rsidRDefault="5E366C83" w:rsidP="0033137B">
      <w:pPr>
        <w:spacing w:after="0" w:line="240" w:lineRule="auto"/>
        <w:contextualSpacing/>
        <w:jc w:val="center"/>
        <w:rPr>
          <w:rFonts w:eastAsiaTheme="minorEastAsia" w:cs="Times New Roman"/>
          <w:sz w:val="24"/>
          <w:szCs w:val="24"/>
          <w:lang w:eastAsia="lv-LV"/>
        </w:rPr>
      </w:pPr>
      <w:r>
        <w:rPr>
          <w:noProof/>
        </w:rPr>
        <w:drawing>
          <wp:inline distT="0" distB="0" distL="0" distR="0" wp14:anchorId="3BD564AF" wp14:editId="3312EBC0">
            <wp:extent cx="2317750" cy="2809394"/>
            <wp:effectExtent l="0" t="0" r="6350" b="0"/>
            <wp:docPr id="617469607" name="Picture 617469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866" cy="2832565"/>
                    </a:xfrm>
                    <a:prstGeom prst="rect">
                      <a:avLst/>
                    </a:prstGeom>
                  </pic:spPr>
                </pic:pic>
              </a:graphicData>
            </a:graphic>
          </wp:inline>
        </w:drawing>
      </w:r>
    </w:p>
    <w:p w14:paraId="54D23E4C" w14:textId="77777777" w:rsidR="00A10F6F" w:rsidRPr="00660EB3" w:rsidRDefault="00A10F6F" w:rsidP="00056AFE">
      <w:pPr>
        <w:spacing w:after="0" w:line="240" w:lineRule="auto"/>
        <w:contextualSpacing/>
        <w:jc w:val="both"/>
        <w:rPr>
          <w:rFonts w:eastAsiaTheme="minorEastAsia" w:cs="Times New Roman"/>
          <w:sz w:val="24"/>
          <w:szCs w:val="24"/>
          <w:lang w:eastAsia="lv-LV"/>
        </w:rPr>
      </w:pPr>
    </w:p>
    <w:p w14:paraId="1F88691B" w14:textId="1EA612B7" w:rsidR="00E6369D" w:rsidRPr="00660EB3" w:rsidRDefault="00DD0813" w:rsidP="00056AFE">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0E6369D" w:rsidRPr="00660EB3">
        <w:rPr>
          <w:rFonts w:eastAsiaTheme="minorEastAsia" w:cs="Times New Roman"/>
          <w:sz w:val="24"/>
          <w:szCs w:val="24"/>
          <w:lang w:eastAsia="lv-LV"/>
        </w:rPr>
        <w:t xml:space="preserve">CEF8 būvdarbu izmaksas finansēšanas līgumā iekļautajiem </w:t>
      </w:r>
      <w:r w:rsidR="00E6369D">
        <w:rPr>
          <w:rFonts w:eastAsiaTheme="minorEastAsia" w:cs="Times New Roman"/>
          <w:sz w:val="24"/>
          <w:szCs w:val="24"/>
          <w:lang w:eastAsia="lv-LV"/>
        </w:rPr>
        <w:t>četriem</w:t>
      </w:r>
      <w:r w:rsidR="00E6369D" w:rsidRPr="00660EB3">
        <w:rPr>
          <w:rFonts w:eastAsiaTheme="minorEastAsia" w:cs="Times New Roman"/>
          <w:sz w:val="24"/>
          <w:szCs w:val="24"/>
          <w:lang w:eastAsia="lv-LV"/>
        </w:rPr>
        <w:t xml:space="preserve"> posmiem (būvprojektiem) provizoriski </w:t>
      </w:r>
      <w:r w:rsidR="00E6369D">
        <w:rPr>
          <w:rFonts w:eastAsiaTheme="minorEastAsia" w:cs="Times New Roman"/>
          <w:sz w:val="24"/>
          <w:szCs w:val="24"/>
          <w:lang w:eastAsia="lv-LV"/>
        </w:rPr>
        <w:t>ir</w:t>
      </w:r>
      <w:r w:rsidR="00E6369D" w:rsidRPr="00660EB3">
        <w:rPr>
          <w:rFonts w:eastAsiaTheme="minorEastAsia" w:cs="Times New Roman"/>
          <w:sz w:val="24"/>
          <w:szCs w:val="24"/>
          <w:lang w:eastAsia="lv-LV"/>
        </w:rPr>
        <w:t xml:space="preserve"> aptuveni:</w:t>
      </w:r>
    </w:p>
    <w:p w14:paraId="4F3503AE" w14:textId="79A8CC1F" w:rsidR="00E6369D" w:rsidRPr="00660EB3" w:rsidRDefault="00E6369D" w:rsidP="00911792">
      <w:pPr>
        <w:numPr>
          <w:ilvl w:val="0"/>
          <w:numId w:val="17"/>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110 450 000 </w:t>
      </w:r>
      <w:r w:rsidR="002C5510" w:rsidRPr="002C5510">
        <w:rPr>
          <w:rFonts w:eastAsiaTheme="minorEastAsia" w:cs="Times New Roman"/>
          <w:b/>
          <w:bCs/>
          <w:i/>
          <w:sz w:val="24"/>
          <w:szCs w:val="24"/>
          <w:lang w:eastAsia="lv-LV"/>
        </w:rPr>
        <w:t>euro</w:t>
      </w:r>
      <w:r w:rsidRPr="00660EB3">
        <w:rPr>
          <w:rFonts w:eastAsiaTheme="minorEastAsia" w:cs="Times New Roman"/>
          <w:b/>
          <w:bCs/>
          <w:sz w:val="24"/>
          <w:szCs w:val="24"/>
          <w:lang w:eastAsia="lv-LV"/>
        </w:rPr>
        <w:t xml:space="preserve"> </w:t>
      </w:r>
      <w:r w:rsidRPr="00660EB3">
        <w:rPr>
          <w:rFonts w:eastAsiaTheme="minorEastAsia" w:cs="Times New Roman"/>
          <w:sz w:val="24"/>
          <w:szCs w:val="24"/>
          <w:lang w:eastAsia="lv-LV"/>
        </w:rPr>
        <w:t xml:space="preserve">(iekļauti virsizdevumi, peļņa un apdrošināšanas izmaksas, bet neieskaitot </w:t>
      </w:r>
      <w:r>
        <w:rPr>
          <w:rFonts w:eastAsiaTheme="minorEastAsia" w:cs="Times New Roman"/>
          <w:sz w:val="24"/>
          <w:szCs w:val="24"/>
          <w:lang w:eastAsia="lv-LV"/>
        </w:rPr>
        <w:t>indeksāciju</w:t>
      </w:r>
      <w:r w:rsidRPr="00660EB3">
        <w:rPr>
          <w:rFonts w:eastAsiaTheme="minorEastAsia" w:cs="Times New Roman"/>
          <w:sz w:val="24"/>
          <w:szCs w:val="24"/>
          <w:lang w:eastAsia="lv-LV"/>
        </w:rPr>
        <w:t xml:space="preserve"> un PVN), un tos ir paredzēts finansēt no CEF8 T3.1.1. līdz T3.1.4. aktivitāšu līdzekļiem;</w:t>
      </w:r>
    </w:p>
    <w:p w14:paraId="4CD65D63" w14:textId="5BABB121" w:rsidR="00617AA7" w:rsidRDefault="00E6369D">
      <w:pPr>
        <w:numPr>
          <w:ilvl w:val="0"/>
          <w:numId w:val="17"/>
        </w:numPr>
        <w:spacing w:after="0" w:line="240" w:lineRule="auto"/>
        <w:contextualSpacing/>
        <w:jc w:val="both"/>
        <w:rPr>
          <w:rFonts w:eastAsiaTheme="minorEastAsia" w:cs="Times New Roman"/>
          <w:sz w:val="24"/>
          <w:szCs w:val="24"/>
          <w:lang w:eastAsia="lv-LV"/>
        </w:rPr>
      </w:pPr>
      <w:r w:rsidRPr="000B4C33">
        <w:rPr>
          <w:rFonts w:eastAsiaTheme="minorEastAsia" w:cs="Times New Roman"/>
          <w:sz w:val="24"/>
          <w:szCs w:val="24"/>
          <w:lang w:eastAsia="lv-LV"/>
        </w:rPr>
        <w:t xml:space="preserve">CEF8 T3.1.1. līdz T3.1.4. aktivitātēm, ieskaitot ieviesējinstitūciju izmaksas aktivitāšu veikšanai, ir pieejami finanšu līdzekļi </w:t>
      </w:r>
      <w:r w:rsidRPr="000B4C33">
        <w:rPr>
          <w:rFonts w:eastAsiaTheme="minorEastAsia" w:cs="Times New Roman"/>
          <w:b/>
          <w:bCs/>
          <w:sz w:val="24"/>
          <w:szCs w:val="24"/>
          <w:lang w:eastAsia="lv-LV"/>
        </w:rPr>
        <w:t xml:space="preserve">118 860 943 </w:t>
      </w:r>
      <w:r w:rsidR="002C5510" w:rsidRPr="002C5510">
        <w:rPr>
          <w:rFonts w:eastAsiaTheme="minorEastAsia" w:cs="Times New Roman"/>
          <w:b/>
          <w:bCs/>
          <w:i/>
          <w:sz w:val="24"/>
          <w:szCs w:val="24"/>
          <w:lang w:eastAsia="lv-LV"/>
        </w:rPr>
        <w:t>euro</w:t>
      </w:r>
      <w:r w:rsidRPr="000B4C33">
        <w:rPr>
          <w:rFonts w:eastAsiaTheme="minorEastAsia" w:cs="Times New Roman"/>
          <w:sz w:val="24"/>
          <w:szCs w:val="24"/>
          <w:lang w:eastAsia="lv-LV"/>
        </w:rPr>
        <w:t xml:space="preserve"> apmērā (neskaitot PVN). Detalizētāks aprēķins pieejams </w:t>
      </w:r>
      <w:r w:rsidR="0080094D" w:rsidRPr="000B4C33">
        <w:rPr>
          <w:rFonts w:eastAsiaTheme="minorEastAsia" w:cs="Times New Roman"/>
          <w:sz w:val="24"/>
          <w:szCs w:val="24"/>
          <w:lang w:eastAsia="lv-LV"/>
        </w:rPr>
        <w:t xml:space="preserve">4. </w:t>
      </w:r>
      <w:r w:rsidRPr="000B4C33">
        <w:rPr>
          <w:rFonts w:eastAsiaTheme="minorEastAsia" w:cs="Times New Roman"/>
          <w:sz w:val="24"/>
          <w:szCs w:val="24"/>
          <w:lang w:eastAsia="lv-LV"/>
        </w:rPr>
        <w:t>tabulā</w:t>
      </w:r>
      <w:r w:rsidR="00120B11" w:rsidRPr="000B4C33">
        <w:rPr>
          <w:rFonts w:eastAsiaTheme="minorEastAsia" w:cs="Times New Roman"/>
          <w:sz w:val="24"/>
          <w:szCs w:val="24"/>
          <w:lang w:eastAsia="lv-LV"/>
        </w:rPr>
        <w:t>.</w:t>
      </w:r>
    </w:p>
    <w:p w14:paraId="4C033B9E" w14:textId="77777777" w:rsidR="000B4C33" w:rsidRPr="000B4C33" w:rsidRDefault="000B4C33" w:rsidP="000B4C33">
      <w:pPr>
        <w:spacing w:after="0" w:line="240" w:lineRule="auto"/>
        <w:ind w:left="927"/>
        <w:contextualSpacing/>
        <w:jc w:val="both"/>
        <w:rPr>
          <w:rFonts w:eastAsiaTheme="minorEastAsia" w:cs="Times New Roman"/>
          <w:sz w:val="24"/>
          <w:szCs w:val="24"/>
          <w:lang w:eastAsia="lv-LV"/>
        </w:rPr>
      </w:pPr>
    </w:p>
    <w:p w14:paraId="77458AC3" w14:textId="64B7202B" w:rsidR="00C371DB" w:rsidRPr="00E27AE6" w:rsidRDefault="00E27AE6" w:rsidP="003F1977">
      <w:pPr>
        <w:spacing w:after="0" w:line="240" w:lineRule="auto"/>
        <w:contextualSpacing/>
        <w:jc w:val="center"/>
        <w:rPr>
          <w:rFonts w:eastAsiaTheme="minorEastAsia" w:cs="Times New Roman"/>
          <w:b/>
          <w:bCs/>
          <w:sz w:val="24"/>
          <w:szCs w:val="24"/>
          <w:lang w:eastAsia="lv-LV"/>
        </w:rPr>
      </w:pPr>
      <w:r w:rsidRPr="008B7797">
        <w:rPr>
          <w:rFonts w:eastAsiaTheme="minorEastAsia" w:cs="Times New Roman"/>
          <w:b/>
          <w:bCs/>
          <w:sz w:val="24"/>
          <w:szCs w:val="24"/>
          <w:lang w:eastAsia="lv-LV"/>
        </w:rPr>
        <w:t>CEF 8 ietvaros T3.1.1. - T3.1.4. aktivitāšu īstenošanai pie</w:t>
      </w:r>
      <w:r w:rsidR="00A10F6F" w:rsidRPr="008B7797">
        <w:rPr>
          <w:rFonts w:eastAsiaTheme="minorEastAsia" w:cs="Times New Roman"/>
          <w:b/>
          <w:bCs/>
          <w:sz w:val="24"/>
          <w:szCs w:val="24"/>
          <w:lang w:eastAsia="lv-LV"/>
        </w:rPr>
        <w:t xml:space="preserve">šķirtā </w:t>
      </w:r>
      <w:r w:rsidRPr="008B7797">
        <w:rPr>
          <w:rFonts w:eastAsiaTheme="minorEastAsia" w:cs="Times New Roman"/>
          <w:b/>
          <w:bCs/>
          <w:sz w:val="24"/>
          <w:szCs w:val="24"/>
          <w:lang w:eastAsia="lv-LV"/>
        </w:rPr>
        <w:t xml:space="preserve">finansējuma sadalījums </w:t>
      </w:r>
      <w:r w:rsidR="00A10F6F" w:rsidRPr="008B7797">
        <w:rPr>
          <w:rFonts w:eastAsiaTheme="minorEastAsia" w:cs="Times New Roman"/>
          <w:b/>
          <w:bCs/>
          <w:sz w:val="24"/>
          <w:szCs w:val="24"/>
          <w:lang w:eastAsia="lv-LV"/>
        </w:rPr>
        <w:t xml:space="preserve">pa </w:t>
      </w:r>
      <w:r w:rsidRPr="008B7797">
        <w:rPr>
          <w:rFonts w:eastAsiaTheme="minorEastAsia" w:cs="Times New Roman"/>
          <w:b/>
          <w:bCs/>
          <w:sz w:val="24"/>
          <w:szCs w:val="24"/>
          <w:lang w:eastAsia="lv-LV"/>
        </w:rPr>
        <w:t xml:space="preserve">finansējuma saņēmējiem, </w:t>
      </w:r>
      <w:r w:rsidR="002C5510" w:rsidRPr="002C5510">
        <w:rPr>
          <w:rFonts w:eastAsiaTheme="minorEastAsia" w:cs="Times New Roman"/>
          <w:b/>
          <w:bCs/>
          <w:i/>
          <w:sz w:val="24"/>
          <w:szCs w:val="24"/>
          <w:lang w:eastAsia="lv-LV"/>
        </w:rPr>
        <w:t>euro</w:t>
      </w:r>
      <w:r w:rsidRPr="008B7797">
        <w:rPr>
          <w:rFonts w:eastAsiaTheme="minorEastAsia" w:cs="Times New Roman"/>
          <w:b/>
          <w:bCs/>
          <w:sz w:val="24"/>
          <w:szCs w:val="24"/>
          <w:lang w:eastAsia="lv-LV"/>
        </w:rPr>
        <w:t xml:space="preserve">, </w:t>
      </w:r>
      <w:r w:rsidRPr="008B7797">
        <w:rPr>
          <w:rFonts w:cs="Times New Roman"/>
          <w:b/>
          <w:sz w:val="24"/>
          <w:szCs w:val="24"/>
        </w:rPr>
        <w:t>neskaitot PVN</w:t>
      </w:r>
    </w:p>
    <w:p w14:paraId="339E215A" w14:textId="71C5EDDF" w:rsidR="00C371DB" w:rsidRPr="00E27AE6" w:rsidRDefault="00E0218B" w:rsidP="00056AFE">
      <w:pPr>
        <w:spacing w:after="0" w:line="240" w:lineRule="auto"/>
        <w:contextualSpacing/>
        <w:jc w:val="right"/>
        <w:rPr>
          <w:rFonts w:eastAsiaTheme="minorEastAsia" w:cs="Times New Roman"/>
          <w:sz w:val="24"/>
          <w:szCs w:val="24"/>
          <w:lang w:eastAsia="lv-LV"/>
        </w:rPr>
      </w:pPr>
      <w:r>
        <w:rPr>
          <w:rFonts w:eastAsiaTheme="minorEastAsia" w:cs="Times New Roman"/>
          <w:sz w:val="24"/>
          <w:szCs w:val="24"/>
          <w:lang w:eastAsia="lv-LV"/>
        </w:rPr>
        <w:t>4. tabula</w:t>
      </w:r>
    </w:p>
    <w:tbl>
      <w:tblPr>
        <w:tblStyle w:val="TableGrid1"/>
        <w:tblW w:w="9351" w:type="dxa"/>
        <w:jc w:val="center"/>
        <w:tblLayout w:type="fixed"/>
        <w:tblLook w:val="04A0" w:firstRow="1" w:lastRow="0" w:firstColumn="1" w:lastColumn="0" w:noHBand="0" w:noVBand="1"/>
      </w:tblPr>
      <w:tblGrid>
        <w:gridCol w:w="1188"/>
        <w:gridCol w:w="1217"/>
        <w:gridCol w:w="992"/>
        <w:gridCol w:w="1011"/>
        <w:gridCol w:w="1541"/>
        <w:gridCol w:w="1134"/>
        <w:gridCol w:w="1134"/>
        <w:gridCol w:w="1134"/>
      </w:tblGrid>
      <w:tr w:rsidR="00F22B0D" w:rsidRPr="00660EB3" w14:paraId="3040DD98" w14:textId="1BAAED78" w:rsidTr="638FD9FE">
        <w:trPr>
          <w:trHeight w:val="1647"/>
          <w:jc w:val="center"/>
        </w:trPr>
        <w:tc>
          <w:tcPr>
            <w:tcW w:w="1188" w:type="dxa"/>
            <w:vAlign w:val="center"/>
          </w:tcPr>
          <w:p w14:paraId="6B6E1488"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lang w:bidi="lv-LV"/>
              </w:rPr>
              <w:lastRenderedPageBreak/>
              <w:t>Finansējuma avots, aktivitāte</w:t>
            </w:r>
          </w:p>
        </w:tc>
        <w:tc>
          <w:tcPr>
            <w:tcW w:w="1217" w:type="dxa"/>
            <w:vAlign w:val="center"/>
          </w:tcPr>
          <w:p w14:paraId="79169858"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Aktivitātes</w:t>
            </w:r>
          </w:p>
          <w:p w14:paraId="72DF5A62" w14:textId="56491FEA" w:rsidR="00F22B0D" w:rsidRPr="00660EB3" w:rsidRDefault="00E6369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A</w:t>
            </w:r>
            <w:r w:rsidR="00F22B0D" w:rsidRPr="00660EB3">
              <w:rPr>
                <w:rFonts w:ascii="Times New Roman" w:hAnsi="Times New Roman" w:cs="Times New Roman"/>
                <w:b/>
                <w:bCs/>
                <w:sz w:val="20"/>
                <w:szCs w:val="20"/>
              </w:rPr>
              <w:t>praksts</w:t>
            </w:r>
          </w:p>
        </w:tc>
        <w:tc>
          <w:tcPr>
            <w:tcW w:w="992" w:type="dxa"/>
            <w:vAlign w:val="center"/>
          </w:tcPr>
          <w:p w14:paraId="7D9B4986"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Kopējais aktivitātes finansējums,</w:t>
            </w:r>
          </w:p>
          <w:p w14:paraId="4960977C" w14:textId="605A0203" w:rsidR="00F22B0D" w:rsidRPr="00660EB3" w:rsidRDefault="002C5510" w:rsidP="00056AFE">
            <w:pPr>
              <w:contextualSpacing/>
              <w:jc w:val="center"/>
              <w:rPr>
                <w:rFonts w:ascii="Times New Roman" w:hAnsi="Times New Roman" w:cs="Times New Roman"/>
                <w:b/>
                <w:bCs/>
                <w:sz w:val="20"/>
                <w:szCs w:val="20"/>
              </w:rPr>
            </w:pPr>
            <w:r w:rsidRPr="002C5510">
              <w:rPr>
                <w:rFonts w:ascii="Times New Roman" w:hAnsi="Times New Roman" w:cs="Times New Roman"/>
                <w:b/>
                <w:bCs/>
                <w:i/>
                <w:sz w:val="20"/>
                <w:szCs w:val="20"/>
              </w:rPr>
              <w:t>euro</w:t>
            </w:r>
            <w:r w:rsidR="00DB11B4">
              <w:rPr>
                <w:rFonts w:ascii="Times New Roman" w:hAnsi="Times New Roman" w:cs="Times New Roman"/>
                <w:b/>
                <w:bCs/>
                <w:sz w:val="20"/>
                <w:szCs w:val="20"/>
              </w:rPr>
              <w:t xml:space="preserve"> </w:t>
            </w:r>
            <w:r w:rsidR="00F22B0D" w:rsidRPr="00660EB3">
              <w:rPr>
                <w:rFonts w:ascii="Times New Roman" w:hAnsi="Times New Roman" w:cs="Times New Roman"/>
                <w:b/>
                <w:bCs/>
                <w:sz w:val="20"/>
                <w:szCs w:val="20"/>
              </w:rPr>
              <w:t>(neskaitot PVN)</w:t>
            </w:r>
          </w:p>
        </w:tc>
        <w:tc>
          <w:tcPr>
            <w:tcW w:w="1011" w:type="dxa"/>
            <w:vAlign w:val="center"/>
          </w:tcPr>
          <w:p w14:paraId="19A048FD"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Uzņēmums</w:t>
            </w:r>
          </w:p>
        </w:tc>
        <w:tc>
          <w:tcPr>
            <w:tcW w:w="1541" w:type="dxa"/>
            <w:vAlign w:val="center"/>
          </w:tcPr>
          <w:p w14:paraId="351CDCB1"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Pakalpojuma būtība atbilstoši CEF pieteikumam</w:t>
            </w:r>
          </w:p>
        </w:tc>
        <w:tc>
          <w:tcPr>
            <w:tcW w:w="1134" w:type="dxa"/>
            <w:vAlign w:val="center"/>
          </w:tcPr>
          <w:p w14:paraId="2F4B306B" w14:textId="5EB63316" w:rsidR="00F22B0D" w:rsidRPr="00660EB3" w:rsidRDefault="00F22B0D" w:rsidP="00056AFE">
            <w:pPr>
              <w:contextualSpacing/>
              <w:jc w:val="center"/>
              <w:rPr>
                <w:rFonts w:ascii="Times New Roman" w:hAnsi="Times New Roman" w:cs="Times New Roman"/>
                <w:b/>
                <w:sz w:val="20"/>
                <w:szCs w:val="20"/>
              </w:rPr>
            </w:pPr>
            <w:r w:rsidRPr="00660EB3">
              <w:rPr>
                <w:rFonts w:ascii="Times New Roman" w:hAnsi="Times New Roman" w:cs="Times New Roman"/>
                <w:b/>
                <w:sz w:val="20"/>
                <w:szCs w:val="20"/>
              </w:rPr>
              <w:t>CEF līguma finansējums</w:t>
            </w:r>
          </w:p>
          <w:p w14:paraId="728D4299" w14:textId="0ED2BD3E" w:rsidR="00F22B0D" w:rsidRPr="00660EB3" w:rsidRDefault="00F22B0D" w:rsidP="00056AFE">
            <w:pPr>
              <w:contextualSpacing/>
              <w:jc w:val="center"/>
              <w:rPr>
                <w:rFonts w:ascii="Times New Roman" w:hAnsi="Times New Roman" w:cs="Times New Roman"/>
                <w:b/>
                <w:bCs/>
                <w:sz w:val="20"/>
                <w:szCs w:val="20"/>
              </w:rPr>
            </w:pPr>
          </w:p>
        </w:tc>
        <w:tc>
          <w:tcPr>
            <w:tcW w:w="1134" w:type="dxa"/>
            <w:vAlign w:val="center"/>
          </w:tcPr>
          <w:p w14:paraId="404B15AA" w14:textId="5BCD7665" w:rsidR="00F22B0D" w:rsidRPr="00660EB3" w:rsidRDefault="00F22B0D" w:rsidP="00056AFE">
            <w:pPr>
              <w:contextualSpacing/>
              <w:jc w:val="center"/>
              <w:rPr>
                <w:rFonts w:ascii="Times New Roman" w:hAnsi="Times New Roman" w:cs="Times New Roman"/>
                <w:b/>
                <w:sz w:val="20"/>
                <w:szCs w:val="20"/>
              </w:rPr>
            </w:pPr>
            <w:r w:rsidRPr="00660EB3">
              <w:rPr>
                <w:rFonts w:ascii="Times New Roman" w:hAnsi="Times New Roman" w:cs="Times New Roman"/>
                <w:b/>
                <w:sz w:val="20"/>
                <w:szCs w:val="20"/>
              </w:rPr>
              <w:t>CEF finansējum</w:t>
            </w:r>
            <w:r w:rsidR="00DB6A77" w:rsidRPr="00660EB3">
              <w:rPr>
                <w:rFonts w:ascii="Times New Roman" w:hAnsi="Times New Roman" w:cs="Times New Roman"/>
                <w:b/>
                <w:sz w:val="20"/>
                <w:szCs w:val="20"/>
              </w:rPr>
              <w:t>s</w:t>
            </w:r>
          </w:p>
        </w:tc>
        <w:tc>
          <w:tcPr>
            <w:tcW w:w="1134" w:type="dxa"/>
            <w:vAlign w:val="center"/>
          </w:tcPr>
          <w:p w14:paraId="14F12654" w14:textId="3602041C" w:rsidR="00F22B0D" w:rsidRPr="00660EB3" w:rsidRDefault="56A0E3E2" w:rsidP="00056AFE">
            <w:pPr>
              <w:contextualSpacing/>
              <w:jc w:val="center"/>
              <w:rPr>
                <w:rFonts w:ascii="Times New Roman" w:hAnsi="Times New Roman" w:cs="Times New Roman"/>
                <w:b/>
                <w:sz w:val="20"/>
                <w:szCs w:val="20"/>
              </w:rPr>
            </w:pPr>
            <w:r w:rsidRPr="0595A900">
              <w:rPr>
                <w:rFonts w:ascii="Times New Roman" w:hAnsi="Times New Roman" w:cs="Times New Roman"/>
                <w:b/>
                <w:bCs/>
                <w:sz w:val="20"/>
                <w:szCs w:val="20"/>
              </w:rPr>
              <w:t>Valsts budže</w:t>
            </w:r>
            <w:r w:rsidR="589CA71C" w:rsidRPr="0595A900">
              <w:rPr>
                <w:rFonts w:ascii="Times New Roman" w:hAnsi="Times New Roman" w:cs="Times New Roman"/>
                <w:b/>
                <w:bCs/>
                <w:sz w:val="20"/>
                <w:szCs w:val="20"/>
              </w:rPr>
              <w:t>ta līdzfinansējums</w:t>
            </w:r>
            <w:r w:rsidR="003428C6" w:rsidRPr="0595A900">
              <w:rPr>
                <w:rStyle w:val="FootnoteReference"/>
                <w:rFonts w:ascii="Times New Roman" w:hAnsi="Times New Roman" w:cs="Times New Roman"/>
                <w:b/>
                <w:bCs/>
                <w:sz w:val="20"/>
                <w:szCs w:val="20"/>
              </w:rPr>
              <w:footnoteReference w:id="11"/>
            </w:r>
          </w:p>
          <w:p w14:paraId="720BFB66" w14:textId="5986345B" w:rsidR="00F22B0D" w:rsidRPr="00660EB3" w:rsidRDefault="00F22B0D" w:rsidP="00056AFE">
            <w:pPr>
              <w:contextualSpacing/>
              <w:jc w:val="center"/>
              <w:rPr>
                <w:rFonts w:ascii="Times New Roman" w:hAnsi="Times New Roman" w:cs="Times New Roman"/>
                <w:b/>
                <w:sz w:val="20"/>
                <w:szCs w:val="20"/>
              </w:rPr>
            </w:pPr>
          </w:p>
        </w:tc>
      </w:tr>
      <w:tr w:rsidR="00F22B0D" w:rsidRPr="00660EB3" w14:paraId="6232AAEB" w14:textId="7E97436A" w:rsidTr="638FD9FE">
        <w:trPr>
          <w:trHeight w:val="1670"/>
          <w:jc w:val="center"/>
        </w:trPr>
        <w:tc>
          <w:tcPr>
            <w:tcW w:w="1188" w:type="dxa"/>
            <w:vMerge w:val="restart"/>
            <w:vAlign w:val="center"/>
          </w:tcPr>
          <w:p w14:paraId="4381ED5B" w14:textId="77777777" w:rsidR="00F22B0D" w:rsidRPr="00660EB3" w:rsidRDefault="00F22B0D"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CEF8,</w:t>
            </w:r>
          </w:p>
          <w:p w14:paraId="6A7B8D6E" w14:textId="77777777" w:rsidR="00F22B0D" w:rsidRPr="00660EB3" w:rsidRDefault="00F22B0D"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T3.1.1. līdz T3.1.4. aktivitātes</w:t>
            </w:r>
          </w:p>
        </w:tc>
        <w:tc>
          <w:tcPr>
            <w:tcW w:w="1217" w:type="dxa"/>
            <w:vMerge w:val="restart"/>
            <w:vAlign w:val="center"/>
          </w:tcPr>
          <w:p w14:paraId="20ED98D8" w14:textId="37CBB3DD" w:rsidR="00F22B0D" w:rsidRPr="00660EB3" w:rsidRDefault="00866EBA" w:rsidP="00056AFE">
            <w:pPr>
              <w:contextualSpacing/>
              <w:jc w:val="center"/>
              <w:rPr>
                <w:rFonts w:ascii="Times New Roman" w:hAnsi="Times New Roman" w:cs="Times New Roman"/>
                <w:bCs/>
                <w:i/>
                <w:iCs/>
                <w:sz w:val="20"/>
                <w:szCs w:val="20"/>
              </w:rPr>
            </w:pPr>
            <w:r>
              <w:rPr>
                <w:rFonts w:ascii="Times New Roman" w:hAnsi="Times New Roman" w:cs="Times New Roman"/>
                <w:bCs/>
                <w:i/>
                <w:iCs/>
                <w:sz w:val="20"/>
                <w:szCs w:val="20"/>
              </w:rPr>
              <w:t>Pamattrases būvniecība Latv</w:t>
            </w:r>
            <w:r w:rsidR="00E27AE6">
              <w:rPr>
                <w:rFonts w:ascii="Times New Roman" w:hAnsi="Times New Roman" w:cs="Times New Roman"/>
                <w:bCs/>
                <w:i/>
                <w:iCs/>
                <w:sz w:val="20"/>
                <w:szCs w:val="20"/>
              </w:rPr>
              <w:t>i</w:t>
            </w:r>
            <w:r>
              <w:rPr>
                <w:rFonts w:ascii="Times New Roman" w:hAnsi="Times New Roman" w:cs="Times New Roman"/>
                <w:bCs/>
                <w:i/>
                <w:iCs/>
                <w:sz w:val="20"/>
                <w:szCs w:val="20"/>
              </w:rPr>
              <w:t xml:space="preserve">jā, </w:t>
            </w:r>
            <w:r w:rsidRPr="00A81E9E">
              <w:rPr>
                <w:rFonts w:ascii="Times New Roman" w:hAnsi="Times New Roman" w:cs="Times New Roman"/>
                <w:bCs/>
                <w:i/>
                <w:iCs/>
                <w:sz w:val="20"/>
                <w:szCs w:val="20"/>
              </w:rPr>
              <w:t>dienvidu posms</w:t>
            </w:r>
            <w:r w:rsidRPr="00120B11">
              <w:rPr>
                <w:rFonts w:ascii="Times New Roman" w:hAnsi="Times New Roman" w:cs="Times New Roman"/>
                <w:bCs/>
                <w:i/>
                <w:iCs/>
                <w:sz w:val="20"/>
                <w:szCs w:val="20"/>
              </w:rPr>
              <w:t>, I kārta</w:t>
            </w:r>
            <w:r w:rsidR="00F22B0D" w:rsidRPr="00A81E9E">
              <w:rPr>
                <w:rFonts w:ascii="Times New Roman" w:hAnsi="Times New Roman" w:cs="Times New Roman"/>
                <w:bCs/>
                <w:i/>
                <w:iCs/>
                <w:sz w:val="20"/>
                <w:szCs w:val="20"/>
              </w:rPr>
              <w:t xml:space="preserve"> </w:t>
            </w:r>
          </w:p>
        </w:tc>
        <w:tc>
          <w:tcPr>
            <w:tcW w:w="992" w:type="dxa"/>
            <w:vMerge w:val="restart"/>
            <w:vAlign w:val="center"/>
          </w:tcPr>
          <w:p w14:paraId="560D4ED0" w14:textId="77777777" w:rsidR="00F22B0D" w:rsidRPr="00660EB3" w:rsidRDefault="00F22B0D"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118 860 943</w:t>
            </w:r>
          </w:p>
          <w:p w14:paraId="5795722E" w14:textId="77777777" w:rsidR="00F22B0D" w:rsidRPr="00660EB3" w:rsidRDefault="00F22B0D" w:rsidP="00056AFE">
            <w:pPr>
              <w:contextualSpacing/>
              <w:jc w:val="center"/>
              <w:rPr>
                <w:rFonts w:ascii="Times New Roman" w:hAnsi="Times New Roman" w:cs="Times New Roman"/>
                <w:bCs/>
                <w:sz w:val="20"/>
                <w:szCs w:val="20"/>
              </w:rPr>
            </w:pPr>
          </w:p>
          <w:p w14:paraId="1B4A28C7" w14:textId="77777777" w:rsidR="00F22B0D" w:rsidRPr="00660EB3" w:rsidRDefault="00F22B0D" w:rsidP="00056AFE">
            <w:pPr>
              <w:contextualSpacing/>
              <w:jc w:val="center"/>
              <w:rPr>
                <w:rFonts w:ascii="Times New Roman" w:hAnsi="Times New Roman" w:cs="Times New Roman"/>
                <w:b/>
                <w:sz w:val="20"/>
                <w:szCs w:val="20"/>
              </w:rPr>
            </w:pPr>
            <w:r w:rsidRPr="00660EB3">
              <w:rPr>
                <w:rFonts w:ascii="Times New Roman" w:hAnsi="Times New Roman" w:cs="Times New Roman"/>
                <w:b/>
                <w:sz w:val="20"/>
                <w:szCs w:val="20"/>
              </w:rPr>
              <w:t>116 943 000*</w:t>
            </w:r>
          </w:p>
        </w:tc>
        <w:tc>
          <w:tcPr>
            <w:tcW w:w="1011" w:type="dxa"/>
            <w:vAlign w:val="center"/>
          </w:tcPr>
          <w:p w14:paraId="4FD5EB7D" w14:textId="77777777" w:rsidR="00EC0C34" w:rsidRDefault="00EC0C34" w:rsidP="00056AFE">
            <w:pPr>
              <w:contextualSpacing/>
              <w:jc w:val="center"/>
              <w:rPr>
                <w:rFonts w:ascii="Times New Roman" w:hAnsi="Times New Roman" w:cs="Times New Roman"/>
                <w:sz w:val="20"/>
                <w:szCs w:val="20"/>
              </w:rPr>
            </w:pPr>
            <w:r>
              <w:rPr>
                <w:rFonts w:ascii="Times New Roman" w:hAnsi="Times New Roman" w:cs="Times New Roman"/>
                <w:sz w:val="20"/>
                <w:szCs w:val="20"/>
              </w:rPr>
              <w:t>Uzņēmējs</w:t>
            </w:r>
          </w:p>
          <w:p w14:paraId="62CB6B39" w14:textId="4E48BC9D" w:rsidR="00F22B0D" w:rsidRDefault="00EC0C34" w:rsidP="00056AFE">
            <w:pPr>
              <w:contextualSpacing/>
              <w:jc w:val="center"/>
              <w:rPr>
                <w:rFonts w:ascii="Times New Roman" w:hAnsi="Times New Roman" w:cs="Times New Roman"/>
                <w:sz w:val="20"/>
                <w:szCs w:val="20"/>
              </w:rPr>
            </w:pPr>
            <w:r>
              <w:rPr>
                <w:rFonts w:ascii="Times New Roman" w:hAnsi="Times New Roman" w:cs="Times New Roman"/>
                <w:sz w:val="20"/>
                <w:szCs w:val="20"/>
              </w:rPr>
              <w:t>(</w:t>
            </w:r>
            <w:r w:rsidR="00F22B0D" w:rsidRPr="00660EB3">
              <w:rPr>
                <w:rFonts w:ascii="Times New Roman" w:hAnsi="Times New Roman" w:cs="Times New Roman"/>
                <w:sz w:val="20"/>
                <w:szCs w:val="20"/>
              </w:rPr>
              <w:t>E.R.B. Rail Baltica JV</w:t>
            </w:r>
            <w:r>
              <w:rPr>
                <w:rFonts w:ascii="Times New Roman" w:hAnsi="Times New Roman" w:cs="Times New Roman"/>
                <w:sz w:val="20"/>
                <w:szCs w:val="20"/>
              </w:rPr>
              <w:t>)</w:t>
            </w:r>
          </w:p>
          <w:p w14:paraId="070B1A83" w14:textId="3EE5CE92" w:rsidR="00EC0C34" w:rsidRPr="00660EB3" w:rsidRDefault="00EC0C34" w:rsidP="00056AFE">
            <w:pPr>
              <w:contextualSpacing/>
              <w:jc w:val="center"/>
              <w:rPr>
                <w:rFonts w:ascii="Times New Roman" w:hAnsi="Times New Roman" w:cs="Times New Roman"/>
                <w:sz w:val="20"/>
                <w:szCs w:val="20"/>
              </w:rPr>
            </w:pPr>
          </w:p>
        </w:tc>
        <w:tc>
          <w:tcPr>
            <w:tcW w:w="1541" w:type="dxa"/>
            <w:vAlign w:val="center"/>
          </w:tcPr>
          <w:p w14:paraId="5004BA41" w14:textId="4182DF0A" w:rsidR="00F22B0D" w:rsidRPr="00660EB3" w:rsidRDefault="00043EB5" w:rsidP="00056AFE">
            <w:pPr>
              <w:contextualSpacing/>
              <w:jc w:val="center"/>
              <w:rPr>
                <w:rFonts w:ascii="Times New Roman" w:hAnsi="Times New Roman" w:cs="Times New Roman"/>
                <w:bCs/>
                <w:i/>
                <w:iCs/>
                <w:sz w:val="20"/>
                <w:szCs w:val="20"/>
              </w:rPr>
            </w:pPr>
            <w:r>
              <w:rPr>
                <w:rFonts w:ascii="Times New Roman" w:hAnsi="Times New Roman" w:cs="Times New Roman"/>
                <w:i/>
                <w:iCs/>
                <w:color w:val="000000"/>
                <w:sz w:val="20"/>
                <w:szCs w:val="20"/>
              </w:rPr>
              <w:t>Apakšl</w:t>
            </w:r>
            <w:r w:rsidR="00E27AE6" w:rsidRPr="00043EB5">
              <w:rPr>
                <w:rFonts w:ascii="Times New Roman" w:hAnsi="Times New Roman" w:cs="Times New Roman"/>
                <w:i/>
                <w:iCs/>
                <w:color w:val="000000"/>
                <w:sz w:val="20"/>
                <w:szCs w:val="20"/>
              </w:rPr>
              <w:t>īguma</w:t>
            </w:r>
            <w:r w:rsidR="00E01F64" w:rsidRPr="00043EB5">
              <w:rPr>
                <w:rFonts w:ascii="Times New Roman" w:hAnsi="Times New Roman" w:cs="Times New Roman"/>
                <w:i/>
                <w:iCs/>
                <w:color w:val="000000"/>
                <w:sz w:val="20"/>
                <w:szCs w:val="20"/>
              </w:rPr>
              <w:t xml:space="preserve"> izmaksas</w:t>
            </w:r>
          </w:p>
        </w:tc>
        <w:tc>
          <w:tcPr>
            <w:tcW w:w="1134" w:type="dxa"/>
            <w:vAlign w:val="center"/>
          </w:tcPr>
          <w:p w14:paraId="606A1EF6"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116 943 000*</w:t>
            </w:r>
          </w:p>
        </w:tc>
        <w:tc>
          <w:tcPr>
            <w:tcW w:w="1134" w:type="dxa"/>
            <w:vAlign w:val="center"/>
          </w:tcPr>
          <w:p w14:paraId="748BEF02" w14:textId="415F91C0" w:rsidR="00F22B0D" w:rsidRPr="00660EB3" w:rsidRDefault="00C21DB9"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99 401 550</w:t>
            </w:r>
          </w:p>
        </w:tc>
        <w:tc>
          <w:tcPr>
            <w:tcW w:w="1134" w:type="dxa"/>
            <w:vAlign w:val="center"/>
          </w:tcPr>
          <w:p w14:paraId="5FBC7ED3" w14:textId="63101DE4" w:rsidR="00F22B0D" w:rsidRPr="00660EB3" w:rsidRDefault="00BB1190"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17 541 450</w:t>
            </w:r>
          </w:p>
        </w:tc>
      </w:tr>
      <w:tr w:rsidR="00F22B0D" w:rsidRPr="00660EB3" w14:paraId="499B5AE3" w14:textId="31AF4BE9" w:rsidTr="638FD9FE">
        <w:trPr>
          <w:trHeight w:val="1670"/>
          <w:jc w:val="center"/>
        </w:trPr>
        <w:tc>
          <w:tcPr>
            <w:tcW w:w="1188" w:type="dxa"/>
            <w:vMerge/>
            <w:vAlign w:val="center"/>
          </w:tcPr>
          <w:p w14:paraId="4CD3D442" w14:textId="77777777" w:rsidR="00F22B0D" w:rsidRPr="00660EB3" w:rsidRDefault="00F22B0D" w:rsidP="00056AFE">
            <w:pPr>
              <w:contextualSpacing/>
              <w:jc w:val="center"/>
              <w:rPr>
                <w:rFonts w:ascii="Times New Roman" w:hAnsi="Times New Roman" w:cs="Times New Roman"/>
                <w:bCs/>
                <w:sz w:val="20"/>
                <w:szCs w:val="20"/>
              </w:rPr>
            </w:pPr>
          </w:p>
        </w:tc>
        <w:tc>
          <w:tcPr>
            <w:tcW w:w="1217" w:type="dxa"/>
            <w:vMerge/>
            <w:vAlign w:val="center"/>
          </w:tcPr>
          <w:p w14:paraId="7582CE7A" w14:textId="77777777" w:rsidR="00F22B0D" w:rsidRPr="00660EB3" w:rsidRDefault="00F22B0D" w:rsidP="00056AFE">
            <w:pPr>
              <w:contextualSpacing/>
              <w:jc w:val="center"/>
              <w:rPr>
                <w:rFonts w:ascii="Times New Roman" w:hAnsi="Times New Roman" w:cs="Times New Roman"/>
                <w:bCs/>
                <w:sz w:val="20"/>
                <w:szCs w:val="20"/>
              </w:rPr>
            </w:pPr>
          </w:p>
        </w:tc>
        <w:tc>
          <w:tcPr>
            <w:tcW w:w="992" w:type="dxa"/>
            <w:vMerge/>
            <w:vAlign w:val="center"/>
          </w:tcPr>
          <w:p w14:paraId="36380ABE" w14:textId="77777777" w:rsidR="00F22B0D" w:rsidRPr="00660EB3" w:rsidRDefault="00F22B0D" w:rsidP="00056AFE">
            <w:pPr>
              <w:contextualSpacing/>
              <w:jc w:val="center"/>
              <w:rPr>
                <w:rFonts w:ascii="Times New Roman" w:hAnsi="Times New Roman" w:cs="Times New Roman"/>
                <w:bCs/>
                <w:sz w:val="20"/>
                <w:szCs w:val="20"/>
              </w:rPr>
            </w:pPr>
          </w:p>
        </w:tc>
        <w:tc>
          <w:tcPr>
            <w:tcW w:w="1011" w:type="dxa"/>
            <w:vAlign w:val="center"/>
          </w:tcPr>
          <w:p w14:paraId="1F00EE92" w14:textId="0E9787D3" w:rsidR="00F22B0D" w:rsidRPr="00660EB3" w:rsidRDefault="0074220C" w:rsidP="00056AFE">
            <w:pPr>
              <w:contextualSpacing/>
              <w:jc w:val="center"/>
              <w:rPr>
                <w:rFonts w:ascii="Times New Roman" w:hAnsi="Times New Roman" w:cs="Times New Roman"/>
                <w:sz w:val="20"/>
                <w:szCs w:val="20"/>
              </w:rPr>
            </w:pPr>
            <w:r>
              <w:rPr>
                <w:rFonts w:ascii="Times New Roman" w:hAnsi="Times New Roman" w:cs="Times New Roman"/>
                <w:sz w:val="20"/>
                <w:szCs w:val="20"/>
              </w:rPr>
              <w:t>EDZL</w:t>
            </w:r>
          </w:p>
        </w:tc>
        <w:tc>
          <w:tcPr>
            <w:tcW w:w="1541" w:type="dxa"/>
            <w:vAlign w:val="center"/>
          </w:tcPr>
          <w:p w14:paraId="01CD1ED3" w14:textId="44DBAEE2" w:rsidR="00F22B0D" w:rsidRPr="00660EB3" w:rsidRDefault="00E01F64" w:rsidP="00056AFE">
            <w:pPr>
              <w:contextualSpacing/>
              <w:jc w:val="center"/>
              <w:rPr>
                <w:rFonts w:ascii="Times New Roman" w:hAnsi="Times New Roman" w:cs="Times New Roman"/>
                <w:bCs/>
                <w:i/>
                <w:iCs/>
                <w:sz w:val="20"/>
                <w:szCs w:val="20"/>
              </w:rPr>
            </w:pPr>
            <w:r>
              <w:rPr>
                <w:rFonts w:ascii="Times New Roman" w:hAnsi="Times New Roman" w:cs="Times New Roman"/>
                <w:i/>
                <w:iCs/>
                <w:color w:val="000000"/>
                <w:sz w:val="20"/>
                <w:szCs w:val="20"/>
              </w:rPr>
              <w:t xml:space="preserve">Darbinieki, </w:t>
            </w:r>
            <w:r w:rsidR="0072390B">
              <w:rPr>
                <w:rFonts w:ascii="Times New Roman" w:hAnsi="Times New Roman" w:cs="Times New Roman"/>
                <w:i/>
                <w:iCs/>
                <w:color w:val="000000"/>
                <w:sz w:val="20"/>
                <w:szCs w:val="20"/>
              </w:rPr>
              <w:t xml:space="preserve">aprīkojums, komandējumi, </w:t>
            </w:r>
            <w:r w:rsidR="00D9685F">
              <w:rPr>
                <w:rFonts w:ascii="Times New Roman" w:hAnsi="Times New Roman" w:cs="Times New Roman"/>
                <w:i/>
                <w:iCs/>
                <w:color w:val="000000"/>
                <w:sz w:val="20"/>
                <w:szCs w:val="20"/>
              </w:rPr>
              <w:t>uzturēšan</w:t>
            </w:r>
            <w:r w:rsidR="00BB4E42">
              <w:rPr>
                <w:rFonts w:ascii="Times New Roman" w:hAnsi="Times New Roman" w:cs="Times New Roman"/>
                <w:i/>
                <w:iCs/>
                <w:color w:val="000000"/>
                <w:sz w:val="20"/>
                <w:szCs w:val="20"/>
              </w:rPr>
              <w:t>ā</w:t>
            </w:r>
            <w:r w:rsidR="00D9685F">
              <w:rPr>
                <w:rFonts w:ascii="Times New Roman" w:hAnsi="Times New Roman" w:cs="Times New Roman"/>
                <w:i/>
                <w:iCs/>
                <w:color w:val="000000"/>
                <w:sz w:val="20"/>
                <w:szCs w:val="20"/>
              </w:rPr>
              <w:t>s u.c. izmaksas, darbi un pakalpojumi</w:t>
            </w:r>
          </w:p>
        </w:tc>
        <w:tc>
          <w:tcPr>
            <w:tcW w:w="1134" w:type="dxa"/>
            <w:vAlign w:val="center"/>
          </w:tcPr>
          <w:p w14:paraId="35243894"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sz w:val="20"/>
                <w:szCs w:val="20"/>
              </w:rPr>
              <w:t>1 145 000</w:t>
            </w:r>
          </w:p>
        </w:tc>
        <w:tc>
          <w:tcPr>
            <w:tcW w:w="1134" w:type="dxa"/>
            <w:vAlign w:val="center"/>
          </w:tcPr>
          <w:p w14:paraId="5944014E" w14:textId="5BD3D0E3" w:rsidR="00F22B0D" w:rsidRPr="00660EB3" w:rsidRDefault="006F331A"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973 250</w:t>
            </w:r>
          </w:p>
        </w:tc>
        <w:tc>
          <w:tcPr>
            <w:tcW w:w="1134" w:type="dxa"/>
            <w:vAlign w:val="center"/>
          </w:tcPr>
          <w:p w14:paraId="772E8233" w14:textId="63F11AAD" w:rsidR="00F22B0D" w:rsidRPr="00660EB3" w:rsidRDefault="006F331A"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171 750</w:t>
            </w:r>
          </w:p>
        </w:tc>
      </w:tr>
      <w:tr w:rsidR="00F22B0D" w:rsidRPr="00660EB3" w14:paraId="17B6BB63" w14:textId="5C3F5D9C" w:rsidTr="638FD9FE">
        <w:trPr>
          <w:trHeight w:val="1670"/>
          <w:jc w:val="center"/>
        </w:trPr>
        <w:tc>
          <w:tcPr>
            <w:tcW w:w="1188" w:type="dxa"/>
            <w:vMerge/>
            <w:vAlign w:val="center"/>
          </w:tcPr>
          <w:p w14:paraId="67FA8E21" w14:textId="77777777" w:rsidR="00F22B0D" w:rsidRPr="00660EB3" w:rsidRDefault="00F22B0D" w:rsidP="00056AFE">
            <w:pPr>
              <w:contextualSpacing/>
              <w:jc w:val="center"/>
              <w:rPr>
                <w:rFonts w:ascii="Times New Roman" w:hAnsi="Times New Roman" w:cs="Times New Roman"/>
                <w:bCs/>
                <w:sz w:val="20"/>
                <w:szCs w:val="20"/>
              </w:rPr>
            </w:pPr>
          </w:p>
        </w:tc>
        <w:tc>
          <w:tcPr>
            <w:tcW w:w="1217" w:type="dxa"/>
            <w:vMerge/>
            <w:vAlign w:val="center"/>
          </w:tcPr>
          <w:p w14:paraId="122B75C3" w14:textId="77777777" w:rsidR="00F22B0D" w:rsidRPr="00660EB3" w:rsidRDefault="00F22B0D" w:rsidP="00056AFE">
            <w:pPr>
              <w:contextualSpacing/>
              <w:jc w:val="center"/>
              <w:rPr>
                <w:rFonts w:ascii="Times New Roman" w:hAnsi="Times New Roman" w:cs="Times New Roman"/>
                <w:bCs/>
                <w:sz w:val="20"/>
                <w:szCs w:val="20"/>
              </w:rPr>
            </w:pPr>
          </w:p>
        </w:tc>
        <w:tc>
          <w:tcPr>
            <w:tcW w:w="992" w:type="dxa"/>
            <w:vMerge/>
            <w:vAlign w:val="center"/>
          </w:tcPr>
          <w:p w14:paraId="2851714A" w14:textId="77777777" w:rsidR="00F22B0D" w:rsidRPr="00660EB3" w:rsidRDefault="00F22B0D" w:rsidP="00056AFE">
            <w:pPr>
              <w:contextualSpacing/>
              <w:jc w:val="center"/>
              <w:rPr>
                <w:rFonts w:ascii="Times New Roman" w:hAnsi="Times New Roman" w:cs="Times New Roman"/>
                <w:bCs/>
                <w:sz w:val="20"/>
                <w:szCs w:val="20"/>
              </w:rPr>
            </w:pPr>
          </w:p>
        </w:tc>
        <w:tc>
          <w:tcPr>
            <w:tcW w:w="1011" w:type="dxa"/>
            <w:vAlign w:val="center"/>
          </w:tcPr>
          <w:p w14:paraId="5773E73E" w14:textId="1947AC55" w:rsidR="00F22B0D" w:rsidRPr="00660EB3" w:rsidRDefault="00C843DE" w:rsidP="00056AFE">
            <w:pPr>
              <w:contextualSpacing/>
              <w:jc w:val="center"/>
              <w:rPr>
                <w:rFonts w:ascii="Times New Roman" w:hAnsi="Times New Roman" w:cs="Times New Roman"/>
                <w:sz w:val="20"/>
                <w:szCs w:val="20"/>
              </w:rPr>
            </w:pPr>
            <w:r>
              <w:rPr>
                <w:rFonts w:ascii="Times New Roman" w:hAnsi="Times New Roman" w:cs="Times New Roman"/>
                <w:sz w:val="20"/>
                <w:szCs w:val="20"/>
              </w:rPr>
              <w:t>RBR</w:t>
            </w:r>
          </w:p>
        </w:tc>
        <w:tc>
          <w:tcPr>
            <w:tcW w:w="1541" w:type="dxa"/>
            <w:vAlign w:val="center"/>
          </w:tcPr>
          <w:p w14:paraId="147B1AAE" w14:textId="612B0C9C" w:rsidR="00F22B0D" w:rsidRPr="00660EB3" w:rsidRDefault="00D9685F" w:rsidP="00056AFE">
            <w:pPr>
              <w:contextualSpacing/>
              <w:jc w:val="center"/>
              <w:rPr>
                <w:rFonts w:ascii="Times New Roman" w:hAnsi="Times New Roman" w:cs="Times New Roman"/>
                <w:bCs/>
                <w:i/>
                <w:iCs/>
                <w:sz w:val="20"/>
                <w:szCs w:val="20"/>
              </w:rPr>
            </w:pPr>
            <w:r>
              <w:rPr>
                <w:rFonts w:ascii="Times New Roman" w:hAnsi="Times New Roman" w:cs="Times New Roman"/>
                <w:i/>
                <w:iCs/>
                <w:sz w:val="20"/>
                <w:szCs w:val="20"/>
              </w:rPr>
              <w:t>Darbinieki, komandējumi un uzturēšan</w:t>
            </w:r>
            <w:r w:rsidR="00BB4E42">
              <w:rPr>
                <w:rFonts w:ascii="Times New Roman" w:hAnsi="Times New Roman" w:cs="Times New Roman"/>
                <w:i/>
                <w:iCs/>
                <w:sz w:val="20"/>
                <w:szCs w:val="20"/>
              </w:rPr>
              <w:t>ā</w:t>
            </w:r>
            <w:r>
              <w:rPr>
                <w:rFonts w:ascii="Times New Roman" w:hAnsi="Times New Roman" w:cs="Times New Roman"/>
                <w:i/>
                <w:iCs/>
                <w:sz w:val="20"/>
                <w:szCs w:val="20"/>
              </w:rPr>
              <w:t>s izmaksas</w:t>
            </w:r>
          </w:p>
        </w:tc>
        <w:tc>
          <w:tcPr>
            <w:tcW w:w="1134" w:type="dxa"/>
            <w:vAlign w:val="center"/>
          </w:tcPr>
          <w:p w14:paraId="51BB40EE" w14:textId="77777777" w:rsidR="00F22B0D" w:rsidRPr="00660EB3" w:rsidRDefault="00F22B0D" w:rsidP="00056AFE">
            <w:pPr>
              <w:contextualSpacing/>
              <w:jc w:val="center"/>
              <w:rPr>
                <w:rFonts w:ascii="Times New Roman" w:hAnsi="Times New Roman" w:cs="Times New Roman"/>
                <w:b/>
                <w:bCs/>
                <w:sz w:val="20"/>
                <w:szCs w:val="20"/>
              </w:rPr>
            </w:pPr>
            <w:r w:rsidRPr="00660EB3">
              <w:rPr>
                <w:rFonts w:ascii="Times New Roman" w:hAnsi="Times New Roman" w:cs="Times New Roman"/>
                <w:sz w:val="20"/>
                <w:szCs w:val="20"/>
              </w:rPr>
              <w:t>772 943</w:t>
            </w:r>
          </w:p>
        </w:tc>
        <w:tc>
          <w:tcPr>
            <w:tcW w:w="1134" w:type="dxa"/>
            <w:vAlign w:val="center"/>
          </w:tcPr>
          <w:p w14:paraId="492F8578" w14:textId="69E44D27" w:rsidR="00F22B0D" w:rsidRPr="00660EB3" w:rsidRDefault="005A2578"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6</w:t>
            </w:r>
            <w:r w:rsidR="00C87041" w:rsidRPr="00660EB3">
              <w:rPr>
                <w:rFonts w:ascii="Times New Roman" w:hAnsi="Times New Roman" w:cs="Times New Roman"/>
                <w:sz w:val="20"/>
                <w:szCs w:val="20"/>
              </w:rPr>
              <w:t>57 002</w:t>
            </w:r>
          </w:p>
        </w:tc>
        <w:tc>
          <w:tcPr>
            <w:tcW w:w="1134" w:type="dxa"/>
            <w:vAlign w:val="center"/>
          </w:tcPr>
          <w:p w14:paraId="6DA84DF4" w14:textId="038569E7" w:rsidR="00F22B0D" w:rsidRPr="00660EB3" w:rsidRDefault="00C87041"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115</w:t>
            </w:r>
            <w:r w:rsidR="00775BC5" w:rsidRPr="00660EB3">
              <w:rPr>
                <w:rFonts w:ascii="Times New Roman" w:hAnsi="Times New Roman" w:cs="Times New Roman"/>
                <w:sz w:val="20"/>
                <w:szCs w:val="20"/>
              </w:rPr>
              <w:t xml:space="preserve"> 941</w:t>
            </w:r>
          </w:p>
        </w:tc>
      </w:tr>
    </w:tbl>
    <w:p w14:paraId="65E05D37" w14:textId="77777777" w:rsidR="00120B11" w:rsidRDefault="001A4C63" w:rsidP="00056AFE">
      <w:pPr>
        <w:spacing w:after="0" w:line="240" w:lineRule="auto"/>
        <w:contextualSpacing/>
        <w:jc w:val="both"/>
        <w:rPr>
          <w:rFonts w:eastAsia="Calibri" w:cs="Times New Roman"/>
          <w:sz w:val="24"/>
          <w:szCs w:val="24"/>
          <w:lang w:eastAsia="lv-LV"/>
        </w:rPr>
      </w:pPr>
      <w:r>
        <w:rPr>
          <w:rFonts w:eastAsia="Calibri" w:cs="Times New Roman"/>
          <w:sz w:val="24"/>
          <w:szCs w:val="24"/>
          <w:lang w:eastAsia="lv-LV"/>
        </w:rPr>
        <w:tab/>
      </w:r>
    </w:p>
    <w:p w14:paraId="16F94D58" w14:textId="79C98D07" w:rsidR="00865475" w:rsidRPr="00952CBD" w:rsidRDefault="00E0218B" w:rsidP="00056AFE">
      <w:pPr>
        <w:spacing w:after="0" w:line="240" w:lineRule="auto"/>
        <w:ind w:firstLine="720"/>
        <w:contextualSpacing/>
        <w:jc w:val="both"/>
        <w:rPr>
          <w:rFonts w:eastAsiaTheme="minorEastAsia" w:cs="Times New Roman"/>
          <w:sz w:val="24"/>
          <w:szCs w:val="24"/>
          <w:lang w:eastAsia="lv-LV"/>
        </w:rPr>
      </w:pPr>
      <w:r>
        <w:rPr>
          <w:rFonts w:eastAsia="Calibri" w:cs="Times New Roman"/>
          <w:sz w:val="24"/>
          <w:szCs w:val="24"/>
          <w:lang w:eastAsia="lv-LV"/>
        </w:rPr>
        <w:t>4. tabulā</w:t>
      </w:r>
      <w:r w:rsidR="00120B11">
        <w:rPr>
          <w:rFonts w:eastAsia="Calibri" w:cs="Times New Roman"/>
          <w:sz w:val="24"/>
          <w:szCs w:val="24"/>
          <w:lang w:eastAsia="lv-LV"/>
        </w:rPr>
        <w:t xml:space="preserve"> atspoguļotas CEF8 finansēšanas līguma aktivitātes </w:t>
      </w:r>
      <w:r w:rsidR="00120B11" w:rsidRPr="001E7F6D">
        <w:rPr>
          <w:rFonts w:eastAsia="Calibri" w:cs="Times New Roman"/>
          <w:sz w:val="24"/>
          <w:szCs w:val="24"/>
          <w:lang w:eastAsia="lv-LV"/>
        </w:rPr>
        <w:t>T3.1.1. līdz T3.1.4.</w:t>
      </w:r>
      <w:r w:rsidR="00120B11">
        <w:rPr>
          <w:rFonts w:eastAsia="Calibri" w:cs="Times New Roman"/>
          <w:sz w:val="24"/>
          <w:szCs w:val="24"/>
          <w:lang w:eastAsia="lv-LV"/>
        </w:rPr>
        <w:t>, proti, Rail Baltica pamattrases Latvijā dienvidu posma būvniecības I kārta, norādot katram uzņēmumam aktivitātes īstenošanas ietvaros piešķiramo finansējumu konkrētu pakalpojumu veikšanai.</w:t>
      </w:r>
    </w:p>
    <w:p w14:paraId="6599E09E" w14:textId="77777777" w:rsidR="00454A17" w:rsidRPr="00660EB3" w:rsidRDefault="00454A17" w:rsidP="00056AFE">
      <w:pPr>
        <w:spacing w:after="0" w:line="240" w:lineRule="auto"/>
        <w:contextualSpacing/>
        <w:jc w:val="both"/>
        <w:rPr>
          <w:rFonts w:eastAsia="Calibri" w:cs="Times New Roman"/>
          <w:sz w:val="24"/>
          <w:szCs w:val="24"/>
          <w:lang w:eastAsia="lv-LV"/>
        </w:rPr>
      </w:pPr>
    </w:p>
    <w:p w14:paraId="7518F0F9" w14:textId="780C189C" w:rsidR="00865475" w:rsidRPr="00660EB3" w:rsidRDefault="00F41BE8" w:rsidP="00056AFE">
      <w:pPr>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B</w:t>
      </w:r>
      <w:r w:rsidR="00865475" w:rsidRPr="00660EB3">
        <w:rPr>
          <w:rFonts w:eastAsiaTheme="minorEastAsia" w:cs="Times New Roman"/>
          <w:sz w:val="24"/>
          <w:szCs w:val="24"/>
          <w:lang w:eastAsia="lv-LV"/>
        </w:rPr>
        <w:t xml:space="preserve">ūvdarbu izmaksas </w:t>
      </w:r>
      <w:r>
        <w:rPr>
          <w:rFonts w:eastAsiaTheme="minorEastAsia" w:cs="Times New Roman"/>
          <w:sz w:val="24"/>
          <w:szCs w:val="24"/>
          <w:lang w:eastAsia="lv-LV"/>
        </w:rPr>
        <w:t xml:space="preserve">CEF9 </w:t>
      </w:r>
      <w:r w:rsidR="00865475" w:rsidRPr="00660EB3">
        <w:rPr>
          <w:rFonts w:eastAsiaTheme="minorEastAsia" w:cs="Times New Roman"/>
          <w:sz w:val="24"/>
          <w:szCs w:val="24"/>
          <w:lang w:eastAsia="lv-LV"/>
        </w:rPr>
        <w:t xml:space="preserve">finansēšanas līgumā iekļautajiem </w:t>
      </w:r>
      <w:r w:rsidR="00BA2D24">
        <w:rPr>
          <w:rFonts w:eastAsiaTheme="minorEastAsia" w:cs="Times New Roman"/>
          <w:sz w:val="24"/>
          <w:szCs w:val="24"/>
          <w:lang w:eastAsia="lv-LV"/>
        </w:rPr>
        <w:t>diviem</w:t>
      </w:r>
      <w:r w:rsidR="00865475" w:rsidRPr="00660EB3">
        <w:rPr>
          <w:rFonts w:eastAsiaTheme="minorEastAsia" w:cs="Times New Roman"/>
          <w:sz w:val="24"/>
          <w:szCs w:val="24"/>
          <w:lang w:eastAsia="lv-LV"/>
        </w:rPr>
        <w:t xml:space="preserve"> posmiem (būvprojektiem) provizoriski </w:t>
      </w:r>
      <w:r w:rsidR="004222FC">
        <w:rPr>
          <w:rFonts w:eastAsiaTheme="minorEastAsia" w:cs="Times New Roman"/>
          <w:sz w:val="24"/>
          <w:szCs w:val="24"/>
          <w:lang w:eastAsia="lv-LV"/>
        </w:rPr>
        <w:t>ir</w:t>
      </w:r>
      <w:r w:rsidR="004222FC" w:rsidRPr="00660EB3">
        <w:rPr>
          <w:rFonts w:eastAsiaTheme="minorEastAsia" w:cs="Times New Roman"/>
          <w:sz w:val="24"/>
          <w:szCs w:val="24"/>
          <w:lang w:eastAsia="lv-LV"/>
        </w:rPr>
        <w:t xml:space="preserve"> </w:t>
      </w:r>
      <w:r w:rsidR="00865475" w:rsidRPr="00660EB3">
        <w:rPr>
          <w:rFonts w:eastAsiaTheme="minorEastAsia" w:cs="Times New Roman"/>
          <w:sz w:val="24"/>
          <w:szCs w:val="24"/>
          <w:lang w:eastAsia="lv-LV"/>
        </w:rPr>
        <w:t>aptuveni:</w:t>
      </w:r>
    </w:p>
    <w:p w14:paraId="58E16FA6" w14:textId="03190B9E" w:rsidR="00865475" w:rsidRPr="00660EB3" w:rsidRDefault="00865475" w:rsidP="00911792">
      <w:pPr>
        <w:numPr>
          <w:ilvl w:val="0"/>
          <w:numId w:val="18"/>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 xml:space="preserve">31 456 000 </w:t>
      </w:r>
      <w:r w:rsidR="002C5510" w:rsidRPr="002C5510">
        <w:rPr>
          <w:rFonts w:eastAsiaTheme="minorEastAsia" w:cs="Times New Roman"/>
          <w:b/>
          <w:bCs/>
          <w:i/>
          <w:sz w:val="24"/>
          <w:szCs w:val="24"/>
          <w:lang w:eastAsia="lv-LV"/>
        </w:rPr>
        <w:t>euro</w:t>
      </w:r>
      <w:r w:rsidRPr="00660EB3">
        <w:rPr>
          <w:rFonts w:eastAsiaTheme="minorEastAsia" w:cs="Times New Roman"/>
          <w:sz w:val="24"/>
          <w:szCs w:val="24"/>
          <w:lang w:eastAsia="lv-LV"/>
        </w:rPr>
        <w:t xml:space="preserve"> (iekļauti virsizdevumi, peļņa un apdrošināšanas izmaksas, bet neieskaitot </w:t>
      </w:r>
      <w:r w:rsidR="00A25FB2">
        <w:rPr>
          <w:rFonts w:eastAsiaTheme="minorEastAsia" w:cs="Times New Roman"/>
          <w:sz w:val="24"/>
          <w:szCs w:val="24"/>
          <w:lang w:eastAsia="lv-LV"/>
        </w:rPr>
        <w:t>indeksāciju</w:t>
      </w:r>
      <w:r w:rsidR="00A25FB2" w:rsidRPr="00660EB3">
        <w:rPr>
          <w:rFonts w:eastAsiaTheme="minorEastAsia" w:cs="Times New Roman"/>
          <w:sz w:val="24"/>
          <w:szCs w:val="24"/>
          <w:lang w:eastAsia="lv-LV"/>
        </w:rPr>
        <w:t xml:space="preserve"> </w:t>
      </w:r>
      <w:r w:rsidRPr="00660EB3">
        <w:rPr>
          <w:rFonts w:eastAsiaTheme="minorEastAsia" w:cs="Times New Roman"/>
          <w:sz w:val="24"/>
          <w:szCs w:val="24"/>
          <w:lang w:eastAsia="lv-LV"/>
        </w:rPr>
        <w:t xml:space="preserve">un PVN), un tos ir paredzēts finansēt no CEF9 T3.1.1. un </w:t>
      </w:r>
      <w:r w:rsidRPr="00EC0C34">
        <w:rPr>
          <w:rFonts w:eastAsiaTheme="minorEastAsia" w:cs="Times New Roman"/>
          <w:sz w:val="24"/>
          <w:szCs w:val="24"/>
          <w:lang w:eastAsia="lv-LV"/>
        </w:rPr>
        <w:t>T5.2.1.</w:t>
      </w:r>
      <w:r w:rsidRPr="00660EB3">
        <w:rPr>
          <w:rFonts w:eastAsiaTheme="minorEastAsia" w:cs="Times New Roman"/>
          <w:sz w:val="24"/>
          <w:szCs w:val="24"/>
          <w:lang w:eastAsia="lv-LV"/>
        </w:rPr>
        <w:t xml:space="preserve"> aktivitāšu līdzekļiem;</w:t>
      </w:r>
    </w:p>
    <w:p w14:paraId="5B85226C" w14:textId="72DF5216" w:rsidR="00865475" w:rsidRPr="00660EB3" w:rsidRDefault="00865475" w:rsidP="00911792">
      <w:pPr>
        <w:numPr>
          <w:ilvl w:val="0"/>
          <w:numId w:val="18"/>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CEF9 T3.1.1. un </w:t>
      </w:r>
      <w:r w:rsidRPr="00EC0C34">
        <w:rPr>
          <w:rFonts w:eastAsiaTheme="minorEastAsia" w:cs="Times New Roman"/>
          <w:sz w:val="24"/>
          <w:szCs w:val="24"/>
          <w:lang w:eastAsia="lv-LV"/>
        </w:rPr>
        <w:t>T5.2.1.</w:t>
      </w:r>
      <w:r w:rsidRPr="00660EB3">
        <w:rPr>
          <w:rFonts w:eastAsiaTheme="minorEastAsia" w:cs="Times New Roman"/>
          <w:sz w:val="24"/>
          <w:szCs w:val="24"/>
          <w:lang w:eastAsia="lv-LV"/>
        </w:rPr>
        <w:t xml:space="preserve"> aktivitātēm, ieskaitot ieviesējinstitūciju izmaksas aktivitāšu veikšanai, ir pieejami finanšu līdzekļi </w:t>
      </w:r>
      <w:r w:rsidRPr="00660EB3">
        <w:rPr>
          <w:rFonts w:eastAsiaTheme="minorEastAsia" w:cs="Times New Roman"/>
          <w:b/>
          <w:bCs/>
          <w:sz w:val="24"/>
          <w:szCs w:val="24"/>
          <w:lang w:eastAsia="lv-LV"/>
        </w:rPr>
        <w:t xml:space="preserve">50 824 462 </w:t>
      </w:r>
      <w:r w:rsidR="002C5510" w:rsidRPr="002C5510">
        <w:rPr>
          <w:rFonts w:eastAsiaTheme="minorEastAsia" w:cs="Times New Roman"/>
          <w:b/>
          <w:bCs/>
          <w:i/>
          <w:sz w:val="24"/>
          <w:szCs w:val="24"/>
          <w:lang w:eastAsia="lv-LV"/>
        </w:rPr>
        <w:t>euro</w:t>
      </w:r>
      <w:r w:rsidRPr="00660EB3">
        <w:rPr>
          <w:rFonts w:eastAsiaTheme="minorEastAsia" w:cs="Times New Roman"/>
          <w:sz w:val="24"/>
          <w:szCs w:val="24"/>
          <w:lang w:eastAsia="lv-LV"/>
        </w:rPr>
        <w:t xml:space="preserve"> apmērā (neskaitot PVN). </w:t>
      </w:r>
    </w:p>
    <w:p w14:paraId="1D867163" w14:textId="77777777" w:rsidR="00865475" w:rsidRPr="00660EB3" w:rsidRDefault="00865475" w:rsidP="00056AFE">
      <w:pPr>
        <w:spacing w:after="0" w:line="240" w:lineRule="auto"/>
        <w:ind w:left="1287"/>
        <w:contextualSpacing/>
        <w:jc w:val="both"/>
        <w:rPr>
          <w:rFonts w:eastAsiaTheme="minorEastAsia" w:cs="Times New Roman"/>
          <w:sz w:val="24"/>
          <w:szCs w:val="24"/>
          <w:lang w:eastAsia="lv-LV"/>
        </w:rPr>
      </w:pPr>
    </w:p>
    <w:p w14:paraId="1BD87187" w14:textId="4937A48C" w:rsidR="00003E35" w:rsidRDefault="00865475" w:rsidP="00056AFE">
      <w:p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 xml:space="preserve">Detalizētāks finansējuma sadalījums CEF9 ietvaros pieejams </w:t>
      </w:r>
      <w:r w:rsidR="0062420B">
        <w:rPr>
          <w:rFonts w:eastAsiaTheme="minorEastAsia" w:cs="Times New Roman"/>
          <w:sz w:val="24"/>
          <w:szCs w:val="24"/>
          <w:lang w:eastAsia="lv-LV"/>
        </w:rPr>
        <w:t>5. un 6. tabulā</w:t>
      </w:r>
      <w:r w:rsidR="009D6829">
        <w:rPr>
          <w:rFonts w:eastAsiaTheme="minorEastAsia" w:cs="Times New Roman"/>
          <w:sz w:val="24"/>
          <w:szCs w:val="24"/>
          <w:lang w:eastAsia="lv-LV"/>
        </w:rPr>
        <w:t>:</w:t>
      </w:r>
    </w:p>
    <w:p w14:paraId="0B0DF68C" w14:textId="77777777" w:rsidR="009D6829" w:rsidRPr="00660EB3" w:rsidRDefault="009D6829" w:rsidP="00056AFE">
      <w:pPr>
        <w:spacing w:after="0" w:line="240" w:lineRule="auto"/>
        <w:contextualSpacing/>
        <w:jc w:val="both"/>
        <w:rPr>
          <w:rFonts w:eastAsiaTheme="minorEastAsia" w:cs="Times New Roman"/>
          <w:sz w:val="24"/>
          <w:szCs w:val="24"/>
          <w:lang w:eastAsia="lv-LV"/>
        </w:rPr>
      </w:pPr>
    </w:p>
    <w:p w14:paraId="4C335EE8" w14:textId="7C5CFDD7" w:rsidR="00865475" w:rsidRDefault="00B23F0F" w:rsidP="00056AFE">
      <w:pPr>
        <w:spacing w:after="0" w:line="240" w:lineRule="auto"/>
        <w:contextualSpacing/>
        <w:jc w:val="center"/>
        <w:rPr>
          <w:rFonts w:cs="Times New Roman"/>
          <w:b/>
          <w:sz w:val="24"/>
          <w:szCs w:val="24"/>
        </w:rPr>
      </w:pPr>
      <w:r>
        <w:rPr>
          <w:rFonts w:eastAsiaTheme="minorEastAsia" w:cs="Times New Roman"/>
          <w:b/>
          <w:bCs/>
          <w:sz w:val="24"/>
          <w:szCs w:val="24"/>
          <w:lang w:eastAsia="lv-LV"/>
        </w:rPr>
        <w:t>CEF9 finansējuma sadalījums</w:t>
      </w:r>
      <w:r>
        <w:rPr>
          <w:rFonts w:cs="Times New Roman"/>
          <w:b/>
          <w:sz w:val="24"/>
          <w:szCs w:val="24"/>
        </w:rPr>
        <w:t xml:space="preserve">, </w:t>
      </w:r>
      <w:r w:rsidR="002C5510" w:rsidRPr="002C5510">
        <w:rPr>
          <w:rFonts w:cs="Times New Roman"/>
          <w:b/>
          <w:i/>
          <w:sz w:val="24"/>
          <w:szCs w:val="24"/>
        </w:rPr>
        <w:t>euro</w:t>
      </w:r>
      <w:r w:rsidR="000D3A82" w:rsidRPr="00660EB3">
        <w:rPr>
          <w:rFonts w:cs="Times New Roman"/>
          <w:b/>
          <w:sz w:val="24"/>
          <w:szCs w:val="24"/>
        </w:rPr>
        <w:t>,</w:t>
      </w:r>
      <w:r w:rsidR="006457DF" w:rsidRPr="00660EB3">
        <w:rPr>
          <w:rFonts w:cs="Times New Roman"/>
          <w:b/>
          <w:sz w:val="24"/>
          <w:szCs w:val="24"/>
        </w:rPr>
        <w:t xml:space="preserve"> neskaitot PVN</w:t>
      </w:r>
    </w:p>
    <w:p w14:paraId="16B81317" w14:textId="0243943A" w:rsidR="00C371DB" w:rsidRPr="00022F8E" w:rsidRDefault="00022F8E" w:rsidP="00056AFE">
      <w:pPr>
        <w:spacing w:after="0" w:line="240" w:lineRule="auto"/>
        <w:contextualSpacing/>
        <w:jc w:val="right"/>
        <w:rPr>
          <w:rFonts w:cs="Times New Roman"/>
          <w:sz w:val="20"/>
          <w:szCs w:val="20"/>
        </w:rPr>
      </w:pPr>
      <w:r>
        <w:rPr>
          <w:rFonts w:eastAsiaTheme="minorEastAsia" w:cs="Times New Roman"/>
          <w:sz w:val="24"/>
          <w:szCs w:val="24"/>
          <w:lang w:eastAsia="lv-LV"/>
        </w:rPr>
        <w:t>5</w:t>
      </w:r>
      <w:r w:rsidR="0081431F" w:rsidRPr="00022F8E">
        <w:rPr>
          <w:rFonts w:eastAsiaTheme="minorEastAsia" w:cs="Times New Roman"/>
          <w:sz w:val="24"/>
          <w:szCs w:val="24"/>
          <w:lang w:eastAsia="lv-LV"/>
        </w:rPr>
        <w:t>. tabula</w:t>
      </w:r>
      <w:r w:rsidR="00C371DB" w:rsidRPr="00022F8E">
        <w:rPr>
          <w:rFonts w:cs="Times New Roman"/>
          <w:sz w:val="20"/>
          <w:szCs w:val="20"/>
        </w:rPr>
        <w:t xml:space="preserve"> </w:t>
      </w:r>
    </w:p>
    <w:tbl>
      <w:tblPr>
        <w:tblStyle w:val="TableGrid1"/>
        <w:tblW w:w="10437" w:type="dxa"/>
        <w:jc w:val="center"/>
        <w:tblLayout w:type="fixed"/>
        <w:tblLook w:val="04A0" w:firstRow="1" w:lastRow="0" w:firstColumn="1" w:lastColumn="0" w:noHBand="0" w:noVBand="1"/>
      </w:tblPr>
      <w:tblGrid>
        <w:gridCol w:w="1101"/>
        <w:gridCol w:w="1588"/>
        <w:gridCol w:w="1417"/>
        <w:gridCol w:w="1276"/>
        <w:gridCol w:w="1559"/>
        <w:gridCol w:w="1286"/>
        <w:gridCol w:w="1266"/>
        <w:gridCol w:w="944"/>
      </w:tblGrid>
      <w:tr w:rsidR="00FE1C24" w:rsidRPr="00660EB3" w14:paraId="297F28C2" w14:textId="0618555E" w:rsidTr="00F661C3">
        <w:trPr>
          <w:trHeight w:val="1226"/>
          <w:jc w:val="center"/>
        </w:trPr>
        <w:tc>
          <w:tcPr>
            <w:tcW w:w="1101" w:type="dxa"/>
            <w:vAlign w:val="center"/>
          </w:tcPr>
          <w:p w14:paraId="69CCD9B3"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lang w:bidi="lv-LV"/>
              </w:rPr>
              <w:lastRenderedPageBreak/>
              <w:t>Finansējuma avots, aktivitāte</w:t>
            </w:r>
          </w:p>
        </w:tc>
        <w:tc>
          <w:tcPr>
            <w:tcW w:w="1588" w:type="dxa"/>
            <w:vAlign w:val="center"/>
          </w:tcPr>
          <w:p w14:paraId="72C885AF" w14:textId="77777777" w:rsidR="00FE1C24" w:rsidRPr="00660EB3" w:rsidRDefault="00FE1C24" w:rsidP="00056AFE">
            <w:pPr>
              <w:ind w:left="34" w:hanging="34"/>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Aktivitātes</w:t>
            </w:r>
          </w:p>
          <w:p w14:paraId="11BD8CBA" w14:textId="77777777" w:rsidR="00FE1C24" w:rsidRPr="00660EB3" w:rsidRDefault="00FE1C24" w:rsidP="00056AFE">
            <w:pPr>
              <w:ind w:left="34" w:hanging="34"/>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apraksts</w:t>
            </w:r>
          </w:p>
        </w:tc>
        <w:tc>
          <w:tcPr>
            <w:tcW w:w="1417" w:type="dxa"/>
            <w:vAlign w:val="center"/>
          </w:tcPr>
          <w:p w14:paraId="2FCC82AE"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Kopējais aktivitātes finansējums,</w:t>
            </w:r>
          </w:p>
          <w:p w14:paraId="53BE0F26" w14:textId="16832EF3" w:rsidR="00FE1C24" w:rsidRPr="00660EB3" w:rsidRDefault="002C5510" w:rsidP="00056AFE">
            <w:pPr>
              <w:contextualSpacing/>
              <w:jc w:val="center"/>
              <w:rPr>
                <w:rFonts w:ascii="Times New Roman" w:hAnsi="Times New Roman" w:cs="Times New Roman"/>
                <w:b/>
                <w:bCs/>
                <w:sz w:val="20"/>
                <w:szCs w:val="20"/>
              </w:rPr>
            </w:pPr>
            <w:r w:rsidRPr="002C5510">
              <w:rPr>
                <w:rFonts w:ascii="Times New Roman" w:hAnsi="Times New Roman" w:cs="Times New Roman"/>
                <w:b/>
                <w:bCs/>
                <w:i/>
                <w:sz w:val="20"/>
                <w:szCs w:val="20"/>
              </w:rPr>
              <w:t>euro</w:t>
            </w:r>
            <w:r w:rsidR="00DB11B4">
              <w:rPr>
                <w:rFonts w:ascii="Times New Roman" w:hAnsi="Times New Roman" w:cs="Times New Roman"/>
                <w:b/>
                <w:bCs/>
                <w:sz w:val="20"/>
                <w:szCs w:val="20"/>
              </w:rPr>
              <w:t xml:space="preserve"> </w:t>
            </w:r>
            <w:r w:rsidR="00FE1C24" w:rsidRPr="00660EB3">
              <w:rPr>
                <w:rFonts w:ascii="Times New Roman" w:hAnsi="Times New Roman" w:cs="Times New Roman"/>
                <w:b/>
                <w:bCs/>
                <w:sz w:val="20"/>
                <w:szCs w:val="20"/>
              </w:rPr>
              <w:t>(neskaitot PVN)</w:t>
            </w:r>
          </w:p>
        </w:tc>
        <w:tc>
          <w:tcPr>
            <w:tcW w:w="1276" w:type="dxa"/>
            <w:vAlign w:val="center"/>
          </w:tcPr>
          <w:p w14:paraId="3D57F8A6"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Uzņēmums</w:t>
            </w:r>
          </w:p>
        </w:tc>
        <w:tc>
          <w:tcPr>
            <w:tcW w:w="1559" w:type="dxa"/>
            <w:vAlign w:val="center"/>
          </w:tcPr>
          <w:p w14:paraId="72EADBF5"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Pakalpojuma būtība atbilstoši CEF pieteikumam</w:t>
            </w:r>
          </w:p>
        </w:tc>
        <w:tc>
          <w:tcPr>
            <w:tcW w:w="1286" w:type="dxa"/>
            <w:vAlign w:val="center"/>
          </w:tcPr>
          <w:p w14:paraId="5DFC0CAD" w14:textId="15176E7A" w:rsidR="00FE1C24" w:rsidRPr="00660EB3" w:rsidRDefault="008A08A8" w:rsidP="00056AFE">
            <w:pPr>
              <w:contextualSpacing/>
              <w:jc w:val="center"/>
              <w:rPr>
                <w:rFonts w:ascii="Times New Roman" w:hAnsi="Times New Roman" w:cs="Times New Roman"/>
                <w:b/>
                <w:bCs/>
                <w:sz w:val="20"/>
                <w:szCs w:val="20"/>
              </w:rPr>
            </w:pPr>
            <w:r>
              <w:rPr>
                <w:rFonts w:ascii="Times New Roman" w:hAnsi="Times New Roman" w:cs="Times New Roman"/>
                <w:b/>
                <w:sz w:val="20"/>
                <w:szCs w:val="20"/>
              </w:rPr>
              <w:t>F</w:t>
            </w:r>
            <w:r w:rsidR="00B417B7">
              <w:rPr>
                <w:rFonts w:ascii="Times New Roman" w:hAnsi="Times New Roman" w:cs="Times New Roman"/>
                <w:b/>
                <w:sz w:val="20"/>
                <w:szCs w:val="20"/>
              </w:rPr>
              <w:t xml:space="preserve">inansēšanas līguma </w:t>
            </w:r>
            <w:r w:rsidR="00E851A5">
              <w:rPr>
                <w:rFonts w:ascii="Times New Roman" w:hAnsi="Times New Roman" w:cs="Times New Roman"/>
                <w:b/>
                <w:sz w:val="20"/>
                <w:szCs w:val="20"/>
              </w:rPr>
              <w:t xml:space="preserve"> </w:t>
            </w:r>
            <w:r w:rsidR="00B417B7">
              <w:rPr>
                <w:rFonts w:ascii="Times New Roman" w:hAnsi="Times New Roman" w:cs="Times New Roman"/>
                <w:b/>
                <w:sz w:val="20"/>
                <w:szCs w:val="20"/>
              </w:rPr>
              <w:t>aktivitātes kopējais budžets (CEF</w:t>
            </w:r>
            <w:r w:rsidR="00E851A5">
              <w:rPr>
                <w:rFonts w:ascii="Times New Roman" w:hAnsi="Times New Roman" w:cs="Times New Roman"/>
                <w:b/>
                <w:sz w:val="20"/>
                <w:szCs w:val="20"/>
              </w:rPr>
              <w:t xml:space="preserve"> un </w:t>
            </w:r>
            <w:r w:rsidR="00B417B7">
              <w:rPr>
                <w:rFonts w:ascii="Times New Roman" w:hAnsi="Times New Roman" w:cs="Times New Roman"/>
                <w:b/>
                <w:sz w:val="20"/>
                <w:szCs w:val="20"/>
              </w:rPr>
              <w:t>valsts līdzfinansējums, bez PVN)</w:t>
            </w:r>
          </w:p>
        </w:tc>
        <w:tc>
          <w:tcPr>
            <w:tcW w:w="1266" w:type="dxa"/>
            <w:vAlign w:val="center"/>
          </w:tcPr>
          <w:p w14:paraId="6FB0C406" w14:textId="3796CCA2" w:rsidR="00FE1C24" w:rsidRPr="00660EB3" w:rsidRDefault="00FE1C24" w:rsidP="00056AFE">
            <w:pPr>
              <w:contextualSpacing/>
              <w:jc w:val="center"/>
              <w:rPr>
                <w:rFonts w:ascii="Times New Roman" w:hAnsi="Times New Roman" w:cs="Times New Roman"/>
                <w:b/>
                <w:sz w:val="18"/>
                <w:szCs w:val="18"/>
              </w:rPr>
            </w:pPr>
            <w:r w:rsidRPr="00660EB3">
              <w:rPr>
                <w:rFonts w:ascii="Times New Roman" w:hAnsi="Times New Roman" w:cs="Times New Roman"/>
                <w:b/>
                <w:sz w:val="18"/>
                <w:szCs w:val="18"/>
              </w:rPr>
              <w:t>CEF finansējums</w:t>
            </w:r>
          </w:p>
        </w:tc>
        <w:tc>
          <w:tcPr>
            <w:tcW w:w="944" w:type="dxa"/>
            <w:vAlign w:val="center"/>
          </w:tcPr>
          <w:p w14:paraId="2E296F2B" w14:textId="0651C0B0" w:rsidR="00FE1C24" w:rsidRPr="00660EB3" w:rsidRDefault="00FE1C24" w:rsidP="00056AFE">
            <w:pPr>
              <w:contextualSpacing/>
              <w:jc w:val="center"/>
              <w:rPr>
                <w:rFonts w:ascii="Times New Roman" w:hAnsi="Times New Roman" w:cs="Times New Roman"/>
                <w:b/>
                <w:sz w:val="18"/>
                <w:szCs w:val="18"/>
              </w:rPr>
            </w:pPr>
            <w:r w:rsidRPr="00660EB3">
              <w:rPr>
                <w:rFonts w:ascii="Times New Roman" w:hAnsi="Times New Roman" w:cs="Times New Roman"/>
                <w:b/>
                <w:sz w:val="18"/>
                <w:szCs w:val="18"/>
              </w:rPr>
              <w:t>Valsts budžet</w:t>
            </w:r>
            <w:r w:rsidR="009A1BCD">
              <w:rPr>
                <w:rFonts w:ascii="Times New Roman" w:hAnsi="Times New Roman" w:cs="Times New Roman"/>
                <w:b/>
                <w:sz w:val="18"/>
                <w:szCs w:val="18"/>
              </w:rPr>
              <w:t>a līdzfinansējums</w:t>
            </w:r>
            <w:r w:rsidR="001F79AA">
              <w:rPr>
                <w:rFonts w:ascii="Times New Roman" w:hAnsi="Times New Roman" w:cs="Times New Roman"/>
                <w:b/>
                <w:sz w:val="18"/>
                <w:szCs w:val="18"/>
              </w:rPr>
              <w:t xml:space="preserve"> (bez PVN)</w:t>
            </w:r>
          </w:p>
          <w:p w14:paraId="6E8FA1B5" w14:textId="291F05C1" w:rsidR="00FE1C24" w:rsidRPr="00660EB3" w:rsidRDefault="00FE1C24" w:rsidP="00056AFE">
            <w:pPr>
              <w:contextualSpacing/>
              <w:jc w:val="center"/>
              <w:rPr>
                <w:rFonts w:ascii="Times New Roman" w:hAnsi="Times New Roman" w:cs="Times New Roman"/>
                <w:b/>
                <w:sz w:val="18"/>
                <w:szCs w:val="18"/>
              </w:rPr>
            </w:pPr>
          </w:p>
        </w:tc>
      </w:tr>
      <w:tr w:rsidR="00FE1C24" w:rsidRPr="00660EB3" w14:paraId="5A897EAD" w14:textId="55B22877" w:rsidTr="00043EB5">
        <w:trPr>
          <w:trHeight w:val="1244"/>
          <w:jc w:val="center"/>
        </w:trPr>
        <w:tc>
          <w:tcPr>
            <w:tcW w:w="1101" w:type="dxa"/>
            <w:vMerge w:val="restart"/>
            <w:vAlign w:val="center"/>
          </w:tcPr>
          <w:p w14:paraId="0E4B6123" w14:textId="77777777" w:rsidR="00FE1C24" w:rsidRPr="00660EB3" w:rsidRDefault="00FE1C24"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CEF9,</w:t>
            </w:r>
          </w:p>
          <w:p w14:paraId="7CDA3A34" w14:textId="77777777" w:rsidR="00FE1C24" w:rsidRPr="00660EB3" w:rsidRDefault="00FE1C24"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T3.1.1. aktivitāte</w:t>
            </w:r>
          </w:p>
        </w:tc>
        <w:tc>
          <w:tcPr>
            <w:tcW w:w="1588" w:type="dxa"/>
            <w:vMerge w:val="restart"/>
            <w:vAlign w:val="center"/>
          </w:tcPr>
          <w:p w14:paraId="4796EAF4" w14:textId="6C734F4A" w:rsidR="009F1C91" w:rsidRDefault="009F1C91" w:rsidP="00056AFE">
            <w:pPr>
              <w:contextualSpacing/>
              <w:jc w:val="center"/>
              <w:rPr>
                <w:rFonts w:ascii="Times New Roman" w:hAnsi="Times New Roman" w:cs="Times New Roman"/>
                <w:bCs/>
                <w:i/>
                <w:iCs/>
                <w:sz w:val="20"/>
                <w:szCs w:val="20"/>
              </w:rPr>
            </w:pPr>
            <w:r>
              <w:rPr>
                <w:rFonts w:ascii="Times New Roman" w:hAnsi="Times New Roman" w:cs="Times New Roman"/>
                <w:bCs/>
                <w:i/>
                <w:iCs/>
                <w:sz w:val="20"/>
                <w:szCs w:val="20"/>
              </w:rPr>
              <w:t>Apakškonstrukciju</w:t>
            </w:r>
            <w:r w:rsidR="002C5919">
              <w:rPr>
                <w:rFonts w:ascii="Times New Roman" w:hAnsi="Times New Roman" w:cs="Times New Roman"/>
                <w:bCs/>
                <w:i/>
                <w:iCs/>
                <w:sz w:val="20"/>
                <w:szCs w:val="20"/>
              </w:rPr>
              <w:t xml:space="preserve"> un inženiertehnisko būvju būvniecība</w:t>
            </w:r>
            <w:r w:rsidR="003D5406">
              <w:rPr>
                <w:rFonts w:ascii="Times New Roman" w:hAnsi="Times New Roman" w:cs="Times New Roman"/>
                <w:bCs/>
                <w:i/>
                <w:iCs/>
                <w:sz w:val="20"/>
                <w:szCs w:val="20"/>
              </w:rPr>
              <w:t>, piekļuves ceļi:</w:t>
            </w:r>
          </w:p>
          <w:p w14:paraId="5AF7C976" w14:textId="154F1B58" w:rsidR="00FE1C24" w:rsidRPr="00660EB3" w:rsidRDefault="00FE1C24" w:rsidP="00056AFE">
            <w:pPr>
              <w:contextualSpacing/>
              <w:jc w:val="center"/>
              <w:rPr>
                <w:rFonts w:ascii="Times New Roman" w:hAnsi="Times New Roman" w:cs="Times New Roman"/>
                <w:bCs/>
                <w:i/>
                <w:iCs/>
                <w:sz w:val="20"/>
                <w:szCs w:val="20"/>
              </w:rPr>
            </w:pPr>
            <w:r w:rsidRPr="00660EB3">
              <w:rPr>
                <w:rFonts w:ascii="Times New Roman" w:hAnsi="Times New Roman" w:cs="Times New Roman"/>
                <w:bCs/>
                <w:i/>
                <w:iCs/>
                <w:sz w:val="20"/>
                <w:szCs w:val="20"/>
              </w:rPr>
              <w:t>DS4 DPS BP3, 156+000 – 157+000</w:t>
            </w:r>
          </w:p>
        </w:tc>
        <w:tc>
          <w:tcPr>
            <w:tcW w:w="1417" w:type="dxa"/>
            <w:vMerge w:val="restart"/>
            <w:vAlign w:val="center"/>
          </w:tcPr>
          <w:p w14:paraId="6EF89559" w14:textId="77777777" w:rsidR="00FE1C24" w:rsidRPr="00660EB3" w:rsidRDefault="00FE1C24"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15 857 749</w:t>
            </w:r>
          </w:p>
          <w:p w14:paraId="51865D3C" w14:textId="77777777" w:rsidR="00FE1C24" w:rsidRPr="00660EB3" w:rsidRDefault="00FE1C24" w:rsidP="00056AFE">
            <w:pPr>
              <w:contextualSpacing/>
              <w:jc w:val="center"/>
              <w:rPr>
                <w:rFonts w:ascii="Times New Roman" w:hAnsi="Times New Roman" w:cs="Times New Roman"/>
                <w:bCs/>
                <w:sz w:val="20"/>
                <w:szCs w:val="20"/>
              </w:rPr>
            </w:pPr>
          </w:p>
          <w:p w14:paraId="2AB3A1D6" w14:textId="77777777" w:rsidR="00FE1C24" w:rsidRPr="00660EB3" w:rsidRDefault="00FE1C24" w:rsidP="00056AFE">
            <w:pPr>
              <w:contextualSpacing/>
              <w:jc w:val="center"/>
              <w:rPr>
                <w:rFonts w:ascii="Times New Roman" w:hAnsi="Times New Roman" w:cs="Times New Roman"/>
                <w:b/>
                <w:sz w:val="20"/>
                <w:szCs w:val="20"/>
              </w:rPr>
            </w:pPr>
            <w:r w:rsidRPr="00660EB3">
              <w:rPr>
                <w:rFonts w:ascii="Times New Roman" w:hAnsi="Times New Roman" w:cs="Times New Roman"/>
                <w:b/>
                <w:sz w:val="20"/>
                <w:szCs w:val="20"/>
              </w:rPr>
              <w:t>15 100 000*</w:t>
            </w:r>
          </w:p>
        </w:tc>
        <w:tc>
          <w:tcPr>
            <w:tcW w:w="1276" w:type="dxa"/>
            <w:vAlign w:val="center"/>
          </w:tcPr>
          <w:p w14:paraId="48545CD1" w14:textId="77777777" w:rsidR="00FE1C24" w:rsidRPr="00660EB3" w:rsidRDefault="00FE1C24"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E.R.B. Rail Baltica JV</w:t>
            </w:r>
          </w:p>
        </w:tc>
        <w:tc>
          <w:tcPr>
            <w:tcW w:w="1559" w:type="dxa"/>
            <w:shd w:val="clear" w:color="auto" w:fill="FFFFFF" w:themeFill="background1"/>
            <w:vAlign w:val="center"/>
          </w:tcPr>
          <w:p w14:paraId="6779A21A" w14:textId="33862A32" w:rsidR="00FE1C24" w:rsidRPr="00660EB3" w:rsidRDefault="00043EB5" w:rsidP="00056AFE">
            <w:pPr>
              <w:contextualSpacing/>
              <w:jc w:val="center"/>
              <w:rPr>
                <w:rFonts w:ascii="Times New Roman" w:hAnsi="Times New Roman" w:cs="Times New Roman"/>
                <w:bCs/>
                <w:i/>
                <w:iCs/>
                <w:sz w:val="20"/>
                <w:szCs w:val="20"/>
              </w:rPr>
            </w:pPr>
            <w:r>
              <w:rPr>
                <w:rFonts w:ascii="Times New Roman" w:hAnsi="Times New Roman" w:cs="Times New Roman"/>
                <w:i/>
                <w:iCs/>
                <w:color w:val="000000"/>
                <w:sz w:val="20"/>
                <w:szCs w:val="20"/>
              </w:rPr>
              <w:t>Apakšl</w:t>
            </w:r>
            <w:r w:rsidRPr="00043EB5">
              <w:rPr>
                <w:rFonts w:ascii="Times New Roman" w:hAnsi="Times New Roman" w:cs="Times New Roman"/>
                <w:i/>
                <w:iCs/>
                <w:color w:val="000000"/>
                <w:sz w:val="20"/>
                <w:szCs w:val="20"/>
              </w:rPr>
              <w:t>īguma izmaksas</w:t>
            </w:r>
          </w:p>
        </w:tc>
        <w:tc>
          <w:tcPr>
            <w:tcW w:w="1286" w:type="dxa"/>
            <w:vAlign w:val="center"/>
          </w:tcPr>
          <w:p w14:paraId="404CBA07"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15 100 000*</w:t>
            </w:r>
          </w:p>
        </w:tc>
        <w:tc>
          <w:tcPr>
            <w:tcW w:w="1266" w:type="dxa"/>
            <w:vAlign w:val="center"/>
          </w:tcPr>
          <w:p w14:paraId="2EB8C004" w14:textId="6592A71C" w:rsidR="00FE1C24" w:rsidRPr="00660EB3" w:rsidRDefault="00C604AB" w:rsidP="00056AFE">
            <w:pPr>
              <w:contextualSpacing/>
              <w:jc w:val="center"/>
              <w:rPr>
                <w:rFonts w:ascii="Times New Roman" w:hAnsi="Times New Roman" w:cs="Times New Roman"/>
                <w:b/>
                <w:bCs/>
                <w:sz w:val="18"/>
                <w:szCs w:val="18"/>
              </w:rPr>
            </w:pPr>
            <w:r w:rsidRPr="00660EB3">
              <w:rPr>
                <w:rFonts w:ascii="Times New Roman" w:hAnsi="Times New Roman" w:cs="Times New Roman"/>
                <w:b/>
                <w:bCs/>
                <w:sz w:val="18"/>
                <w:szCs w:val="18"/>
              </w:rPr>
              <w:t>12 835 000</w:t>
            </w:r>
          </w:p>
        </w:tc>
        <w:tc>
          <w:tcPr>
            <w:tcW w:w="944" w:type="dxa"/>
            <w:vAlign w:val="center"/>
          </w:tcPr>
          <w:p w14:paraId="2EC7484E" w14:textId="34F542AC" w:rsidR="00FE1C24" w:rsidRPr="00660EB3" w:rsidRDefault="007A0DDA" w:rsidP="00056AFE">
            <w:pPr>
              <w:contextualSpacing/>
              <w:jc w:val="center"/>
              <w:rPr>
                <w:rFonts w:ascii="Times New Roman" w:hAnsi="Times New Roman" w:cs="Times New Roman"/>
                <w:b/>
                <w:bCs/>
                <w:sz w:val="18"/>
                <w:szCs w:val="18"/>
              </w:rPr>
            </w:pPr>
            <w:r w:rsidRPr="00660EB3">
              <w:rPr>
                <w:rFonts w:ascii="Times New Roman" w:hAnsi="Times New Roman" w:cs="Times New Roman"/>
                <w:b/>
                <w:bCs/>
                <w:sz w:val="18"/>
                <w:szCs w:val="18"/>
              </w:rPr>
              <w:t>2 265 000</w:t>
            </w:r>
          </w:p>
        </w:tc>
      </w:tr>
      <w:tr w:rsidR="00FE1C24" w:rsidRPr="00660EB3" w14:paraId="3787C8BA" w14:textId="157D6D97" w:rsidTr="003807A9">
        <w:trPr>
          <w:trHeight w:val="1244"/>
          <w:jc w:val="center"/>
        </w:trPr>
        <w:tc>
          <w:tcPr>
            <w:tcW w:w="1101" w:type="dxa"/>
            <w:vMerge/>
            <w:vAlign w:val="center"/>
          </w:tcPr>
          <w:p w14:paraId="67CD8E68" w14:textId="77777777" w:rsidR="00FE1C24" w:rsidRPr="00660EB3" w:rsidRDefault="00FE1C24" w:rsidP="00056AFE">
            <w:pPr>
              <w:contextualSpacing/>
              <w:jc w:val="center"/>
              <w:rPr>
                <w:rFonts w:ascii="Times New Roman" w:hAnsi="Times New Roman" w:cs="Times New Roman"/>
                <w:bCs/>
                <w:sz w:val="20"/>
                <w:szCs w:val="20"/>
              </w:rPr>
            </w:pPr>
          </w:p>
        </w:tc>
        <w:tc>
          <w:tcPr>
            <w:tcW w:w="1588" w:type="dxa"/>
            <w:vMerge/>
            <w:vAlign w:val="center"/>
          </w:tcPr>
          <w:p w14:paraId="53DD2AA2" w14:textId="77777777" w:rsidR="00FE1C24" w:rsidRPr="00660EB3" w:rsidRDefault="00FE1C24" w:rsidP="00056AFE">
            <w:pPr>
              <w:contextualSpacing/>
              <w:jc w:val="center"/>
              <w:rPr>
                <w:rFonts w:ascii="Times New Roman" w:hAnsi="Times New Roman" w:cs="Times New Roman"/>
                <w:bCs/>
                <w:sz w:val="20"/>
                <w:szCs w:val="20"/>
              </w:rPr>
            </w:pPr>
          </w:p>
        </w:tc>
        <w:tc>
          <w:tcPr>
            <w:tcW w:w="1417" w:type="dxa"/>
            <w:vMerge/>
            <w:vAlign w:val="center"/>
          </w:tcPr>
          <w:p w14:paraId="66B9768B" w14:textId="77777777" w:rsidR="00FE1C24" w:rsidRPr="00660EB3" w:rsidRDefault="00FE1C24" w:rsidP="00056AFE">
            <w:pPr>
              <w:contextualSpacing/>
              <w:jc w:val="center"/>
              <w:rPr>
                <w:rFonts w:ascii="Times New Roman" w:hAnsi="Times New Roman" w:cs="Times New Roman"/>
                <w:bCs/>
                <w:sz w:val="20"/>
                <w:szCs w:val="20"/>
              </w:rPr>
            </w:pPr>
          </w:p>
        </w:tc>
        <w:tc>
          <w:tcPr>
            <w:tcW w:w="1276" w:type="dxa"/>
            <w:vAlign w:val="center"/>
          </w:tcPr>
          <w:p w14:paraId="7405AFB3" w14:textId="1BDEA272" w:rsidR="00FE1C24" w:rsidRPr="00660EB3" w:rsidRDefault="0074220C" w:rsidP="00056AFE">
            <w:pPr>
              <w:contextualSpacing/>
              <w:jc w:val="center"/>
              <w:rPr>
                <w:rFonts w:ascii="Times New Roman" w:hAnsi="Times New Roman" w:cs="Times New Roman"/>
                <w:sz w:val="20"/>
                <w:szCs w:val="20"/>
              </w:rPr>
            </w:pPr>
            <w:r>
              <w:rPr>
                <w:rFonts w:ascii="Times New Roman" w:hAnsi="Times New Roman" w:cs="Times New Roman"/>
                <w:sz w:val="20"/>
                <w:szCs w:val="20"/>
              </w:rPr>
              <w:t>EDZL</w:t>
            </w:r>
          </w:p>
        </w:tc>
        <w:tc>
          <w:tcPr>
            <w:tcW w:w="1559" w:type="dxa"/>
            <w:vAlign w:val="center"/>
          </w:tcPr>
          <w:p w14:paraId="193253E0" w14:textId="0AA7E3C9" w:rsidR="00FE1C24" w:rsidRPr="00660EB3" w:rsidRDefault="006F77A3" w:rsidP="00056AFE">
            <w:pPr>
              <w:contextualSpacing/>
              <w:jc w:val="center"/>
              <w:rPr>
                <w:rFonts w:ascii="Times New Roman" w:hAnsi="Times New Roman" w:cs="Times New Roman"/>
                <w:bCs/>
                <w:i/>
                <w:iCs/>
                <w:sz w:val="20"/>
                <w:szCs w:val="20"/>
              </w:rPr>
            </w:pPr>
            <w:r>
              <w:rPr>
                <w:rFonts w:ascii="Times New Roman" w:hAnsi="Times New Roman" w:cs="Times New Roman"/>
                <w:i/>
                <w:iCs/>
                <w:color w:val="000000"/>
                <w:sz w:val="20"/>
                <w:szCs w:val="20"/>
              </w:rPr>
              <w:t xml:space="preserve">Darbinieki, aprīkojums, citi </w:t>
            </w:r>
            <w:r w:rsidR="00987E7E">
              <w:rPr>
                <w:rFonts w:ascii="Times New Roman" w:hAnsi="Times New Roman" w:cs="Times New Roman"/>
                <w:i/>
                <w:iCs/>
                <w:color w:val="000000"/>
                <w:sz w:val="20"/>
                <w:szCs w:val="20"/>
              </w:rPr>
              <w:t>darbi un pakalpojumi</w:t>
            </w:r>
          </w:p>
        </w:tc>
        <w:tc>
          <w:tcPr>
            <w:tcW w:w="1286" w:type="dxa"/>
            <w:vAlign w:val="center"/>
          </w:tcPr>
          <w:p w14:paraId="3AC876F1"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sz w:val="20"/>
                <w:szCs w:val="20"/>
              </w:rPr>
              <w:t>632 000</w:t>
            </w:r>
          </w:p>
        </w:tc>
        <w:tc>
          <w:tcPr>
            <w:tcW w:w="1266" w:type="dxa"/>
            <w:vAlign w:val="center"/>
          </w:tcPr>
          <w:p w14:paraId="04C3C9A7" w14:textId="4ABE496A" w:rsidR="00FE1C24" w:rsidRPr="00660EB3" w:rsidRDefault="00A4413B" w:rsidP="00056AFE">
            <w:pPr>
              <w:contextualSpacing/>
              <w:jc w:val="center"/>
              <w:rPr>
                <w:rFonts w:ascii="Times New Roman" w:hAnsi="Times New Roman" w:cs="Times New Roman"/>
                <w:b/>
                <w:sz w:val="18"/>
                <w:szCs w:val="18"/>
              </w:rPr>
            </w:pPr>
            <w:r w:rsidRPr="00660EB3">
              <w:rPr>
                <w:rFonts w:ascii="Times New Roman" w:hAnsi="Times New Roman" w:cs="Times New Roman"/>
                <w:b/>
                <w:sz w:val="18"/>
                <w:szCs w:val="18"/>
              </w:rPr>
              <w:t>537 200</w:t>
            </w:r>
          </w:p>
        </w:tc>
        <w:tc>
          <w:tcPr>
            <w:tcW w:w="944" w:type="dxa"/>
            <w:vAlign w:val="center"/>
          </w:tcPr>
          <w:p w14:paraId="07E20144" w14:textId="1DEE3FAD" w:rsidR="00FE1C24" w:rsidRPr="00660EB3" w:rsidRDefault="007B70EF" w:rsidP="00056AFE">
            <w:pPr>
              <w:contextualSpacing/>
              <w:jc w:val="center"/>
              <w:rPr>
                <w:rFonts w:ascii="Times New Roman" w:hAnsi="Times New Roman" w:cs="Times New Roman"/>
                <w:b/>
                <w:sz w:val="18"/>
                <w:szCs w:val="18"/>
              </w:rPr>
            </w:pPr>
            <w:r w:rsidRPr="00660EB3">
              <w:rPr>
                <w:rFonts w:ascii="Times New Roman" w:hAnsi="Times New Roman" w:cs="Times New Roman"/>
                <w:b/>
                <w:sz w:val="18"/>
                <w:szCs w:val="18"/>
              </w:rPr>
              <w:t>94 800</w:t>
            </w:r>
          </w:p>
        </w:tc>
      </w:tr>
      <w:tr w:rsidR="00FE1C24" w:rsidRPr="00660EB3" w14:paraId="58251641" w14:textId="055B9C33" w:rsidTr="003807A9">
        <w:trPr>
          <w:trHeight w:val="1244"/>
          <w:jc w:val="center"/>
        </w:trPr>
        <w:tc>
          <w:tcPr>
            <w:tcW w:w="1101" w:type="dxa"/>
            <w:vMerge/>
            <w:vAlign w:val="center"/>
          </w:tcPr>
          <w:p w14:paraId="6F2C64DA" w14:textId="77777777" w:rsidR="00FE1C24" w:rsidRPr="00660EB3" w:rsidRDefault="00FE1C24" w:rsidP="00056AFE">
            <w:pPr>
              <w:contextualSpacing/>
              <w:jc w:val="center"/>
              <w:rPr>
                <w:rFonts w:ascii="Times New Roman" w:hAnsi="Times New Roman" w:cs="Times New Roman"/>
                <w:bCs/>
                <w:sz w:val="20"/>
                <w:szCs w:val="20"/>
              </w:rPr>
            </w:pPr>
          </w:p>
        </w:tc>
        <w:tc>
          <w:tcPr>
            <w:tcW w:w="1588" w:type="dxa"/>
            <w:vMerge/>
            <w:vAlign w:val="center"/>
          </w:tcPr>
          <w:p w14:paraId="152604DF" w14:textId="77777777" w:rsidR="00FE1C24" w:rsidRPr="00660EB3" w:rsidRDefault="00FE1C24" w:rsidP="00056AFE">
            <w:pPr>
              <w:contextualSpacing/>
              <w:jc w:val="center"/>
              <w:rPr>
                <w:rFonts w:ascii="Times New Roman" w:hAnsi="Times New Roman" w:cs="Times New Roman"/>
                <w:bCs/>
                <w:sz w:val="20"/>
                <w:szCs w:val="20"/>
              </w:rPr>
            </w:pPr>
          </w:p>
        </w:tc>
        <w:tc>
          <w:tcPr>
            <w:tcW w:w="1417" w:type="dxa"/>
            <w:vMerge/>
            <w:vAlign w:val="center"/>
          </w:tcPr>
          <w:p w14:paraId="6E959449" w14:textId="77777777" w:rsidR="00FE1C24" w:rsidRPr="00660EB3" w:rsidRDefault="00FE1C24" w:rsidP="00056AFE">
            <w:pPr>
              <w:contextualSpacing/>
              <w:jc w:val="center"/>
              <w:rPr>
                <w:rFonts w:ascii="Times New Roman" w:hAnsi="Times New Roman" w:cs="Times New Roman"/>
                <w:bCs/>
                <w:sz w:val="20"/>
                <w:szCs w:val="20"/>
              </w:rPr>
            </w:pPr>
          </w:p>
        </w:tc>
        <w:tc>
          <w:tcPr>
            <w:tcW w:w="1276" w:type="dxa"/>
            <w:vAlign w:val="center"/>
          </w:tcPr>
          <w:p w14:paraId="7B6693FA" w14:textId="5E3173B7" w:rsidR="00FE1C24" w:rsidRPr="00660EB3" w:rsidRDefault="00C843DE" w:rsidP="00056AFE">
            <w:pPr>
              <w:contextualSpacing/>
              <w:jc w:val="center"/>
              <w:rPr>
                <w:rFonts w:ascii="Times New Roman" w:hAnsi="Times New Roman" w:cs="Times New Roman"/>
                <w:sz w:val="20"/>
                <w:szCs w:val="20"/>
              </w:rPr>
            </w:pPr>
            <w:r>
              <w:rPr>
                <w:rFonts w:ascii="Times New Roman" w:hAnsi="Times New Roman" w:cs="Times New Roman"/>
                <w:sz w:val="20"/>
                <w:szCs w:val="20"/>
              </w:rPr>
              <w:t>RBR</w:t>
            </w:r>
          </w:p>
        </w:tc>
        <w:tc>
          <w:tcPr>
            <w:tcW w:w="1559" w:type="dxa"/>
            <w:vAlign w:val="center"/>
          </w:tcPr>
          <w:p w14:paraId="2947C78C" w14:textId="65DA4572" w:rsidR="00FE1C24" w:rsidRPr="00660EB3" w:rsidRDefault="006C70FB" w:rsidP="00056AFE">
            <w:pPr>
              <w:contextualSpacing/>
              <w:jc w:val="center"/>
              <w:rPr>
                <w:rFonts w:ascii="Times New Roman" w:hAnsi="Times New Roman" w:cs="Times New Roman"/>
                <w:bCs/>
                <w:i/>
                <w:iCs/>
                <w:sz w:val="20"/>
                <w:szCs w:val="20"/>
              </w:rPr>
            </w:pPr>
            <w:r>
              <w:rPr>
                <w:rFonts w:ascii="Times New Roman" w:hAnsi="Times New Roman" w:cs="Times New Roman"/>
                <w:i/>
                <w:iCs/>
                <w:sz w:val="20"/>
                <w:szCs w:val="20"/>
              </w:rPr>
              <w:t>Darbinieki, komandējumi un uzturēšan</w:t>
            </w:r>
            <w:r w:rsidR="00BB4E42">
              <w:rPr>
                <w:rFonts w:ascii="Times New Roman" w:hAnsi="Times New Roman" w:cs="Times New Roman"/>
                <w:i/>
                <w:iCs/>
                <w:sz w:val="20"/>
                <w:szCs w:val="20"/>
              </w:rPr>
              <w:t>ā</w:t>
            </w:r>
            <w:r>
              <w:rPr>
                <w:rFonts w:ascii="Times New Roman" w:hAnsi="Times New Roman" w:cs="Times New Roman"/>
                <w:i/>
                <w:iCs/>
                <w:sz w:val="20"/>
                <w:szCs w:val="20"/>
              </w:rPr>
              <w:t>s izmaksas</w:t>
            </w:r>
          </w:p>
        </w:tc>
        <w:tc>
          <w:tcPr>
            <w:tcW w:w="1286" w:type="dxa"/>
            <w:vAlign w:val="center"/>
          </w:tcPr>
          <w:p w14:paraId="41BF04B9"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sz w:val="20"/>
                <w:szCs w:val="20"/>
              </w:rPr>
              <w:t>125 749</w:t>
            </w:r>
          </w:p>
        </w:tc>
        <w:tc>
          <w:tcPr>
            <w:tcW w:w="1266" w:type="dxa"/>
            <w:vAlign w:val="center"/>
          </w:tcPr>
          <w:p w14:paraId="5AA9A83E" w14:textId="61F3EAFF" w:rsidR="00FE1C24" w:rsidRPr="00660EB3" w:rsidRDefault="00A94544" w:rsidP="00056AFE">
            <w:pPr>
              <w:contextualSpacing/>
              <w:jc w:val="center"/>
              <w:rPr>
                <w:rFonts w:ascii="Times New Roman" w:hAnsi="Times New Roman" w:cs="Times New Roman"/>
                <w:sz w:val="18"/>
                <w:szCs w:val="18"/>
              </w:rPr>
            </w:pPr>
            <w:r w:rsidRPr="00660EB3">
              <w:rPr>
                <w:rFonts w:ascii="Times New Roman" w:hAnsi="Times New Roman" w:cs="Times New Roman"/>
                <w:sz w:val="18"/>
                <w:szCs w:val="18"/>
              </w:rPr>
              <w:t>106 887</w:t>
            </w:r>
          </w:p>
        </w:tc>
        <w:tc>
          <w:tcPr>
            <w:tcW w:w="944" w:type="dxa"/>
            <w:vAlign w:val="center"/>
          </w:tcPr>
          <w:p w14:paraId="26840C3F" w14:textId="7B2B30FE" w:rsidR="00FE1C24" w:rsidRPr="00660EB3" w:rsidRDefault="00802F5B" w:rsidP="00056AFE">
            <w:pPr>
              <w:contextualSpacing/>
              <w:jc w:val="center"/>
              <w:rPr>
                <w:rFonts w:ascii="Times New Roman" w:hAnsi="Times New Roman" w:cs="Times New Roman"/>
                <w:sz w:val="18"/>
                <w:szCs w:val="18"/>
              </w:rPr>
            </w:pPr>
            <w:r w:rsidRPr="00660EB3">
              <w:rPr>
                <w:rFonts w:ascii="Times New Roman" w:hAnsi="Times New Roman" w:cs="Times New Roman"/>
                <w:sz w:val="18"/>
                <w:szCs w:val="18"/>
              </w:rPr>
              <w:t>18</w:t>
            </w:r>
            <w:r w:rsidR="001E48D6" w:rsidRPr="00660EB3">
              <w:rPr>
                <w:rFonts w:ascii="Times New Roman" w:hAnsi="Times New Roman" w:cs="Times New Roman"/>
                <w:sz w:val="18"/>
                <w:szCs w:val="18"/>
              </w:rPr>
              <w:t xml:space="preserve"> </w:t>
            </w:r>
            <w:r w:rsidRPr="00660EB3">
              <w:rPr>
                <w:rFonts w:ascii="Times New Roman" w:hAnsi="Times New Roman" w:cs="Times New Roman"/>
                <w:sz w:val="18"/>
                <w:szCs w:val="18"/>
              </w:rPr>
              <w:t>862</w:t>
            </w:r>
          </w:p>
        </w:tc>
      </w:tr>
    </w:tbl>
    <w:p w14:paraId="1D933ABB" w14:textId="77777777" w:rsidR="00120B11" w:rsidRDefault="00120B11" w:rsidP="00056AFE">
      <w:pPr>
        <w:tabs>
          <w:tab w:val="left" w:pos="567"/>
        </w:tabs>
        <w:spacing w:after="0" w:line="240" w:lineRule="auto"/>
        <w:contextualSpacing/>
        <w:jc w:val="both"/>
        <w:rPr>
          <w:rFonts w:eastAsia="Calibri" w:cs="Times New Roman"/>
          <w:sz w:val="24"/>
          <w:szCs w:val="24"/>
          <w:lang w:eastAsia="lv-LV"/>
        </w:rPr>
      </w:pPr>
    </w:p>
    <w:p w14:paraId="7099EEDD" w14:textId="69CCDFC4" w:rsidR="00003E35" w:rsidRDefault="001A4C63" w:rsidP="00056AFE">
      <w:pPr>
        <w:tabs>
          <w:tab w:val="left" w:pos="567"/>
        </w:tabs>
        <w:spacing w:after="0" w:line="240" w:lineRule="auto"/>
        <w:contextualSpacing/>
        <w:jc w:val="both"/>
        <w:rPr>
          <w:rFonts w:eastAsia="Calibri" w:cs="Times New Roman"/>
          <w:sz w:val="24"/>
          <w:szCs w:val="24"/>
          <w:lang w:eastAsia="lv-LV"/>
        </w:rPr>
      </w:pPr>
      <w:r>
        <w:rPr>
          <w:rFonts w:eastAsia="Calibri" w:cs="Times New Roman"/>
          <w:sz w:val="24"/>
          <w:szCs w:val="24"/>
          <w:lang w:eastAsia="lv-LV"/>
        </w:rPr>
        <w:tab/>
      </w:r>
      <w:r w:rsidR="009640E6">
        <w:rPr>
          <w:rFonts w:eastAsia="Calibri" w:cs="Times New Roman"/>
          <w:sz w:val="24"/>
          <w:szCs w:val="24"/>
          <w:lang w:eastAsia="lv-LV"/>
        </w:rPr>
        <w:t>5.</w:t>
      </w:r>
      <w:r w:rsidR="0062420B">
        <w:rPr>
          <w:rFonts w:eastAsia="Calibri" w:cs="Times New Roman"/>
          <w:sz w:val="24"/>
          <w:szCs w:val="24"/>
          <w:lang w:eastAsia="lv-LV"/>
        </w:rPr>
        <w:t xml:space="preserve"> </w:t>
      </w:r>
      <w:r w:rsidR="009640E6">
        <w:rPr>
          <w:rFonts w:eastAsia="Calibri" w:cs="Times New Roman"/>
          <w:sz w:val="24"/>
          <w:szCs w:val="24"/>
          <w:lang w:eastAsia="lv-LV"/>
        </w:rPr>
        <w:t>t</w:t>
      </w:r>
      <w:r w:rsidR="009D6829">
        <w:rPr>
          <w:rFonts w:eastAsia="Calibri" w:cs="Times New Roman"/>
          <w:sz w:val="24"/>
          <w:szCs w:val="24"/>
          <w:lang w:eastAsia="lv-LV"/>
        </w:rPr>
        <w:t>abula satur informāciju par CEF</w:t>
      </w:r>
      <w:r w:rsidR="00F41BE8">
        <w:rPr>
          <w:rFonts w:eastAsia="Calibri" w:cs="Times New Roman"/>
          <w:sz w:val="24"/>
          <w:szCs w:val="24"/>
          <w:lang w:eastAsia="lv-LV"/>
        </w:rPr>
        <w:t xml:space="preserve"> </w:t>
      </w:r>
      <w:r w:rsidR="009D6829">
        <w:rPr>
          <w:rFonts w:eastAsia="Calibri" w:cs="Times New Roman"/>
          <w:sz w:val="24"/>
          <w:szCs w:val="24"/>
          <w:lang w:eastAsia="lv-LV"/>
        </w:rPr>
        <w:t xml:space="preserve">9 finansēšanas līguma aktivitātes </w:t>
      </w:r>
      <w:r w:rsidR="009D6829" w:rsidRPr="001E7F6D">
        <w:rPr>
          <w:rFonts w:eastAsia="Calibri" w:cs="Times New Roman"/>
          <w:sz w:val="24"/>
          <w:szCs w:val="24"/>
          <w:lang w:eastAsia="lv-LV"/>
        </w:rPr>
        <w:t>T3.1.1.</w:t>
      </w:r>
      <w:r w:rsidR="009D6829">
        <w:rPr>
          <w:rFonts w:eastAsia="Calibri" w:cs="Times New Roman"/>
          <w:sz w:val="24"/>
          <w:szCs w:val="24"/>
          <w:lang w:eastAsia="lv-LV"/>
        </w:rPr>
        <w:t>, proti, Rail Baltica pamattrases Latvijā apakškonstrukciju un inženiertehnisko būvju būvniecīb</w:t>
      </w:r>
      <w:r w:rsidR="00D53C98">
        <w:rPr>
          <w:rFonts w:eastAsia="Calibri" w:cs="Times New Roman"/>
          <w:sz w:val="24"/>
          <w:szCs w:val="24"/>
          <w:lang w:eastAsia="lv-LV"/>
        </w:rPr>
        <w:t xml:space="preserve">as un </w:t>
      </w:r>
      <w:r w:rsidR="00AD7C42">
        <w:rPr>
          <w:rFonts w:eastAsia="Calibri" w:cs="Times New Roman"/>
          <w:sz w:val="24"/>
          <w:szCs w:val="24"/>
          <w:lang w:eastAsia="lv-LV"/>
        </w:rPr>
        <w:t>p</w:t>
      </w:r>
      <w:r w:rsidR="00D53C98">
        <w:rPr>
          <w:rFonts w:eastAsia="Calibri" w:cs="Times New Roman"/>
          <w:sz w:val="24"/>
          <w:szCs w:val="24"/>
          <w:lang w:eastAsia="lv-LV"/>
        </w:rPr>
        <w:t xml:space="preserve">iekļuves ceļu </w:t>
      </w:r>
      <w:r w:rsidR="00AD7C42">
        <w:rPr>
          <w:rFonts w:eastAsia="Calibri" w:cs="Times New Roman"/>
          <w:sz w:val="24"/>
          <w:szCs w:val="24"/>
          <w:lang w:eastAsia="lv-LV"/>
        </w:rPr>
        <w:t xml:space="preserve">būvniecību </w:t>
      </w:r>
      <w:r w:rsidR="007A0CC6">
        <w:rPr>
          <w:rFonts w:eastAsia="Calibri" w:cs="Times New Roman"/>
          <w:sz w:val="24"/>
          <w:szCs w:val="24"/>
          <w:lang w:eastAsia="lv-LV"/>
        </w:rPr>
        <w:t xml:space="preserve">posmā DS4 </w:t>
      </w:r>
      <w:r w:rsidR="007A0CC6" w:rsidRPr="00C371DB">
        <w:rPr>
          <w:rFonts w:eastAsia="Calibri" w:cs="Times New Roman"/>
          <w:sz w:val="24"/>
          <w:szCs w:val="24"/>
          <w:shd w:val="clear" w:color="auto" w:fill="FFFFFF" w:themeFill="background1"/>
          <w:lang w:eastAsia="lv-LV"/>
        </w:rPr>
        <w:t>DPS</w:t>
      </w:r>
      <w:r w:rsidR="00901FCC" w:rsidRPr="00C371DB">
        <w:rPr>
          <w:rFonts w:eastAsia="Calibri" w:cs="Times New Roman"/>
          <w:sz w:val="24"/>
          <w:szCs w:val="24"/>
          <w:shd w:val="clear" w:color="auto" w:fill="FFFFFF" w:themeFill="background1"/>
          <w:lang w:eastAsia="lv-LV"/>
        </w:rPr>
        <w:t>1</w:t>
      </w:r>
      <w:r w:rsidR="007A0CC6" w:rsidRPr="00C371DB">
        <w:rPr>
          <w:rFonts w:eastAsia="Calibri" w:cs="Times New Roman"/>
          <w:sz w:val="24"/>
          <w:szCs w:val="24"/>
          <w:shd w:val="clear" w:color="auto" w:fill="FFFFFF" w:themeFill="background1"/>
          <w:lang w:eastAsia="lv-LV"/>
        </w:rPr>
        <w:t xml:space="preserve"> BP3</w:t>
      </w:r>
      <w:r w:rsidR="00BB7140" w:rsidRPr="00C371DB">
        <w:rPr>
          <w:rFonts w:eastAsia="Calibri" w:cs="Times New Roman"/>
          <w:sz w:val="24"/>
          <w:szCs w:val="24"/>
          <w:shd w:val="clear" w:color="auto" w:fill="FFFFFF" w:themeFill="background1"/>
          <w:lang w:eastAsia="lv-LV"/>
        </w:rPr>
        <w:t xml:space="preserve"> (</w:t>
      </w:r>
      <w:r w:rsidR="00656897" w:rsidRPr="00C371DB">
        <w:rPr>
          <w:rFonts w:eastAsiaTheme="minorEastAsia" w:cs="Times New Roman"/>
          <w:sz w:val="24"/>
          <w:szCs w:val="24"/>
          <w:shd w:val="clear" w:color="auto" w:fill="FFFFFF" w:themeFill="background1"/>
          <w:lang w:eastAsia="lv-LV"/>
        </w:rPr>
        <w:t>Rail Baltica stacija</w:t>
      </w:r>
      <w:r w:rsidR="00BB7140" w:rsidRPr="00C371DB">
        <w:rPr>
          <w:rFonts w:eastAsiaTheme="minorEastAsia" w:cs="Times New Roman"/>
          <w:sz w:val="24"/>
          <w:szCs w:val="24"/>
          <w:shd w:val="clear" w:color="auto" w:fill="FFFFFF" w:themeFill="background1"/>
          <w:lang w:eastAsia="lv-LV"/>
        </w:rPr>
        <w:t xml:space="preserve"> </w:t>
      </w:r>
      <w:r w:rsidR="00656897" w:rsidRPr="00C371DB">
        <w:rPr>
          <w:rFonts w:eastAsiaTheme="minorEastAsia" w:cs="Times New Roman"/>
          <w:sz w:val="24"/>
          <w:szCs w:val="24"/>
          <w:shd w:val="clear" w:color="auto" w:fill="FFFFFF" w:themeFill="background1"/>
          <w:lang w:eastAsia="lv-LV"/>
        </w:rPr>
        <w:t>„</w:t>
      </w:r>
      <w:r w:rsidR="00BB7140" w:rsidRPr="00C371DB">
        <w:rPr>
          <w:rFonts w:eastAsiaTheme="minorEastAsia" w:cs="Times New Roman"/>
          <w:sz w:val="24"/>
          <w:szCs w:val="24"/>
          <w:shd w:val="clear" w:color="auto" w:fill="FFFFFF" w:themeFill="background1"/>
          <w:lang w:eastAsia="lv-LV"/>
        </w:rPr>
        <w:t>Iecav</w:t>
      </w:r>
      <w:r w:rsidR="00656897" w:rsidRPr="00C371DB">
        <w:rPr>
          <w:rFonts w:eastAsiaTheme="minorEastAsia" w:cs="Times New Roman"/>
          <w:sz w:val="24"/>
          <w:szCs w:val="24"/>
          <w:shd w:val="clear" w:color="auto" w:fill="FFFFFF" w:themeFill="background1"/>
          <w:lang w:eastAsia="lv-LV"/>
        </w:rPr>
        <w:t>a”</w:t>
      </w:r>
      <w:r w:rsidR="00BB7140" w:rsidRPr="00C371DB">
        <w:rPr>
          <w:rFonts w:eastAsiaTheme="minorEastAsia" w:cs="Times New Roman"/>
          <w:sz w:val="24"/>
          <w:szCs w:val="24"/>
          <w:shd w:val="clear" w:color="auto" w:fill="FFFFFF" w:themeFill="background1"/>
          <w:lang w:eastAsia="lv-LV"/>
        </w:rPr>
        <w:t>)</w:t>
      </w:r>
      <w:r w:rsidR="009D6829" w:rsidRPr="00C371DB">
        <w:rPr>
          <w:rFonts w:eastAsia="Calibri" w:cs="Times New Roman"/>
          <w:sz w:val="24"/>
          <w:szCs w:val="24"/>
          <w:shd w:val="clear" w:color="auto" w:fill="FFFFFF" w:themeFill="background1"/>
          <w:lang w:eastAsia="lv-LV"/>
        </w:rPr>
        <w:t>, norādot</w:t>
      </w:r>
      <w:r w:rsidR="009D6829">
        <w:rPr>
          <w:rFonts w:eastAsia="Calibri" w:cs="Times New Roman"/>
          <w:sz w:val="24"/>
          <w:szCs w:val="24"/>
          <w:lang w:eastAsia="lv-LV"/>
        </w:rPr>
        <w:t xml:space="preserve"> katram uzņēmumam aktivitātes īstenošanas ietvaros piešķiramo finansējumu konkrētu pakalpojumu veikšanai.</w:t>
      </w:r>
      <w:r w:rsidR="00B90C25" w:rsidRPr="00B90C25">
        <w:rPr>
          <w:rFonts w:eastAsia="Calibri" w:cs="Times New Roman"/>
          <w:sz w:val="24"/>
          <w:szCs w:val="24"/>
          <w:lang w:eastAsia="lv-LV"/>
        </w:rPr>
        <w:t xml:space="preserve"> </w:t>
      </w:r>
    </w:p>
    <w:p w14:paraId="150E3763" w14:textId="77777777" w:rsidR="00C84D87" w:rsidRDefault="00C84D87" w:rsidP="00056AFE">
      <w:pPr>
        <w:tabs>
          <w:tab w:val="left" w:pos="567"/>
        </w:tabs>
        <w:spacing w:after="0" w:line="240" w:lineRule="auto"/>
        <w:contextualSpacing/>
        <w:jc w:val="both"/>
        <w:rPr>
          <w:rFonts w:eastAsia="Calibri" w:cs="Times New Roman"/>
          <w:sz w:val="24"/>
          <w:szCs w:val="24"/>
          <w:lang w:eastAsia="lv-LV"/>
        </w:rPr>
      </w:pPr>
    </w:p>
    <w:p w14:paraId="456FAB67" w14:textId="41ACCDE9" w:rsidR="00865475" w:rsidRDefault="00B23F0F" w:rsidP="00056AFE">
      <w:pPr>
        <w:spacing w:after="0" w:line="240" w:lineRule="auto"/>
        <w:ind w:firstLine="567"/>
        <w:contextualSpacing/>
        <w:jc w:val="center"/>
        <w:rPr>
          <w:rFonts w:cs="Times New Roman"/>
          <w:b/>
          <w:sz w:val="24"/>
          <w:szCs w:val="24"/>
        </w:rPr>
      </w:pPr>
      <w:r>
        <w:rPr>
          <w:rFonts w:eastAsiaTheme="minorEastAsia" w:cs="Times New Roman"/>
          <w:b/>
          <w:bCs/>
          <w:sz w:val="24"/>
          <w:szCs w:val="24"/>
          <w:lang w:eastAsia="lv-LV"/>
        </w:rPr>
        <w:t>CEF</w:t>
      </w:r>
      <w:r w:rsidR="00F41BE8">
        <w:rPr>
          <w:rFonts w:eastAsiaTheme="minorEastAsia" w:cs="Times New Roman"/>
          <w:b/>
          <w:bCs/>
          <w:sz w:val="24"/>
          <w:szCs w:val="24"/>
          <w:lang w:eastAsia="lv-LV"/>
        </w:rPr>
        <w:t xml:space="preserve"> </w:t>
      </w:r>
      <w:r>
        <w:rPr>
          <w:rFonts w:eastAsiaTheme="minorEastAsia" w:cs="Times New Roman"/>
          <w:b/>
          <w:bCs/>
          <w:sz w:val="24"/>
          <w:szCs w:val="24"/>
          <w:lang w:eastAsia="lv-LV"/>
        </w:rPr>
        <w:t>9 finansējuma sadalījums</w:t>
      </w:r>
      <w:r w:rsidR="00FF470A">
        <w:rPr>
          <w:rFonts w:eastAsiaTheme="minorEastAsia" w:cs="Times New Roman"/>
          <w:b/>
          <w:bCs/>
          <w:sz w:val="24"/>
          <w:szCs w:val="24"/>
          <w:lang w:eastAsia="lv-LV"/>
        </w:rPr>
        <w:t xml:space="preserve"> </w:t>
      </w:r>
      <w:r w:rsidR="0089505B">
        <w:rPr>
          <w:rFonts w:eastAsiaTheme="minorEastAsia" w:cs="Times New Roman"/>
          <w:b/>
          <w:bCs/>
          <w:sz w:val="24"/>
          <w:szCs w:val="24"/>
          <w:lang w:eastAsia="lv-LV"/>
        </w:rPr>
        <w:t xml:space="preserve">būvniecībai </w:t>
      </w:r>
      <w:r w:rsidR="004A4282">
        <w:rPr>
          <w:rFonts w:eastAsiaTheme="minorEastAsia" w:cs="Times New Roman"/>
          <w:b/>
          <w:bCs/>
          <w:sz w:val="24"/>
          <w:szCs w:val="24"/>
          <w:lang w:eastAsia="lv-LV"/>
        </w:rPr>
        <w:t xml:space="preserve">ārpus </w:t>
      </w:r>
      <w:r w:rsidR="00AA55E7">
        <w:rPr>
          <w:rFonts w:eastAsiaTheme="minorEastAsia" w:cs="Times New Roman"/>
          <w:b/>
          <w:bCs/>
          <w:sz w:val="24"/>
          <w:szCs w:val="24"/>
          <w:lang w:eastAsia="lv-LV"/>
        </w:rPr>
        <w:t>Rīgas</w:t>
      </w:r>
      <w:r>
        <w:rPr>
          <w:rFonts w:cs="Times New Roman"/>
          <w:b/>
          <w:sz w:val="24"/>
          <w:szCs w:val="24"/>
        </w:rPr>
        <w:t xml:space="preserve">, </w:t>
      </w:r>
      <w:r w:rsidR="002C5510" w:rsidRPr="002C5510">
        <w:rPr>
          <w:rFonts w:cs="Times New Roman"/>
          <w:b/>
          <w:i/>
          <w:sz w:val="24"/>
          <w:szCs w:val="24"/>
        </w:rPr>
        <w:t>euro</w:t>
      </w:r>
      <w:r w:rsidR="006457DF" w:rsidRPr="00660EB3">
        <w:rPr>
          <w:rFonts w:cs="Times New Roman"/>
          <w:b/>
          <w:sz w:val="24"/>
          <w:szCs w:val="24"/>
        </w:rPr>
        <w:t>, neskaitot PVN</w:t>
      </w:r>
    </w:p>
    <w:p w14:paraId="53D36804" w14:textId="37403274" w:rsidR="00C371DB" w:rsidRPr="00022F8E" w:rsidRDefault="00022F8E" w:rsidP="00056AFE">
      <w:pPr>
        <w:spacing w:after="0" w:line="240" w:lineRule="auto"/>
        <w:ind w:firstLine="567"/>
        <w:contextualSpacing/>
        <w:jc w:val="right"/>
        <w:rPr>
          <w:rFonts w:cs="Times New Roman"/>
          <w:sz w:val="20"/>
          <w:szCs w:val="20"/>
        </w:rPr>
      </w:pPr>
      <w:r w:rsidRPr="00022F8E">
        <w:rPr>
          <w:rFonts w:eastAsia="Calibri" w:cs="Times New Roman"/>
          <w:sz w:val="24"/>
          <w:szCs w:val="24"/>
          <w:lang w:eastAsia="lv-LV"/>
        </w:rPr>
        <w:t>6</w:t>
      </w:r>
      <w:r w:rsidR="00FA1EDB" w:rsidRPr="00022F8E">
        <w:rPr>
          <w:rFonts w:eastAsia="Calibri" w:cs="Times New Roman"/>
          <w:sz w:val="24"/>
          <w:szCs w:val="24"/>
          <w:lang w:eastAsia="lv-LV"/>
        </w:rPr>
        <w:t>. tabula</w:t>
      </w:r>
      <w:r w:rsidR="00C371DB" w:rsidRPr="00022F8E">
        <w:rPr>
          <w:rFonts w:cs="Times New Roman"/>
          <w:sz w:val="20"/>
          <w:szCs w:val="20"/>
        </w:rPr>
        <w:t xml:space="preserve"> </w:t>
      </w:r>
    </w:p>
    <w:tbl>
      <w:tblPr>
        <w:tblStyle w:val="TableGrid1"/>
        <w:tblW w:w="10761" w:type="dxa"/>
        <w:jc w:val="center"/>
        <w:tblLayout w:type="fixed"/>
        <w:tblLook w:val="04A0" w:firstRow="1" w:lastRow="0" w:firstColumn="1" w:lastColumn="0" w:noHBand="0" w:noVBand="1"/>
      </w:tblPr>
      <w:tblGrid>
        <w:gridCol w:w="1097"/>
        <w:gridCol w:w="1713"/>
        <w:gridCol w:w="1530"/>
        <w:gridCol w:w="1185"/>
        <w:gridCol w:w="1470"/>
        <w:gridCol w:w="1320"/>
        <w:gridCol w:w="1223"/>
        <w:gridCol w:w="1223"/>
      </w:tblGrid>
      <w:tr w:rsidR="00804A90" w:rsidRPr="00660EB3" w14:paraId="04C80DF9" w14:textId="6D1D7865" w:rsidTr="638FD9FE">
        <w:trPr>
          <w:trHeight w:val="1510"/>
          <w:jc w:val="center"/>
        </w:trPr>
        <w:tc>
          <w:tcPr>
            <w:tcW w:w="1097" w:type="dxa"/>
            <w:vAlign w:val="center"/>
          </w:tcPr>
          <w:p w14:paraId="680F5945" w14:textId="77777777" w:rsidR="00804A90" w:rsidRPr="00660EB3" w:rsidRDefault="00804A90"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lang w:bidi="lv-LV"/>
              </w:rPr>
              <w:t>Finansējuma avots, aktivitāte</w:t>
            </w:r>
          </w:p>
        </w:tc>
        <w:tc>
          <w:tcPr>
            <w:tcW w:w="1713" w:type="dxa"/>
            <w:vAlign w:val="center"/>
          </w:tcPr>
          <w:p w14:paraId="2FE09784" w14:textId="77777777" w:rsidR="00804A90" w:rsidRPr="00660EB3" w:rsidRDefault="00804A90" w:rsidP="00056AFE">
            <w:pPr>
              <w:ind w:left="34" w:hanging="34"/>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Aktivitātes</w:t>
            </w:r>
          </w:p>
          <w:p w14:paraId="5621688F" w14:textId="77777777" w:rsidR="00804A90" w:rsidRPr="00660EB3" w:rsidRDefault="00804A90" w:rsidP="00056AFE">
            <w:pPr>
              <w:ind w:left="34" w:hanging="34"/>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apraksts</w:t>
            </w:r>
          </w:p>
        </w:tc>
        <w:tc>
          <w:tcPr>
            <w:tcW w:w="1530" w:type="dxa"/>
            <w:vAlign w:val="center"/>
          </w:tcPr>
          <w:p w14:paraId="5AB52C56" w14:textId="03118A8E" w:rsidR="00804A90" w:rsidRPr="00660EB3" w:rsidRDefault="00804A90"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Kopējais aktivitātes finansējums,</w:t>
            </w:r>
          </w:p>
          <w:p w14:paraId="7372B8C7" w14:textId="1D642EE0" w:rsidR="00804A90" w:rsidRPr="00660EB3" w:rsidRDefault="002C5510" w:rsidP="00056AFE">
            <w:pPr>
              <w:contextualSpacing/>
              <w:jc w:val="center"/>
              <w:rPr>
                <w:rFonts w:ascii="Times New Roman" w:hAnsi="Times New Roman" w:cs="Times New Roman"/>
                <w:b/>
                <w:bCs/>
                <w:sz w:val="20"/>
                <w:szCs w:val="20"/>
              </w:rPr>
            </w:pPr>
            <w:r w:rsidRPr="002C5510">
              <w:rPr>
                <w:rFonts w:ascii="Times New Roman" w:hAnsi="Times New Roman" w:cs="Times New Roman"/>
                <w:b/>
                <w:bCs/>
                <w:i/>
                <w:sz w:val="20"/>
                <w:szCs w:val="20"/>
              </w:rPr>
              <w:t>euro</w:t>
            </w:r>
            <w:r w:rsidR="00DB11B4">
              <w:rPr>
                <w:rFonts w:ascii="Times New Roman" w:hAnsi="Times New Roman" w:cs="Times New Roman"/>
                <w:b/>
                <w:bCs/>
                <w:sz w:val="20"/>
                <w:szCs w:val="20"/>
              </w:rPr>
              <w:t xml:space="preserve"> </w:t>
            </w:r>
            <w:r w:rsidR="00804A90" w:rsidRPr="00660EB3">
              <w:rPr>
                <w:rFonts w:ascii="Times New Roman" w:hAnsi="Times New Roman" w:cs="Times New Roman"/>
                <w:b/>
                <w:bCs/>
                <w:sz w:val="20"/>
                <w:szCs w:val="20"/>
              </w:rPr>
              <w:t>(neskaitot PVN)</w:t>
            </w:r>
          </w:p>
        </w:tc>
        <w:tc>
          <w:tcPr>
            <w:tcW w:w="1185" w:type="dxa"/>
            <w:vAlign w:val="center"/>
          </w:tcPr>
          <w:p w14:paraId="1327ACD2" w14:textId="77777777" w:rsidR="00804A90" w:rsidRPr="00660EB3" w:rsidRDefault="00804A90"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Uzņēmums</w:t>
            </w:r>
          </w:p>
        </w:tc>
        <w:tc>
          <w:tcPr>
            <w:tcW w:w="1470" w:type="dxa"/>
            <w:vAlign w:val="center"/>
          </w:tcPr>
          <w:p w14:paraId="741DB7F2" w14:textId="77777777" w:rsidR="00804A90" w:rsidRPr="00660EB3" w:rsidRDefault="00804A90"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Pakalpojuma būtība atbilstoši CEF pieteikumam</w:t>
            </w:r>
          </w:p>
        </w:tc>
        <w:tc>
          <w:tcPr>
            <w:tcW w:w="1320" w:type="dxa"/>
            <w:vAlign w:val="center"/>
          </w:tcPr>
          <w:p w14:paraId="709E524B" w14:textId="6761E5E6" w:rsidR="00804A90" w:rsidRPr="00660EB3" w:rsidRDefault="00804A90" w:rsidP="00056AFE">
            <w:pPr>
              <w:contextualSpacing/>
              <w:jc w:val="center"/>
              <w:rPr>
                <w:rFonts w:ascii="Times New Roman" w:hAnsi="Times New Roman" w:cs="Times New Roman"/>
                <w:b/>
                <w:bCs/>
                <w:sz w:val="20"/>
                <w:szCs w:val="20"/>
              </w:rPr>
            </w:pPr>
            <w:r w:rsidRPr="00660EB3">
              <w:rPr>
                <w:rFonts w:ascii="Times New Roman" w:hAnsi="Times New Roman" w:cs="Times New Roman"/>
                <w:b/>
                <w:sz w:val="20"/>
                <w:szCs w:val="20"/>
              </w:rPr>
              <w:t xml:space="preserve">CEF </w:t>
            </w:r>
            <w:r w:rsidR="00E851A5">
              <w:rPr>
                <w:rFonts w:ascii="Times New Roman" w:hAnsi="Times New Roman" w:cs="Times New Roman"/>
                <w:b/>
                <w:sz w:val="20"/>
                <w:szCs w:val="20"/>
              </w:rPr>
              <w:t>finansēšanas līguma konkrētās aktivitātes kopējais budžets (CEF un valsts līdzfinansējums, bez PVN)</w:t>
            </w:r>
          </w:p>
        </w:tc>
        <w:tc>
          <w:tcPr>
            <w:tcW w:w="1223" w:type="dxa"/>
            <w:vAlign w:val="center"/>
          </w:tcPr>
          <w:p w14:paraId="4E8D24B1" w14:textId="2F35442F" w:rsidR="00804A90" w:rsidRPr="00660EB3" w:rsidRDefault="00804A90" w:rsidP="00056AFE">
            <w:pPr>
              <w:contextualSpacing/>
              <w:jc w:val="center"/>
              <w:rPr>
                <w:rFonts w:ascii="Times New Roman" w:hAnsi="Times New Roman" w:cs="Times New Roman"/>
                <w:b/>
                <w:sz w:val="20"/>
                <w:szCs w:val="20"/>
              </w:rPr>
            </w:pPr>
            <w:r w:rsidRPr="00660EB3">
              <w:rPr>
                <w:rFonts w:ascii="Times New Roman" w:hAnsi="Times New Roman" w:cs="Times New Roman"/>
                <w:b/>
                <w:sz w:val="20"/>
                <w:szCs w:val="20"/>
              </w:rPr>
              <w:t>CEF finansējums</w:t>
            </w:r>
          </w:p>
        </w:tc>
        <w:tc>
          <w:tcPr>
            <w:tcW w:w="1223" w:type="dxa"/>
            <w:vAlign w:val="center"/>
          </w:tcPr>
          <w:p w14:paraId="13B87E54" w14:textId="0C8F05F5" w:rsidR="00804A90" w:rsidRPr="00660EB3" w:rsidRDefault="536AC0A8" w:rsidP="00056AFE">
            <w:pPr>
              <w:contextualSpacing/>
              <w:jc w:val="center"/>
              <w:rPr>
                <w:rFonts w:ascii="Times New Roman" w:hAnsi="Times New Roman" w:cs="Times New Roman"/>
                <w:b/>
                <w:sz w:val="20"/>
                <w:szCs w:val="20"/>
              </w:rPr>
            </w:pPr>
            <w:r w:rsidRPr="0595A900">
              <w:rPr>
                <w:rFonts w:ascii="Times New Roman" w:hAnsi="Times New Roman" w:cs="Times New Roman"/>
                <w:b/>
                <w:bCs/>
                <w:sz w:val="20"/>
                <w:szCs w:val="20"/>
              </w:rPr>
              <w:t>Valsts budžet</w:t>
            </w:r>
            <w:r w:rsidR="589CA71C" w:rsidRPr="0595A900">
              <w:rPr>
                <w:rFonts w:ascii="Times New Roman" w:hAnsi="Times New Roman" w:cs="Times New Roman"/>
                <w:b/>
                <w:bCs/>
                <w:sz w:val="20"/>
                <w:szCs w:val="20"/>
              </w:rPr>
              <w:t>a līdzfinansējums</w:t>
            </w:r>
            <w:r w:rsidR="009A1BCD" w:rsidRPr="0595A900">
              <w:rPr>
                <w:rStyle w:val="FootnoteReference"/>
                <w:rFonts w:ascii="Times New Roman" w:hAnsi="Times New Roman" w:cs="Times New Roman"/>
                <w:b/>
                <w:bCs/>
                <w:sz w:val="20"/>
                <w:szCs w:val="20"/>
              </w:rPr>
              <w:footnoteReference w:id="12"/>
            </w:r>
          </w:p>
          <w:p w14:paraId="1EA0B2BB" w14:textId="31733C1D" w:rsidR="00804A90" w:rsidRPr="00660EB3" w:rsidRDefault="00804A90" w:rsidP="00056AFE">
            <w:pPr>
              <w:contextualSpacing/>
              <w:jc w:val="center"/>
              <w:rPr>
                <w:rFonts w:ascii="Times New Roman" w:hAnsi="Times New Roman" w:cs="Times New Roman"/>
                <w:b/>
                <w:sz w:val="20"/>
                <w:szCs w:val="20"/>
              </w:rPr>
            </w:pPr>
          </w:p>
        </w:tc>
      </w:tr>
      <w:tr w:rsidR="00FE1C24" w:rsidRPr="00660EB3" w14:paraId="6D335A7D" w14:textId="3D2177C1" w:rsidTr="638FD9FE">
        <w:trPr>
          <w:trHeight w:val="1530"/>
          <w:jc w:val="center"/>
        </w:trPr>
        <w:tc>
          <w:tcPr>
            <w:tcW w:w="1097" w:type="dxa"/>
            <w:vMerge w:val="restart"/>
            <w:vAlign w:val="center"/>
          </w:tcPr>
          <w:p w14:paraId="09CCAD5A" w14:textId="77777777" w:rsidR="00FE1C24" w:rsidRPr="00660EB3" w:rsidRDefault="00FE1C24"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lastRenderedPageBreak/>
              <w:t>CEF9,</w:t>
            </w:r>
          </w:p>
          <w:p w14:paraId="0C230966" w14:textId="77777777" w:rsidR="00FE1C24" w:rsidRPr="00660EB3" w:rsidRDefault="00FE1C24"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T5.2.1. aktivitāte</w:t>
            </w:r>
          </w:p>
        </w:tc>
        <w:tc>
          <w:tcPr>
            <w:tcW w:w="1713" w:type="dxa"/>
            <w:vMerge w:val="restart"/>
            <w:vAlign w:val="center"/>
          </w:tcPr>
          <w:p w14:paraId="372C4E45" w14:textId="7D0C455B" w:rsidR="00FE1C24" w:rsidRPr="00B3159B" w:rsidRDefault="00E3782A" w:rsidP="00056AFE">
            <w:pPr>
              <w:contextualSpacing/>
              <w:jc w:val="center"/>
              <w:rPr>
                <w:rFonts w:ascii="Times New Roman" w:hAnsi="Times New Roman" w:cs="Times New Roman"/>
                <w:bCs/>
                <w:i/>
                <w:iCs/>
                <w:sz w:val="20"/>
                <w:szCs w:val="20"/>
              </w:rPr>
            </w:pPr>
            <w:r w:rsidRPr="00B3159B">
              <w:rPr>
                <w:rFonts w:ascii="Times New Roman" w:hAnsi="Times New Roman" w:cs="Times New Roman"/>
                <w:bCs/>
                <w:i/>
                <w:iCs/>
                <w:sz w:val="20"/>
                <w:szCs w:val="20"/>
              </w:rPr>
              <w:t xml:space="preserve">Iecavas </w:t>
            </w:r>
            <w:r w:rsidR="00791093" w:rsidRPr="00B3159B">
              <w:rPr>
                <w:rFonts w:ascii="Times New Roman" w:hAnsi="Times New Roman" w:cs="Times New Roman"/>
                <w:i/>
                <w:sz w:val="20"/>
                <w:szCs w:val="20"/>
              </w:rPr>
              <w:t>būvdarbu bāzes teritorijas izveide</w:t>
            </w:r>
            <w:r w:rsidR="00953692" w:rsidRPr="00B3159B">
              <w:rPr>
                <w:rFonts w:ascii="Times New Roman" w:hAnsi="Times New Roman" w:cs="Times New Roman"/>
                <w:i/>
                <w:iCs/>
                <w:sz w:val="20"/>
                <w:szCs w:val="20"/>
              </w:rPr>
              <w:t xml:space="preserve"> pamattrases būvniecībai posmos: </w:t>
            </w:r>
            <w:r w:rsidR="00FE1C24" w:rsidRPr="00B3159B">
              <w:rPr>
                <w:rFonts w:ascii="Times New Roman" w:hAnsi="Times New Roman" w:cs="Times New Roman"/>
                <w:bCs/>
                <w:i/>
                <w:iCs/>
                <w:sz w:val="20"/>
                <w:szCs w:val="20"/>
              </w:rPr>
              <w:t xml:space="preserve">DS1, DS2 </w:t>
            </w:r>
            <w:r w:rsidR="00B3159B">
              <w:rPr>
                <w:rFonts w:ascii="Times New Roman" w:hAnsi="Times New Roman" w:cs="Times New Roman"/>
                <w:bCs/>
                <w:i/>
                <w:iCs/>
                <w:sz w:val="20"/>
                <w:szCs w:val="20"/>
              </w:rPr>
              <w:t>un</w:t>
            </w:r>
            <w:r w:rsidR="00FE1C24" w:rsidRPr="00B3159B">
              <w:rPr>
                <w:rFonts w:ascii="Times New Roman" w:hAnsi="Times New Roman" w:cs="Times New Roman"/>
                <w:bCs/>
                <w:i/>
                <w:iCs/>
                <w:sz w:val="20"/>
                <w:szCs w:val="20"/>
              </w:rPr>
              <w:t xml:space="preserve"> </w:t>
            </w:r>
            <w:r w:rsidR="00B3159B">
              <w:rPr>
                <w:rFonts w:ascii="Times New Roman" w:hAnsi="Times New Roman" w:cs="Times New Roman"/>
                <w:bCs/>
                <w:i/>
                <w:iCs/>
                <w:sz w:val="20"/>
                <w:szCs w:val="20"/>
              </w:rPr>
              <w:t>Latvijā</w:t>
            </w:r>
            <w:r w:rsidR="00FE1C24" w:rsidRPr="00B3159B">
              <w:rPr>
                <w:rFonts w:ascii="Times New Roman" w:hAnsi="Times New Roman" w:cs="Times New Roman"/>
                <w:bCs/>
                <w:i/>
                <w:iCs/>
                <w:sz w:val="20"/>
                <w:szCs w:val="20"/>
              </w:rPr>
              <w:t>: 148+600 – 150+300</w:t>
            </w:r>
          </w:p>
        </w:tc>
        <w:tc>
          <w:tcPr>
            <w:tcW w:w="1530" w:type="dxa"/>
            <w:vMerge w:val="restart"/>
            <w:vAlign w:val="center"/>
          </w:tcPr>
          <w:p w14:paraId="39C37A18" w14:textId="77777777" w:rsidR="00FE1C24" w:rsidRPr="00660EB3" w:rsidRDefault="00FE1C24" w:rsidP="00056AFE">
            <w:pPr>
              <w:contextualSpacing/>
              <w:jc w:val="center"/>
              <w:rPr>
                <w:rFonts w:ascii="Times New Roman" w:hAnsi="Times New Roman" w:cs="Times New Roman"/>
                <w:bCs/>
                <w:sz w:val="20"/>
                <w:szCs w:val="20"/>
              </w:rPr>
            </w:pPr>
            <w:r w:rsidRPr="00660EB3">
              <w:rPr>
                <w:rFonts w:ascii="Times New Roman" w:hAnsi="Times New Roman" w:cs="Times New Roman"/>
                <w:bCs/>
                <w:sz w:val="20"/>
                <w:szCs w:val="20"/>
              </w:rPr>
              <w:t>34 966 713</w:t>
            </w:r>
          </w:p>
          <w:p w14:paraId="1B2FBA12" w14:textId="77777777" w:rsidR="00FE1C24" w:rsidRPr="00660EB3" w:rsidRDefault="00FE1C24" w:rsidP="00056AFE">
            <w:pPr>
              <w:contextualSpacing/>
              <w:jc w:val="center"/>
              <w:rPr>
                <w:rFonts w:ascii="Times New Roman" w:hAnsi="Times New Roman" w:cs="Times New Roman"/>
                <w:bCs/>
                <w:sz w:val="20"/>
                <w:szCs w:val="20"/>
              </w:rPr>
            </w:pPr>
          </w:p>
          <w:p w14:paraId="110205BB" w14:textId="77777777" w:rsidR="00FE1C24" w:rsidRPr="00660EB3" w:rsidRDefault="00FE1C24" w:rsidP="00056AFE">
            <w:pPr>
              <w:contextualSpacing/>
              <w:jc w:val="center"/>
              <w:rPr>
                <w:rFonts w:ascii="Times New Roman" w:hAnsi="Times New Roman" w:cs="Times New Roman"/>
                <w:b/>
                <w:sz w:val="20"/>
                <w:szCs w:val="20"/>
              </w:rPr>
            </w:pPr>
            <w:r w:rsidRPr="00660EB3">
              <w:rPr>
                <w:rFonts w:ascii="Times New Roman" w:hAnsi="Times New Roman" w:cs="Times New Roman"/>
                <w:b/>
                <w:sz w:val="20"/>
                <w:szCs w:val="20"/>
              </w:rPr>
              <w:t>33 400 000*</w:t>
            </w:r>
          </w:p>
        </w:tc>
        <w:tc>
          <w:tcPr>
            <w:tcW w:w="1185" w:type="dxa"/>
            <w:vAlign w:val="center"/>
          </w:tcPr>
          <w:p w14:paraId="15A28B76" w14:textId="77777777" w:rsidR="00FE1C24" w:rsidRPr="00660EB3" w:rsidRDefault="00FE1C24"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E.R.B. Rail Baltica JV</w:t>
            </w:r>
          </w:p>
        </w:tc>
        <w:tc>
          <w:tcPr>
            <w:tcW w:w="1470" w:type="dxa"/>
            <w:vAlign w:val="center"/>
          </w:tcPr>
          <w:p w14:paraId="17CCEE02" w14:textId="67E3DE12" w:rsidR="00FE1C24" w:rsidRPr="00660EB3" w:rsidRDefault="00043EB5" w:rsidP="00056AFE">
            <w:pPr>
              <w:contextualSpacing/>
              <w:jc w:val="center"/>
              <w:rPr>
                <w:rFonts w:ascii="Times New Roman" w:hAnsi="Times New Roman" w:cs="Times New Roman"/>
                <w:bCs/>
                <w:i/>
                <w:iCs/>
                <w:sz w:val="20"/>
                <w:szCs w:val="20"/>
              </w:rPr>
            </w:pPr>
            <w:r>
              <w:rPr>
                <w:rFonts w:ascii="Times New Roman" w:hAnsi="Times New Roman" w:cs="Times New Roman"/>
                <w:i/>
                <w:iCs/>
                <w:color w:val="000000"/>
                <w:sz w:val="20"/>
                <w:szCs w:val="20"/>
              </w:rPr>
              <w:t>Apakšl</w:t>
            </w:r>
            <w:r w:rsidRPr="00043EB5">
              <w:rPr>
                <w:rFonts w:ascii="Times New Roman" w:hAnsi="Times New Roman" w:cs="Times New Roman"/>
                <w:i/>
                <w:iCs/>
                <w:color w:val="000000"/>
                <w:sz w:val="20"/>
                <w:szCs w:val="20"/>
              </w:rPr>
              <w:t>īguma izmaksas</w:t>
            </w:r>
          </w:p>
        </w:tc>
        <w:tc>
          <w:tcPr>
            <w:tcW w:w="1320" w:type="dxa"/>
            <w:vAlign w:val="center"/>
          </w:tcPr>
          <w:p w14:paraId="2BD388C9"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33 400 000*</w:t>
            </w:r>
          </w:p>
        </w:tc>
        <w:tc>
          <w:tcPr>
            <w:tcW w:w="1223" w:type="dxa"/>
            <w:vAlign w:val="center"/>
          </w:tcPr>
          <w:p w14:paraId="78D06864" w14:textId="03A24B77" w:rsidR="00FE1C24" w:rsidRPr="00660EB3" w:rsidRDefault="00193C52"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10 020 000</w:t>
            </w:r>
          </w:p>
        </w:tc>
        <w:tc>
          <w:tcPr>
            <w:tcW w:w="1223" w:type="dxa"/>
            <w:vAlign w:val="center"/>
          </w:tcPr>
          <w:p w14:paraId="47FBF3D8" w14:textId="1ACC77A1" w:rsidR="00FE1C24" w:rsidRPr="00660EB3" w:rsidRDefault="00193C52" w:rsidP="00056AFE">
            <w:pPr>
              <w:contextualSpacing/>
              <w:jc w:val="center"/>
              <w:rPr>
                <w:rFonts w:ascii="Times New Roman" w:hAnsi="Times New Roman" w:cs="Times New Roman"/>
                <w:b/>
                <w:bCs/>
                <w:sz w:val="20"/>
                <w:szCs w:val="20"/>
              </w:rPr>
            </w:pPr>
            <w:r w:rsidRPr="00660EB3">
              <w:rPr>
                <w:rFonts w:ascii="Times New Roman" w:hAnsi="Times New Roman" w:cs="Times New Roman"/>
                <w:b/>
                <w:bCs/>
                <w:sz w:val="20"/>
                <w:szCs w:val="20"/>
              </w:rPr>
              <w:t>23 380 000</w:t>
            </w:r>
          </w:p>
        </w:tc>
      </w:tr>
      <w:tr w:rsidR="00FE1C24" w:rsidRPr="00660EB3" w14:paraId="303CDBE6" w14:textId="553A0950" w:rsidTr="638FD9FE">
        <w:trPr>
          <w:trHeight w:val="1530"/>
          <w:jc w:val="center"/>
        </w:trPr>
        <w:tc>
          <w:tcPr>
            <w:tcW w:w="1097" w:type="dxa"/>
            <w:vMerge/>
            <w:vAlign w:val="center"/>
          </w:tcPr>
          <w:p w14:paraId="66235496" w14:textId="77777777" w:rsidR="00FE1C24" w:rsidRPr="00660EB3" w:rsidRDefault="00FE1C24" w:rsidP="00056AFE">
            <w:pPr>
              <w:contextualSpacing/>
              <w:jc w:val="center"/>
              <w:rPr>
                <w:rFonts w:ascii="Times New Roman" w:hAnsi="Times New Roman" w:cs="Times New Roman"/>
                <w:bCs/>
                <w:sz w:val="20"/>
                <w:szCs w:val="20"/>
              </w:rPr>
            </w:pPr>
          </w:p>
        </w:tc>
        <w:tc>
          <w:tcPr>
            <w:tcW w:w="1713" w:type="dxa"/>
            <w:vMerge/>
            <w:vAlign w:val="center"/>
          </w:tcPr>
          <w:p w14:paraId="7470DCF9" w14:textId="77777777" w:rsidR="00FE1C24" w:rsidRPr="00660EB3" w:rsidRDefault="00FE1C24" w:rsidP="00056AFE">
            <w:pPr>
              <w:contextualSpacing/>
              <w:jc w:val="center"/>
              <w:rPr>
                <w:rFonts w:ascii="Times New Roman" w:hAnsi="Times New Roman" w:cs="Times New Roman"/>
                <w:bCs/>
                <w:sz w:val="20"/>
                <w:szCs w:val="20"/>
              </w:rPr>
            </w:pPr>
          </w:p>
        </w:tc>
        <w:tc>
          <w:tcPr>
            <w:tcW w:w="1530" w:type="dxa"/>
            <w:vMerge/>
            <w:vAlign w:val="center"/>
          </w:tcPr>
          <w:p w14:paraId="28DA3E89" w14:textId="77777777" w:rsidR="00FE1C24" w:rsidRPr="00660EB3" w:rsidRDefault="00FE1C24" w:rsidP="00056AFE">
            <w:pPr>
              <w:contextualSpacing/>
              <w:jc w:val="center"/>
              <w:rPr>
                <w:rFonts w:ascii="Times New Roman" w:hAnsi="Times New Roman" w:cs="Times New Roman"/>
                <w:bCs/>
                <w:sz w:val="20"/>
                <w:szCs w:val="20"/>
              </w:rPr>
            </w:pPr>
          </w:p>
        </w:tc>
        <w:tc>
          <w:tcPr>
            <w:tcW w:w="1185" w:type="dxa"/>
            <w:vAlign w:val="center"/>
          </w:tcPr>
          <w:p w14:paraId="579DCDD5" w14:textId="00FA9544" w:rsidR="00FE1C24" w:rsidRPr="00660EB3" w:rsidRDefault="0074220C" w:rsidP="00056AFE">
            <w:pPr>
              <w:contextualSpacing/>
              <w:jc w:val="center"/>
              <w:rPr>
                <w:rFonts w:ascii="Times New Roman" w:hAnsi="Times New Roman" w:cs="Times New Roman"/>
                <w:sz w:val="20"/>
                <w:szCs w:val="20"/>
              </w:rPr>
            </w:pPr>
            <w:r>
              <w:rPr>
                <w:rFonts w:ascii="Times New Roman" w:hAnsi="Times New Roman" w:cs="Times New Roman"/>
                <w:sz w:val="20"/>
                <w:szCs w:val="20"/>
              </w:rPr>
              <w:t>EDZL</w:t>
            </w:r>
          </w:p>
        </w:tc>
        <w:tc>
          <w:tcPr>
            <w:tcW w:w="1470" w:type="dxa"/>
            <w:vAlign w:val="center"/>
          </w:tcPr>
          <w:p w14:paraId="5BEE49D5" w14:textId="2E911D99" w:rsidR="00FE1C24" w:rsidRPr="00660EB3" w:rsidRDefault="00987E7E" w:rsidP="00056AFE">
            <w:pPr>
              <w:contextualSpacing/>
              <w:jc w:val="center"/>
              <w:rPr>
                <w:rFonts w:ascii="Times New Roman" w:hAnsi="Times New Roman" w:cs="Times New Roman"/>
                <w:bCs/>
                <w:i/>
                <w:iCs/>
                <w:sz w:val="20"/>
                <w:szCs w:val="20"/>
              </w:rPr>
            </w:pPr>
            <w:r>
              <w:rPr>
                <w:rFonts w:ascii="Times New Roman" w:hAnsi="Times New Roman" w:cs="Times New Roman"/>
                <w:i/>
                <w:iCs/>
                <w:color w:val="000000"/>
                <w:sz w:val="20"/>
                <w:szCs w:val="20"/>
              </w:rPr>
              <w:t>Darbinieki, aprīkojums, citi darbi un pakalpojumi</w:t>
            </w:r>
          </w:p>
        </w:tc>
        <w:tc>
          <w:tcPr>
            <w:tcW w:w="1320" w:type="dxa"/>
            <w:vAlign w:val="center"/>
          </w:tcPr>
          <w:p w14:paraId="5F9347F8" w14:textId="77777777" w:rsidR="00FE1C24" w:rsidRPr="00660EB3" w:rsidRDefault="772DC8C2" w:rsidP="00056AFE">
            <w:pPr>
              <w:contextualSpacing/>
              <w:jc w:val="center"/>
              <w:rPr>
                <w:rFonts w:ascii="Times New Roman" w:hAnsi="Times New Roman" w:cs="Times New Roman"/>
                <w:b/>
                <w:bCs/>
                <w:sz w:val="20"/>
                <w:szCs w:val="20"/>
              </w:rPr>
            </w:pPr>
            <w:r w:rsidRPr="0595A900">
              <w:rPr>
                <w:rFonts w:ascii="Times New Roman" w:hAnsi="Times New Roman" w:cs="Times New Roman"/>
                <w:sz w:val="20"/>
                <w:szCs w:val="20"/>
              </w:rPr>
              <w:t>1 540 000</w:t>
            </w:r>
          </w:p>
        </w:tc>
        <w:tc>
          <w:tcPr>
            <w:tcW w:w="1223" w:type="dxa"/>
            <w:vAlign w:val="center"/>
          </w:tcPr>
          <w:p w14:paraId="2299584E" w14:textId="074F8EA9" w:rsidR="00FE1C24" w:rsidRPr="00660EB3" w:rsidRDefault="007E3D93"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462 000</w:t>
            </w:r>
          </w:p>
        </w:tc>
        <w:tc>
          <w:tcPr>
            <w:tcW w:w="1223" w:type="dxa"/>
            <w:vAlign w:val="center"/>
          </w:tcPr>
          <w:p w14:paraId="2E843694" w14:textId="509357ED" w:rsidR="00FE1C24" w:rsidRPr="00660EB3" w:rsidRDefault="007E3D93"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1</w:t>
            </w:r>
            <w:r w:rsidR="00B02062" w:rsidRPr="00660EB3">
              <w:rPr>
                <w:rFonts w:ascii="Times New Roman" w:hAnsi="Times New Roman" w:cs="Times New Roman"/>
                <w:sz w:val="20"/>
                <w:szCs w:val="20"/>
              </w:rPr>
              <w:t> 078 000</w:t>
            </w:r>
          </w:p>
        </w:tc>
      </w:tr>
      <w:tr w:rsidR="00FE1C24" w:rsidRPr="00660EB3" w14:paraId="0AE0C3DD" w14:textId="1C83C3BC" w:rsidTr="638FD9FE">
        <w:trPr>
          <w:trHeight w:val="1530"/>
          <w:jc w:val="center"/>
        </w:trPr>
        <w:tc>
          <w:tcPr>
            <w:tcW w:w="1097" w:type="dxa"/>
            <w:vMerge/>
            <w:vAlign w:val="center"/>
          </w:tcPr>
          <w:p w14:paraId="29CCC220" w14:textId="77777777" w:rsidR="00FE1C24" w:rsidRPr="00660EB3" w:rsidRDefault="00FE1C24" w:rsidP="00056AFE">
            <w:pPr>
              <w:contextualSpacing/>
              <w:jc w:val="center"/>
              <w:rPr>
                <w:rFonts w:ascii="Times New Roman" w:hAnsi="Times New Roman" w:cs="Times New Roman"/>
                <w:bCs/>
                <w:sz w:val="20"/>
                <w:szCs w:val="20"/>
              </w:rPr>
            </w:pPr>
          </w:p>
        </w:tc>
        <w:tc>
          <w:tcPr>
            <w:tcW w:w="1713" w:type="dxa"/>
            <w:vMerge/>
            <w:vAlign w:val="center"/>
          </w:tcPr>
          <w:p w14:paraId="2F40089D" w14:textId="77777777" w:rsidR="00FE1C24" w:rsidRPr="00660EB3" w:rsidRDefault="00FE1C24" w:rsidP="00056AFE">
            <w:pPr>
              <w:contextualSpacing/>
              <w:jc w:val="center"/>
              <w:rPr>
                <w:rFonts w:ascii="Times New Roman" w:hAnsi="Times New Roman" w:cs="Times New Roman"/>
                <w:bCs/>
                <w:sz w:val="20"/>
                <w:szCs w:val="20"/>
              </w:rPr>
            </w:pPr>
          </w:p>
        </w:tc>
        <w:tc>
          <w:tcPr>
            <w:tcW w:w="1530" w:type="dxa"/>
            <w:vMerge/>
            <w:vAlign w:val="center"/>
          </w:tcPr>
          <w:p w14:paraId="46973159" w14:textId="77777777" w:rsidR="00FE1C24" w:rsidRPr="00660EB3" w:rsidRDefault="00FE1C24" w:rsidP="00056AFE">
            <w:pPr>
              <w:contextualSpacing/>
              <w:jc w:val="center"/>
              <w:rPr>
                <w:rFonts w:ascii="Times New Roman" w:hAnsi="Times New Roman" w:cs="Times New Roman"/>
                <w:bCs/>
                <w:sz w:val="20"/>
                <w:szCs w:val="20"/>
              </w:rPr>
            </w:pPr>
          </w:p>
        </w:tc>
        <w:tc>
          <w:tcPr>
            <w:tcW w:w="1185" w:type="dxa"/>
            <w:vAlign w:val="center"/>
          </w:tcPr>
          <w:p w14:paraId="314CF3A8" w14:textId="69350E90" w:rsidR="00FE1C24" w:rsidRPr="00660EB3" w:rsidRDefault="00C843DE" w:rsidP="00056AFE">
            <w:pPr>
              <w:contextualSpacing/>
              <w:jc w:val="center"/>
              <w:rPr>
                <w:rFonts w:ascii="Times New Roman" w:hAnsi="Times New Roman" w:cs="Times New Roman"/>
                <w:sz w:val="20"/>
                <w:szCs w:val="20"/>
              </w:rPr>
            </w:pPr>
            <w:r>
              <w:rPr>
                <w:rFonts w:ascii="Times New Roman" w:hAnsi="Times New Roman" w:cs="Times New Roman"/>
                <w:sz w:val="20"/>
                <w:szCs w:val="20"/>
              </w:rPr>
              <w:t>RBR</w:t>
            </w:r>
          </w:p>
        </w:tc>
        <w:tc>
          <w:tcPr>
            <w:tcW w:w="1470" w:type="dxa"/>
            <w:vAlign w:val="center"/>
          </w:tcPr>
          <w:p w14:paraId="702C4314" w14:textId="10293560" w:rsidR="00FE1C24" w:rsidRPr="00660EB3" w:rsidRDefault="00987E7E" w:rsidP="00056AFE">
            <w:pPr>
              <w:contextualSpacing/>
              <w:jc w:val="center"/>
              <w:rPr>
                <w:rFonts w:ascii="Times New Roman" w:hAnsi="Times New Roman" w:cs="Times New Roman"/>
                <w:bCs/>
                <w:i/>
                <w:iCs/>
                <w:sz w:val="20"/>
                <w:szCs w:val="20"/>
              </w:rPr>
            </w:pPr>
            <w:r>
              <w:rPr>
                <w:rFonts w:ascii="Times New Roman" w:hAnsi="Times New Roman" w:cs="Times New Roman"/>
                <w:i/>
                <w:iCs/>
                <w:sz w:val="20"/>
                <w:szCs w:val="20"/>
              </w:rPr>
              <w:t>Darbinieki, komandējumi un uzturēšan</w:t>
            </w:r>
            <w:r w:rsidR="00BB4E42">
              <w:rPr>
                <w:rFonts w:ascii="Times New Roman" w:hAnsi="Times New Roman" w:cs="Times New Roman"/>
                <w:i/>
                <w:iCs/>
                <w:sz w:val="20"/>
                <w:szCs w:val="20"/>
              </w:rPr>
              <w:t>ā</w:t>
            </w:r>
            <w:r>
              <w:rPr>
                <w:rFonts w:ascii="Times New Roman" w:hAnsi="Times New Roman" w:cs="Times New Roman"/>
                <w:i/>
                <w:iCs/>
                <w:sz w:val="20"/>
                <w:szCs w:val="20"/>
              </w:rPr>
              <w:t>s izmaksas</w:t>
            </w:r>
          </w:p>
        </w:tc>
        <w:tc>
          <w:tcPr>
            <w:tcW w:w="1320" w:type="dxa"/>
            <w:vAlign w:val="center"/>
          </w:tcPr>
          <w:p w14:paraId="6D16484E" w14:textId="77777777" w:rsidR="00FE1C24" w:rsidRPr="00660EB3" w:rsidRDefault="00FE1C24" w:rsidP="00056AFE">
            <w:pPr>
              <w:contextualSpacing/>
              <w:jc w:val="center"/>
              <w:rPr>
                <w:rFonts w:ascii="Times New Roman" w:hAnsi="Times New Roman" w:cs="Times New Roman"/>
                <w:b/>
                <w:bCs/>
                <w:sz w:val="20"/>
                <w:szCs w:val="20"/>
              </w:rPr>
            </w:pPr>
            <w:r w:rsidRPr="00660EB3">
              <w:rPr>
                <w:rFonts w:ascii="Times New Roman" w:hAnsi="Times New Roman" w:cs="Times New Roman"/>
                <w:sz w:val="20"/>
                <w:szCs w:val="20"/>
              </w:rPr>
              <w:t>26 713</w:t>
            </w:r>
          </w:p>
        </w:tc>
        <w:tc>
          <w:tcPr>
            <w:tcW w:w="1223" w:type="dxa"/>
            <w:vAlign w:val="center"/>
          </w:tcPr>
          <w:p w14:paraId="01B1DF55" w14:textId="54E0F38B" w:rsidR="00FE1C24" w:rsidRPr="00660EB3" w:rsidRDefault="006D693C"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8 014</w:t>
            </w:r>
          </w:p>
        </w:tc>
        <w:tc>
          <w:tcPr>
            <w:tcW w:w="1223" w:type="dxa"/>
            <w:vAlign w:val="center"/>
          </w:tcPr>
          <w:p w14:paraId="05F8B4E7" w14:textId="6C501F56" w:rsidR="00FE1C24" w:rsidRPr="00660EB3" w:rsidRDefault="00224F9F" w:rsidP="00056AFE">
            <w:pPr>
              <w:contextualSpacing/>
              <w:jc w:val="center"/>
              <w:rPr>
                <w:rFonts w:ascii="Times New Roman" w:hAnsi="Times New Roman" w:cs="Times New Roman"/>
                <w:sz w:val="20"/>
                <w:szCs w:val="20"/>
              </w:rPr>
            </w:pPr>
            <w:r w:rsidRPr="00660EB3">
              <w:rPr>
                <w:rFonts w:ascii="Times New Roman" w:hAnsi="Times New Roman" w:cs="Times New Roman"/>
                <w:sz w:val="20"/>
                <w:szCs w:val="20"/>
              </w:rPr>
              <w:t>18 699</w:t>
            </w:r>
          </w:p>
        </w:tc>
      </w:tr>
    </w:tbl>
    <w:p w14:paraId="26D345CF" w14:textId="77777777" w:rsidR="00120B11" w:rsidRDefault="00120B11" w:rsidP="00056AFE">
      <w:pPr>
        <w:tabs>
          <w:tab w:val="left" w:pos="567"/>
        </w:tabs>
        <w:spacing w:after="0" w:line="240" w:lineRule="auto"/>
        <w:contextualSpacing/>
        <w:jc w:val="both"/>
        <w:rPr>
          <w:rFonts w:eastAsia="Calibri" w:cs="Times New Roman"/>
          <w:sz w:val="24"/>
          <w:szCs w:val="24"/>
          <w:lang w:eastAsia="lv-LV"/>
        </w:rPr>
      </w:pPr>
    </w:p>
    <w:p w14:paraId="3D4B2946" w14:textId="41986F58" w:rsidR="00865475" w:rsidRDefault="00D53D1C" w:rsidP="00056AFE">
      <w:pPr>
        <w:tabs>
          <w:tab w:val="left" w:pos="567"/>
        </w:tabs>
        <w:spacing w:after="0" w:line="240" w:lineRule="auto"/>
        <w:contextualSpacing/>
        <w:jc w:val="both"/>
        <w:rPr>
          <w:rFonts w:eastAsia="Calibri" w:cs="Times New Roman"/>
          <w:sz w:val="24"/>
          <w:szCs w:val="24"/>
          <w:lang w:eastAsia="lv-LV"/>
        </w:rPr>
      </w:pPr>
      <w:r>
        <w:rPr>
          <w:rFonts w:eastAsia="Calibri" w:cs="Times New Roman"/>
          <w:sz w:val="24"/>
          <w:szCs w:val="24"/>
          <w:lang w:eastAsia="lv-LV"/>
        </w:rPr>
        <w:tab/>
      </w:r>
      <w:r w:rsidR="009640E6">
        <w:rPr>
          <w:rFonts w:eastAsia="Calibri" w:cs="Times New Roman"/>
          <w:sz w:val="24"/>
          <w:szCs w:val="24"/>
          <w:lang w:eastAsia="lv-LV"/>
        </w:rPr>
        <w:t>6.</w:t>
      </w:r>
      <w:r w:rsidR="00BA2D24">
        <w:rPr>
          <w:rFonts w:eastAsia="Calibri" w:cs="Times New Roman"/>
          <w:sz w:val="24"/>
          <w:szCs w:val="24"/>
          <w:lang w:eastAsia="lv-LV"/>
        </w:rPr>
        <w:t xml:space="preserve"> </w:t>
      </w:r>
      <w:r w:rsidR="009640E6">
        <w:rPr>
          <w:rFonts w:eastAsia="Calibri" w:cs="Times New Roman"/>
          <w:sz w:val="24"/>
          <w:szCs w:val="24"/>
          <w:lang w:eastAsia="lv-LV"/>
        </w:rPr>
        <w:t>t</w:t>
      </w:r>
      <w:r w:rsidR="001A4C63">
        <w:rPr>
          <w:rFonts w:eastAsia="Calibri" w:cs="Times New Roman"/>
          <w:sz w:val="24"/>
          <w:szCs w:val="24"/>
          <w:lang w:eastAsia="lv-LV"/>
        </w:rPr>
        <w:t>abula</w:t>
      </w:r>
      <w:r w:rsidR="009640E6">
        <w:rPr>
          <w:rFonts w:eastAsia="Calibri" w:cs="Times New Roman"/>
          <w:sz w:val="24"/>
          <w:szCs w:val="24"/>
          <w:lang w:eastAsia="lv-LV"/>
        </w:rPr>
        <w:t xml:space="preserve"> </w:t>
      </w:r>
      <w:r w:rsidR="001A4C63">
        <w:rPr>
          <w:rFonts w:eastAsia="Calibri" w:cs="Times New Roman"/>
          <w:sz w:val="24"/>
          <w:szCs w:val="24"/>
          <w:lang w:eastAsia="lv-LV"/>
        </w:rPr>
        <w:t xml:space="preserve">atspoguļo detalizētu pārskatu par CEF9 finansēšanas līguma aktivitātes </w:t>
      </w:r>
      <w:r w:rsidR="001A4C63" w:rsidRPr="001E7F6D">
        <w:rPr>
          <w:rFonts w:eastAsia="Calibri" w:cs="Times New Roman"/>
          <w:sz w:val="24"/>
          <w:szCs w:val="24"/>
          <w:lang w:eastAsia="lv-LV"/>
        </w:rPr>
        <w:t>T</w:t>
      </w:r>
      <w:r w:rsidR="001A4C63">
        <w:rPr>
          <w:rFonts w:eastAsia="Calibri" w:cs="Times New Roman"/>
          <w:sz w:val="24"/>
          <w:szCs w:val="24"/>
          <w:lang w:eastAsia="lv-LV"/>
        </w:rPr>
        <w:t>5</w:t>
      </w:r>
      <w:r w:rsidR="001A4C63" w:rsidRPr="001E7F6D">
        <w:rPr>
          <w:rFonts w:eastAsia="Calibri" w:cs="Times New Roman"/>
          <w:sz w:val="24"/>
          <w:szCs w:val="24"/>
          <w:lang w:eastAsia="lv-LV"/>
        </w:rPr>
        <w:t>.</w:t>
      </w:r>
      <w:r w:rsidR="001A4C63">
        <w:rPr>
          <w:rFonts w:eastAsia="Calibri" w:cs="Times New Roman"/>
          <w:sz w:val="24"/>
          <w:szCs w:val="24"/>
          <w:lang w:eastAsia="lv-LV"/>
        </w:rPr>
        <w:t>2</w:t>
      </w:r>
      <w:r w:rsidR="001A4C63" w:rsidRPr="001E7F6D">
        <w:rPr>
          <w:rFonts w:eastAsia="Calibri" w:cs="Times New Roman"/>
          <w:sz w:val="24"/>
          <w:szCs w:val="24"/>
          <w:lang w:eastAsia="lv-LV"/>
        </w:rPr>
        <w:t>.1.</w:t>
      </w:r>
      <w:r w:rsidR="001A4C63">
        <w:rPr>
          <w:rFonts w:eastAsia="Calibri" w:cs="Times New Roman"/>
          <w:sz w:val="24"/>
          <w:szCs w:val="24"/>
          <w:lang w:eastAsia="lv-LV"/>
        </w:rPr>
        <w:t xml:space="preserve">, proti, </w:t>
      </w:r>
      <w:r w:rsidR="001A4C63" w:rsidRPr="001A4C63">
        <w:rPr>
          <w:rFonts w:eastAsia="Calibri" w:cs="Times New Roman"/>
          <w:sz w:val="24"/>
          <w:szCs w:val="24"/>
          <w:lang w:eastAsia="lv-LV"/>
        </w:rPr>
        <w:t>Iecavas būvdarbu bāzes teritorijas izveide</w:t>
      </w:r>
      <w:r w:rsidR="009916C1">
        <w:rPr>
          <w:rFonts w:eastAsia="Calibri" w:cs="Times New Roman"/>
          <w:sz w:val="24"/>
          <w:szCs w:val="24"/>
          <w:lang w:eastAsia="lv-LV"/>
        </w:rPr>
        <w:t xml:space="preserve">s un </w:t>
      </w:r>
      <w:r w:rsidR="001A4C63" w:rsidRPr="001A4C63">
        <w:rPr>
          <w:rFonts w:eastAsia="Calibri" w:cs="Times New Roman"/>
          <w:sz w:val="24"/>
          <w:szCs w:val="24"/>
          <w:lang w:eastAsia="lv-LV"/>
        </w:rPr>
        <w:t>pamattrases būvniecīb</w:t>
      </w:r>
      <w:r>
        <w:rPr>
          <w:rFonts w:eastAsia="Calibri" w:cs="Times New Roman"/>
          <w:sz w:val="24"/>
          <w:szCs w:val="24"/>
          <w:lang w:eastAsia="lv-LV"/>
        </w:rPr>
        <w:t>as</w:t>
      </w:r>
      <w:r w:rsidR="001A4C63" w:rsidRPr="001A4C63">
        <w:rPr>
          <w:rFonts w:eastAsia="Calibri" w:cs="Times New Roman"/>
          <w:sz w:val="24"/>
          <w:szCs w:val="24"/>
          <w:lang w:eastAsia="lv-LV"/>
        </w:rPr>
        <w:t xml:space="preserve"> posmos DS1, DS2 </w:t>
      </w:r>
      <w:r>
        <w:rPr>
          <w:rFonts w:eastAsia="Calibri" w:cs="Times New Roman"/>
          <w:sz w:val="24"/>
          <w:szCs w:val="24"/>
          <w:lang w:eastAsia="lv-LV"/>
        </w:rPr>
        <w:t>un</w:t>
      </w:r>
      <w:r w:rsidR="001A4C63" w:rsidRPr="001A4C63">
        <w:rPr>
          <w:rFonts w:eastAsia="Calibri" w:cs="Times New Roman"/>
          <w:sz w:val="24"/>
          <w:szCs w:val="24"/>
          <w:lang w:eastAsia="lv-LV"/>
        </w:rPr>
        <w:t xml:space="preserve"> DS4 </w:t>
      </w:r>
      <w:r>
        <w:rPr>
          <w:rFonts w:eastAsia="Calibri" w:cs="Times New Roman"/>
          <w:sz w:val="24"/>
          <w:szCs w:val="24"/>
          <w:lang w:eastAsia="lv-LV"/>
        </w:rPr>
        <w:t xml:space="preserve">izmaksas, papildus </w:t>
      </w:r>
      <w:r w:rsidR="001A4C63">
        <w:rPr>
          <w:rFonts w:eastAsia="Calibri" w:cs="Times New Roman"/>
          <w:sz w:val="24"/>
          <w:szCs w:val="24"/>
          <w:lang w:eastAsia="lv-LV"/>
        </w:rPr>
        <w:t>norādot katram uzņēmumam aktivitātes īstenošanas ietvaros piešķiramo finansējumu konkrētu pakalpojumu veikšanai.</w:t>
      </w:r>
      <w:r w:rsidR="00B90C25">
        <w:rPr>
          <w:rFonts w:eastAsia="Calibri" w:cs="Times New Roman"/>
          <w:sz w:val="24"/>
          <w:szCs w:val="24"/>
          <w:lang w:eastAsia="lv-LV"/>
        </w:rPr>
        <w:t xml:space="preserve"> </w:t>
      </w:r>
    </w:p>
    <w:p w14:paraId="1C46CD7B" w14:textId="447D6D74" w:rsidR="000F6C88" w:rsidRDefault="000F6C88" w:rsidP="00056AFE">
      <w:pPr>
        <w:tabs>
          <w:tab w:val="left" w:pos="567"/>
        </w:tabs>
        <w:spacing w:after="0" w:line="240" w:lineRule="auto"/>
        <w:contextualSpacing/>
        <w:jc w:val="both"/>
        <w:rPr>
          <w:rFonts w:eastAsia="Calibri" w:cs="Times New Roman"/>
          <w:sz w:val="24"/>
          <w:szCs w:val="24"/>
          <w:lang w:eastAsia="lv-LV"/>
        </w:rPr>
      </w:pPr>
    </w:p>
    <w:p w14:paraId="024B4705" w14:textId="1F09229C" w:rsidR="000F6C88" w:rsidRDefault="000F6C88" w:rsidP="6075987E">
      <w:pPr>
        <w:spacing w:after="0" w:line="240" w:lineRule="auto"/>
        <w:contextualSpacing/>
        <w:rPr>
          <w:rFonts w:eastAsiaTheme="minorEastAsia" w:cs="Times New Roman"/>
          <w:b/>
          <w:bCs/>
          <w:sz w:val="24"/>
          <w:szCs w:val="24"/>
          <w:lang w:eastAsia="lv-LV"/>
        </w:rPr>
        <w:sectPr w:rsidR="000F6C88" w:rsidSect="000F6C88">
          <w:headerReference w:type="even" r:id="rId12"/>
          <w:headerReference w:type="default" r:id="rId13"/>
          <w:footerReference w:type="even" r:id="rId14"/>
          <w:footerReference w:type="default" r:id="rId15"/>
          <w:headerReference w:type="first" r:id="rId16"/>
          <w:footerReference w:type="first" r:id="rId17"/>
          <w:pgSz w:w="11906" w:h="16838"/>
          <w:pgMar w:top="2098" w:right="1077" w:bottom="737" w:left="1418" w:header="709" w:footer="471" w:gutter="0"/>
          <w:cols w:space="708"/>
          <w:docGrid w:linePitch="381"/>
        </w:sectPr>
      </w:pPr>
    </w:p>
    <w:p w14:paraId="3774859E" w14:textId="276708F0" w:rsidR="000F6C88" w:rsidRDefault="000F6C88" w:rsidP="00056AFE">
      <w:pPr>
        <w:tabs>
          <w:tab w:val="left" w:pos="6663"/>
        </w:tabs>
        <w:spacing w:after="0" w:line="240" w:lineRule="auto"/>
        <w:contextualSpacing/>
        <w:jc w:val="center"/>
        <w:rPr>
          <w:rFonts w:eastAsiaTheme="minorEastAsia" w:cs="Times New Roman"/>
          <w:b/>
          <w:bCs/>
          <w:i/>
          <w:iCs/>
          <w:sz w:val="24"/>
          <w:szCs w:val="24"/>
          <w:lang w:eastAsia="lv-LV"/>
        </w:rPr>
      </w:pPr>
      <w:r w:rsidRPr="00660EB3">
        <w:rPr>
          <w:rFonts w:eastAsiaTheme="minorEastAsia" w:cs="Times New Roman"/>
          <w:b/>
          <w:bCs/>
          <w:sz w:val="24"/>
          <w:szCs w:val="24"/>
          <w:lang w:eastAsia="lv-LV"/>
        </w:rPr>
        <w:lastRenderedPageBreak/>
        <w:t xml:space="preserve">Provizorisko būvdarbu izmaksu salīdzinājums ar CEF8 un CEF9 pieejamo finansējumu (bez PVN), </w:t>
      </w:r>
      <w:r w:rsidR="002C5510" w:rsidRPr="002C5510">
        <w:rPr>
          <w:rFonts w:eastAsiaTheme="minorEastAsia" w:cs="Times New Roman"/>
          <w:b/>
          <w:bCs/>
          <w:i/>
          <w:sz w:val="24"/>
          <w:szCs w:val="24"/>
          <w:lang w:eastAsia="lv-LV"/>
        </w:rPr>
        <w:t>euro</w:t>
      </w:r>
    </w:p>
    <w:p w14:paraId="0C36D459" w14:textId="2C08BEB4" w:rsidR="000F6C88" w:rsidRPr="00022F8E" w:rsidRDefault="00022F8E" w:rsidP="00056AFE">
      <w:pPr>
        <w:tabs>
          <w:tab w:val="left" w:pos="6663"/>
        </w:tabs>
        <w:spacing w:after="0" w:line="240" w:lineRule="auto"/>
        <w:contextualSpacing/>
        <w:jc w:val="right"/>
        <w:rPr>
          <w:rFonts w:eastAsiaTheme="minorEastAsia" w:cs="Times New Roman"/>
          <w:sz w:val="24"/>
          <w:szCs w:val="24"/>
          <w:lang w:eastAsia="lv-LV"/>
        </w:rPr>
      </w:pPr>
      <w:r w:rsidRPr="00022F8E">
        <w:rPr>
          <w:rFonts w:eastAsiaTheme="minorEastAsia" w:cs="Times New Roman"/>
          <w:sz w:val="24"/>
          <w:szCs w:val="24"/>
          <w:lang w:eastAsia="lv-LV"/>
        </w:rPr>
        <w:t>7</w:t>
      </w:r>
      <w:r w:rsidR="000F6C88" w:rsidRPr="00022F8E">
        <w:rPr>
          <w:rFonts w:eastAsiaTheme="minorEastAsia" w:cs="Times New Roman"/>
          <w:sz w:val="24"/>
          <w:szCs w:val="24"/>
          <w:lang w:eastAsia="lv-LV"/>
        </w:rPr>
        <w:t>. tabula</w:t>
      </w:r>
    </w:p>
    <w:tbl>
      <w:tblPr>
        <w:tblpPr w:leftFromText="180" w:rightFromText="180" w:vertAnchor="text" w:tblpY="1"/>
        <w:tblOverlap w:val="neve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674"/>
        <w:gridCol w:w="1161"/>
        <w:gridCol w:w="2100"/>
        <w:gridCol w:w="1688"/>
        <w:gridCol w:w="1631"/>
        <w:gridCol w:w="1394"/>
        <w:gridCol w:w="1362"/>
        <w:gridCol w:w="1344"/>
        <w:gridCol w:w="1639"/>
      </w:tblGrid>
      <w:tr w:rsidR="000F6C88" w:rsidRPr="00D86C93" w14:paraId="35ED038E" w14:textId="77777777" w:rsidTr="00E147C1">
        <w:trPr>
          <w:trHeight w:val="1560"/>
        </w:trPr>
        <w:tc>
          <w:tcPr>
            <w:tcW w:w="1674" w:type="dxa"/>
            <w:shd w:val="clear" w:color="auto" w:fill="auto"/>
            <w:noWrap/>
            <w:vAlign w:val="center"/>
            <w:hideMark/>
          </w:tcPr>
          <w:p w14:paraId="2E7D0B90"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Finansējuma avots</w:t>
            </w:r>
          </w:p>
        </w:tc>
        <w:tc>
          <w:tcPr>
            <w:tcW w:w="1161" w:type="dxa"/>
            <w:shd w:val="clear" w:color="auto" w:fill="auto"/>
            <w:noWrap/>
            <w:vAlign w:val="center"/>
            <w:hideMark/>
          </w:tcPr>
          <w:p w14:paraId="0E3153C1"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Būvatļauja</w:t>
            </w:r>
          </w:p>
        </w:tc>
        <w:tc>
          <w:tcPr>
            <w:tcW w:w="2100" w:type="dxa"/>
            <w:shd w:val="clear" w:color="auto" w:fill="auto"/>
            <w:noWrap/>
            <w:vAlign w:val="center"/>
            <w:hideMark/>
          </w:tcPr>
          <w:p w14:paraId="1566CEAF"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Paredzamās būvdarbu izmaksas</w:t>
            </w:r>
            <w:r>
              <w:rPr>
                <w:rFonts w:eastAsia="Times New Roman" w:cs="Times New Roman"/>
                <w:b/>
                <w:bCs/>
                <w:color w:val="000000"/>
                <w:sz w:val="20"/>
                <w:szCs w:val="20"/>
                <w:lang w:eastAsia="en-GB"/>
              </w:rPr>
              <w:t xml:space="preserve"> (D+E)</w:t>
            </w:r>
          </w:p>
        </w:tc>
        <w:tc>
          <w:tcPr>
            <w:tcW w:w="1688" w:type="dxa"/>
            <w:shd w:val="clear" w:color="auto" w:fill="auto"/>
            <w:vAlign w:val="center"/>
            <w:hideMark/>
          </w:tcPr>
          <w:p w14:paraId="2413D290"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Izmaksas apjomam, kas nav iekļauts finansēšanas līgumā (dzelzceļa virsbūve u.c.)**</w:t>
            </w:r>
          </w:p>
        </w:tc>
        <w:tc>
          <w:tcPr>
            <w:tcW w:w="1631" w:type="dxa"/>
            <w:shd w:val="clear" w:color="auto" w:fill="auto"/>
            <w:vAlign w:val="center"/>
            <w:hideMark/>
          </w:tcPr>
          <w:p w14:paraId="2781A0A0"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Paredzamās būvdarbu izmaksas CEF8 un CEF9 ietvaros attiecināmajiem darbiem</w:t>
            </w:r>
            <w:r>
              <w:rPr>
                <w:rFonts w:eastAsia="Times New Roman" w:cs="Times New Roman"/>
                <w:b/>
                <w:bCs/>
                <w:color w:val="000000"/>
                <w:sz w:val="20"/>
                <w:szCs w:val="20"/>
                <w:lang w:eastAsia="en-GB"/>
              </w:rPr>
              <w:t xml:space="preserve"> (C-D)</w:t>
            </w:r>
            <w:r w:rsidRPr="00D86C93">
              <w:rPr>
                <w:rFonts w:eastAsia="Times New Roman" w:cs="Times New Roman"/>
                <w:b/>
                <w:bCs/>
                <w:color w:val="000000"/>
                <w:sz w:val="20"/>
                <w:szCs w:val="20"/>
                <w:lang w:eastAsia="en-GB"/>
              </w:rPr>
              <w:t>*</w:t>
            </w:r>
          </w:p>
        </w:tc>
        <w:tc>
          <w:tcPr>
            <w:tcW w:w="1394" w:type="dxa"/>
            <w:shd w:val="clear" w:color="auto" w:fill="auto"/>
            <w:vAlign w:val="center"/>
            <w:hideMark/>
          </w:tcPr>
          <w:p w14:paraId="45DF5731" w14:textId="77777777" w:rsidR="00120B11" w:rsidRDefault="00120B11" w:rsidP="00056AFE">
            <w:pPr>
              <w:spacing w:after="0" w:line="240" w:lineRule="auto"/>
              <w:contextualSpacing/>
              <w:jc w:val="center"/>
              <w:rPr>
                <w:rFonts w:eastAsia="Times New Roman" w:cs="Times New Roman"/>
                <w:b/>
                <w:bCs/>
                <w:color w:val="000000"/>
                <w:sz w:val="20"/>
                <w:szCs w:val="20"/>
                <w:lang w:eastAsia="en-GB"/>
              </w:rPr>
            </w:pPr>
            <w:r w:rsidRPr="00120B11">
              <w:rPr>
                <w:rFonts w:eastAsia="Times New Roman" w:cs="Times New Roman"/>
                <w:b/>
                <w:bCs/>
                <w:color w:val="000000"/>
                <w:sz w:val="20"/>
                <w:szCs w:val="20"/>
                <w:highlight w:val="lightGray"/>
                <w:lang w:eastAsia="en-GB"/>
              </w:rPr>
              <w:t>CEF</w:t>
            </w:r>
          </w:p>
          <w:p w14:paraId="32FBEA73" w14:textId="08C02AFD" w:rsidR="000F6C88" w:rsidRPr="00D86C93" w:rsidRDefault="00120B11"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f</w:t>
            </w:r>
            <w:r w:rsidR="000F6C88" w:rsidRPr="00D86C93">
              <w:rPr>
                <w:rFonts w:eastAsia="Times New Roman" w:cs="Times New Roman"/>
                <w:b/>
                <w:bCs/>
                <w:color w:val="000000"/>
                <w:sz w:val="20"/>
                <w:szCs w:val="20"/>
                <w:lang w:eastAsia="en-GB"/>
              </w:rPr>
              <w:t>inansējuma avotos pieejamais finansējums</w:t>
            </w:r>
          </w:p>
        </w:tc>
        <w:tc>
          <w:tcPr>
            <w:tcW w:w="1362" w:type="dxa"/>
            <w:shd w:val="clear" w:color="auto" w:fill="auto"/>
            <w:vAlign w:val="center"/>
            <w:hideMark/>
          </w:tcPr>
          <w:p w14:paraId="055E0CD5" w14:textId="77777777" w:rsidR="000F6C88"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Rezerve pret CEF8 un CEF9 budžetu</w:t>
            </w:r>
          </w:p>
          <w:p w14:paraId="041EECB2"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(F-E)</w:t>
            </w:r>
          </w:p>
        </w:tc>
        <w:tc>
          <w:tcPr>
            <w:tcW w:w="1344" w:type="dxa"/>
            <w:shd w:val="clear" w:color="auto" w:fill="auto"/>
            <w:vAlign w:val="center"/>
            <w:hideMark/>
          </w:tcPr>
          <w:p w14:paraId="316B2DAD"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CEF finansējums</w:t>
            </w:r>
          </w:p>
        </w:tc>
        <w:tc>
          <w:tcPr>
            <w:tcW w:w="1639" w:type="dxa"/>
            <w:shd w:val="clear" w:color="auto" w:fill="auto"/>
            <w:vAlign w:val="center"/>
            <w:hideMark/>
          </w:tcPr>
          <w:p w14:paraId="77C4047C"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Valsts budžet</w:t>
            </w:r>
            <w:r>
              <w:rPr>
                <w:rFonts w:eastAsia="Times New Roman" w:cs="Times New Roman"/>
                <w:b/>
                <w:bCs/>
                <w:color w:val="000000"/>
                <w:sz w:val="20"/>
                <w:szCs w:val="20"/>
                <w:lang w:eastAsia="en-GB"/>
              </w:rPr>
              <w:t>a līdzfinansējums</w:t>
            </w:r>
          </w:p>
        </w:tc>
      </w:tr>
      <w:tr w:rsidR="000F6C88" w:rsidRPr="00D86C93" w14:paraId="3FDF963E" w14:textId="77777777" w:rsidTr="00E147C1">
        <w:trPr>
          <w:trHeight w:val="170"/>
        </w:trPr>
        <w:tc>
          <w:tcPr>
            <w:tcW w:w="1674" w:type="dxa"/>
            <w:shd w:val="clear" w:color="auto" w:fill="auto"/>
            <w:noWrap/>
            <w:vAlign w:val="center"/>
          </w:tcPr>
          <w:p w14:paraId="60AE37D3"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A</w:t>
            </w:r>
          </w:p>
        </w:tc>
        <w:tc>
          <w:tcPr>
            <w:tcW w:w="1161" w:type="dxa"/>
            <w:shd w:val="clear" w:color="auto" w:fill="auto"/>
            <w:noWrap/>
            <w:vAlign w:val="center"/>
          </w:tcPr>
          <w:p w14:paraId="16A0804F"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B</w:t>
            </w:r>
          </w:p>
        </w:tc>
        <w:tc>
          <w:tcPr>
            <w:tcW w:w="2100" w:type="dxa"/>
            <w:shd w:val="clear" w:color="auto" w:fill="auto"/>
            <w:noWrap/>
            <w:vAlign w:val="center"/>
          </w:tcPr>
          <w:p w14:paraId="26670455"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C</w:t>
            </w:r>
          </w:p>
        </w:tc>
        <w:tc>
          <w:tcPr>
            <w:tcW w:w="1688" w:type="dxa"/>
            <w:shd w:val="clear" w:color="auto" w:fill="auto"/>
            <w:vAlign w:val="center"/>
          </w:tcPr>
          <w:p w14:paraId="591DFC1B"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D</w:t>
            </w:r>
          </w:p>
        </w:tc>
        <w:tc>
          <w:tcPr>
            <w:tcW w:w="1631" w:type="dxa"/>
            <w:shd w:val="clear" w:color="auto" w:fill="auto"/>
            <w:vAlign w:val="center"/>
          </w:tcPr>
          <w:p w14:paraId="6E5D7FBB"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E</w:t>
            </w:r>
          </w:p>
        </w:tc>
        <w:tc>
          <w:tcPr>
            <w:tcW w:w="1394" w:type="dxa"/>
            <w:shd w:val="clear" w:color="auto" w:fill="auto"/>
            <w:vAlign w:val="center"/>
          </w:tcPr>
          <w:p w14:paraId="13FA26AB"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F</w:t>
            </w:r>
          </w:p>
        </w:tc>
        <w:tc>
          <w:tcPr>
            <w:tcW w:w="1362" w:type="dxa"/>
            <w:shd w:val="clear" w:color="auto" w:fill="auto"/>
            <w:vAlign w:val="center"/>
          </w:tcPr>
          <w:p w14:paraId="7EAA19CD"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G</w:t>
            </w:r>
          </w:p>
        </w:tc>
        <w:tc>
          <w:tcPr>
            <w:tcW w:w="1344" w:type="dxa"/>
            <w:shd w:val="clear" w:color="auto" w:fill="auto"/>
            <w:vAlign w:val="center"/>
          </w:tcPr>
          <w:p w14:paraId="5EACC9B4"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H</w:t>
            </w:r>
          </w:p>
        </w:tc>
        <w:tc>
          <w:tcPr>
            <w:tcW w:w="1639" w:type="dxa"/>
            <w:shd w:val="clear" w:color="auto" w:fill="auto"/>
            <w:vAlign w:val="center"/>
          </w:tcPr>
          <w:p w14:paraId="25C2DE87"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I</w:t>
            </w:r>
          </w:p>
        </w:tc>
      </w:tr>
      <w:tr w:rsidR="00E147C1" w:rsidRPr="00D86C93" w14:paraId="10E67388" w14:textId="77777777" w:rsidTr="00E147C1">
        <w:trPr>
          <w:trHeight w:val="1150"/>
        </w:trPr>
        <w:tc>
          <w:tcPr>
            <w:tcW w:w="1674" w:type="dxa"/>
            <w:vMerge w:val="restart"/>
            <w:shd w:val="clear" w:color="auto" w:fill="auto"/>
            <w:vAlign w:val="center"/>
            <w:hideMark/>
          </w:tcPr>
          <w:p w14:paraId="7F93A103"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CEF8 Aktivitātes T.3.1.1. līdz T.3.1.4.</w:t>
            </w:r>
          </w:p>
        </w:tc>
        <w:tc>
          <w:tcPr>
            <w:tcW w:w="1161" w:type="dxa"/>
            <w:shd w:val="clear" w:color="auto" w:fill="auto"/>
            <w:noWrap/>
            <w:vAlign w:val="center"/>
            <w:hideMark/>
          </w:tcPr>
          <w:p w14:paraId="5D94DDC9"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DS4 BP1</w:t>
            </w:r>
          </w:p>
        </w:tc>
        <w:tc>
          <w:tcPr>
            <w:tcW w:w="2100" w:type="dxa"/>
            <w:shd w:val="clear" w:color="auto" w:fill="auto"/>
            <w:noWrap/>
            <w:vAlign w:val="center"/>
            <w:hideMark/>
          </w:tcPr>
          <w:p w14:paraId="330D3EDD"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49 743 308</w:t>
            </w:r>
          </w:p>
        </w:tc>
        <w:tc>
          <w:tcPr>
            <w:tcW w:w="1688" w:type="dxa"/>
            <w:shd w:val="clear" w:color="auto" w:fill="auto"/>
            <w:noWrap/>
            <w:vAlign w:val="center"/>
            <w:hideMark/>
          </w:tcPr>
          <w:p w14:paraId="1E316BC5"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16 259 240</w:t>
            </w:r>
          </w:p>
        </w:tc>
        <w:tc>
          <w:tcPr>
            <w:tcW w:w="1631" w:type="dxa"/>
            <w:shd w:val="clear" w:color="auto" w:fill="auto"/>
            <w:noWrap/>
            <w:vAlign w:val="center"/>
            <w:hideMark/>
          </w:tcPr>
          <w:p w14:paraId="690022FB"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33 484 068</w:t>
            </w:r>
          </w:p>
        </w:tc>
        <w:tc>
          <w:tcPr>
            <w:tcW w:w="1394" w:type="dxa"/>
            <w:vMerge w:val="restart"/>
            <w:shd w:val="clear" w:color="auto" w:fill="auto"/>
            <w:noWrap/>
            <w:vAlign w:val="center"/>
            <w:hideMark/>
          </w:tcPr>
          <w:p w14:paraId="454ADCC9"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116 943 000</w:t>
            </w:r>
          </w:p>
        </w:tc>
        <w:tc>
          <w:tcPr>
            <w:tcW w:w="1362" w:type="dxa"/>
            <w:vMerge w:val="restart"/>
            <w:shd w:val="clear" w:color="auto" w:fill="auto"/>
            <w:noWrap/>
            <w:vAlign w:val="center"/>
            <w:hideMark/>
          </w:tcPr>
          <w:p w14:paraId="6404F08C"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6 493 043</w:t>
            </w:r>
          </w:p>
        </w:tc>
        <w:tc>
          <w:tcPr>
            <w:tcW w:w="1344" w:type="dxa"/>
            <w:vMerge w:val="restart"/>
            <w:shd w:val="clear" w:color="auto" w:fill="auto"/>
            <w:noWrap/>
            <w:vAlign w:val="center"/>
            <w:hideMark/>
          </w:tcPr>
          <w:p w14:paraId="2C8D096C"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99 401 550</w:t>
            </w:r>
          </w:p>
        </w:tc>
        <w:tc>
          <w:tcPr>
            <w:tcW w:w="1639" w:type="dxa"/>
            <w:vMerge w:val="restart"/>
            <w:shd w:val="clear" w:color="auto" w:fill="auto"/>
            <w:noWrap/>
            <w:vAlign w:val="center"/>
            <w:hideMark/>
          </w:tcPr>
          <w:p w14:paraId="39AF308D"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17 541 450</w:t>
            </w:r>
          </w:p>
        </w:tc>
      </w:tr>
      <w:tr w:rsidR="00E147C1" w:rsidRPr="00D86C93" w14:paraId="6EAFDF4E" w14:textId="77777777" w:rsidTr="00E147C1">
        <w:trPr>
          <w:trHeight w:val="290"/>
        </w:trPr>
        <w:tc>
          <w:tcPr>
            <w:tcW w:w="1674" w:type="dxa"/>
            <w:vMerge/>
            <w:vAlign w:val="center"/>
            <w:hideMark/>
          </w:tcPr>
          <w:p w14:paraId="73EAE7DE"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p>
        </w:tc>
        <w:tc>
          <w:tcPr>
            <w:tcW w:w="1161" w:type="dxa"/>
            <w:shd w:val="clear" w:color="auto" w:fill="auto"/>
            <w:noWrap/>
            <w:vAlign w:val="center"/>
            <w:hideMark/>
          </w:tcPr>
          <w:p w14:paraId="15CE2A16"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DS4 BP2</w:t>
            </w:r>
          </w:p>
        </w:tc>
        <w:tc>
          <w:tcPr>
            <w:tcW w:w="2100" w:type="dxa"/>
            <w:shd w:val="clear" w:color="auto" w:fill="auto"/>
            <w:noWrap/>
            <w:vAlign w:val="center"/>
            <w:hideMark/>
          </w:tcPr>
          <w:p w14:paraId="213139FA"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39 396 919</w:t>
            </w:r>
          </w:p>
        </w:tc>
        <w:tc>
          <w:tcPr>
            <w:tcW w:w="1688" w:type="dxa"/>
            <w:shd w:val="clear" w:color="auto" w:fill="auto"/>
            <w:noWrap/>
            <w:vAlign w:val="center"/>
            <w:hideMark/>
          </w:tcPr>
          <w:p w14:paraId="7889F732"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5 523 663</w:t>
            </w:r>
          </w:p>
        </w:tc>
        <w:tc>
          <w:tcPr>
            <w:tcW w:w="1631" w:type="dxa"/>
            <w:shd w:val="clear" w:color="auto" w:fill="auto"/>
            <w:noWrap/>
            <w:vAlign w:val="center"/>
            <w:hideMark/>
          </w:tcPr>
          <w:p w14:paraId="5FDD2F06"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33 873 256</w:t>
            </w:r>
          </w:p>
        </w:tc>
        <w:tc>
          <w:tcPr>
            <w:tcW w:w="1394" w:type="dxa"/>
            <w:vMerge/>
            <w:vAlign w:val="center"/>
            <w:hideMark/>
          </w:tcPr>
          <w:p w14:paraId="4361EEBE"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362" w:type="dxa"/>
            <w:vMerge/>
            <w:vAlign w:val="center"/>
            <w:hideMark/>
          </w:tcPr>
          <w:p w14:paraId="1F10C8A4"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344" w:type="dxa"/>
            <w:vMerge/>
            <w:vAlign w:val="center"/>
            <w:hideMark/>
          </w:tcPr>
          <w:p w14:paraId="61EDF858"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639" w:type="dxa"/>
            <w:vMerge/>
            <w:vAlign w:val="center"/>
            <w:hideMark/>
          </w:tcPr>
          <w:p w14:paraId="015D2DBA"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r>
      <w:tr w:rsidR="00E147C1" w:rsidRPr="00D86C93" w14:paraId="65D34E80" w14:textId="77777777" w:rsidTr="00E147C1">
        <w:trPr>
          <w:trHeight w:val="290"/>
        </w:trPr>
        <w:tc>
          <w:tcPr>
            <w:tcW w:w="1674" w:type="dxa"/>
            <w:vMerge/>
            <w:vAlign w:val="center"/>
            <w:hideMark/>
          </w:tcPr>
          <w:p w14:paraId="6C16B004"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p>
        </w:tc>
        <w:tc>
          <w:tcPr>
            <w:tcW w:w="1161" w:type="dxa"/>
            <w:shd w:val="clear" w:color="auto" w:fill="auto"/>
            <w:noWrap/>
            <w:vAlign w:val="center"/>
            <w:hideMark/>
          </w:tcPr>
          <w:p w14:paraId="3D6B786C"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DS4 BP4</w:t>
            </w:r>
          </w:p>
        </w:tc>
        <w:tc>
          <w:tcPr>
            <w:tcW w:w="2100" w:type="dxa"/>
            <w:shd w:val="clear" w:color="auto" w:fill="auto"/>
            <w:noWrap/>
            <w:vAlign w:val="center"/>
            <w:hideMark/>
          </w:tcPr>
          <w:p w14:paraId="5EF7A185"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31 502 596</w:t>
            </w:r>
          </w:p>
        </w:tc>
        <w:tc>
          <w:tcPr>
            <w:tcW w:w="1688" w:type="dxa"/>
            <w:shd w:val="clear" w:color="auto" w:fill="auto"/>
            <w:noWrap/>
            <w:vAlign w:val="center"/>
            <w:hideMark/>
          </w:tcPr>
          <w:p w14:paraId="5CFC66CC"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5 502 229</w:t>
            </w:r>
          </w:p>
        </w:tc>
        <w:tc>
          <w:tcPr>
            <w:tcW w:w="1631" w:type="dxa"/>
            <w:shd w:val="clear" w:color="auto" w:fill="auto"/>
            <w:noWrap/>
            <w:vAlign w:val="center"/>
            <w:hideMark/>
          </w:tcPr>
          <w:p w14:paraId="5A008722"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26 000 367</w:t>
            </w:r>
          </w:p>
        </w:tc>
        <w:tc>
          <w:tcPr>
            <w:tcW w:w="1394" w:type="dxa"/>
            <w:vMerge/>
            <w:vAlign w:val="center"/>
            <w:hideMark/>
          </w:tcPr>
          <w:p w14:paraId="614D1A30"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362" w:type="dxa"/>
            <w:vMerge/>
            <w:vAlign w:val="center"/>
            <w:hideMark/>
          </w:tcPr>
          <w:p w14:paraId="65F2806C"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344" w:type="dxa"/>
            <w:vMerge/>
            <w:vAlign w:val="center"/>
            <w:hideMark/>
          </w:tcPr>
          <w:p w14:paraId="23359909"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639" w:type="dxa"/>
            <w:vMerge/>
            <w:vAlign w:val="center"/>
            <w:hideMark/>
          </w:tcPr>
          <w:p w14:paraId="5A3CB407"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r>
      <w:tr w:rsidR="00E147C1" w:rsidRPr="00D86C93" w14:paraId="4A4389B2" w14:textId="77777777" w:rsidTr="00E147C1">
        <w:trPr>
          <w:trHeight w:val="290"/>
        </w:trPr>
        <w:tc>
          <w:tcPr>
            <w:tcW w:w="1674" w:type="dxa"/>
            <w:vMerge/>
            <w:vAlign w:val="center"/>
            <w:hideMark/>
          </w:tcPr>
          <w:p w14:paraId="76777C28"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p>
        </w:tc>
        <w:tc>
          <w:tcPr>
            <w:tcW w:w="1161" w:type="dxa"/>
            <w:shd w:val="clear" w:color="auto" w:fill="auto"/>
            <w:noWrap/>
            <w:vAlign w:val="center"/>
            <w:hideMark/>
          </w:tcPr>
          <w:p w14:paraId="60E30DCE"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DS4 BP7</w:t>
            </w:r>
          </w:p>
        </w:tc>
        <w:tc>
          <w:tcPr>
            <w:tcW w:w="2100" w:type="dxa"/>
            <w:shd w:val="clear" w:color="auto" w:fill="auto"/>
            <w:noWrap/>
            <w:vAlign w:val="center"/>
            <w:hideMark/>
          </w:tcPr>
          <w:p w14:paraId="01957AAC"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21 551 979</w:t>
            </w:r>
          </w:p>
        </w:tc>
        <w:tc>
          <w:tcPr>
            <w:tcW w:w="1688" w:type="dxa"/>
            <w:shd w:val="clear" w:color="auto" w:fill="auto"/>
            <w:noWrap/>
            <w:vAlign w:val="center"/>
            <w:hideMark/>
          </w:tcPr>
          <w:p w14:paraId="5E8FBC00"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4 459 713</w:t>
            </w:r>
          </w:p>
        </w:tc>
        <w:tc>
          <w:tcPr>
            <w:tcW w:w="1631" w:type="dxa"/>
            <w:shd w:val="clear" w:color="auto" w:fill="auto"/>
            <w:noWrap/>
            <w:vAlign w:val="center"/>
            <w:hideMark/>
          </w:tcPr>
          <w:p w14:paraId="4B2C2996"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17 092 266</w:t>
            </w:r>
          </w:p>
        </w:tc>
        <w:tc>
          <w:tcPr>
            <w:tcW w:w="1394" w:type="dxa"/>
            <w:vMerge/>
            <w:vAlign w:val="center"/>
            <w:hideMark/>
          </w:tcPr>
          <w:p w14:paraId="78443FC6"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362" w:type="dxa"/>
            <w:vMerge/>
            <w:vAlign w:val="center"/>
            <w:hideMark/>
          </w:tcPr>
          <w:p w14:paraId="6D4F786D"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344" w:type="dxa"/>
            <w:vMerge/>
            <w:vAlign w:val="center"/>
            <w:hideMark/>
          </w:tcPr>
          <w:p w14:paraId="1CCBE436"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c>
          <w:tcPr>
            <w:tcW w:w="1639" w:type="dxa"/>
            <w:vMerge/>
            <w:vAlign w:val="center"/>
            <w:hideMark/>
          </w:tcPr>
          <w:p w14:paraId="54FEB3C6"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r>
      <w:tr w:rsidR="00E147C1" w:rsidRPr="00D86C93" w14:paraId="11B5C563" w14:textId="77777777" w:rsidTr="00E147C1">
        <w:trPr>
          <w:trHeight w:val="690"/>
        </w:trPr>
        <w:tc>
          <w:tcPr>
            <w:tcW w:w="1674" w:type="dxa"/>
            <w:vMerge w:val="restart"/>
            <w:shd w:val="clear" w:color="auto" w:fill="auto"/>
            <w:vAlign w:val="center"/>
            <w:hideMark/>
          </w:tcPr>
          <w:p w14:paraId="1C06588B"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Aktivitātes T.3.1.1. un T.5.2.1.</w:t>
            </w:r>
          </w:p>
        </w:tc>
        <w:tc>
          <w:tcPr>
            <w:tcW w:w="1161" w:type="dxa"/>
            <w:shd w:val="clear" w:color="auto" w:fill="auto"/>
            <w:noWrap/>
            <w:vAlign w:val="center"/>
            <w:hideMark/>
          </w:tcPr>
          <w:p w14:paraId="3A7F8F08"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IMF BP1</w:t>
            </w:r>
          </w:p>
        </w:tc>
        <w:tc>
          <w:tcPr>
            <w:tcW w:w="2100" w:type="dxa"/>
            <w:shd w:val="clear" w:color="auto" w:fill="auto"/>
            <w:noWrap/>
            <w:vAlign w:val="center"/>
            <w:hideMark/>
          </w:tcPr>
          <w:p w14:paraId="4A9F0B22"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30 005 401</w:t>
            </w:r>
          </w:p>
        </w:tc>
        <w:tc>
          <w:tcPr>
            <w:tcW w:w="1688" w:type="dxa"/>
            <w:shd w:val="clear" w:color="auto" w:fill="auto"/>
            <w:noWrap/>
            <w:vAlign w:val="center"/>
            <w:hideMark/>
          </w:tcPr>
          <w:p w14:paraId="527B0066"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0</w:t>
            </w:r>
          </w:p>
        </w:tc>
        <w:tc>
          <w:tcPr>
            <w:tcW w:w="1631" w:type="dxa"/>
            <w:shd w:val="clear" w:color="auto" w:fill="auto"/>
            <w:noWrap/>
            <w:vAlign w:val="center"/>
            <w:hideMark/>
          </w:tcPr>
          <w:p w14:paraId="53CB3C38"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30 005 401</w:t>
            </w:r>
          </w:p>
        </w:tc>
        <w:tc>
          <w:tcPr>
            <w:tcW w:w="1394" w:type="dxa"/>
            <w:shd w:val="clear" w:color="auto" w:fill="auto"/>
            <w:noWrap/>
            <w:vAlign w:val="center"/>
            <w:hideMark/>
          </w:tcPr>
          <w:p w14:paraId="36D21127"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33 400 000</w:t>
            </w:r>
          </w:p>
        </w:tc>
        <w:tc>
          <w:tcPr>
            <w:tcW w:w="1362" w:type="dxa"/>
            <w:shd w:val="clear" w:color="auto" w:fill="auto"/>
            <w:noWrap/>
            <w:vAlign w:val="center"/>
            <w:hideMark/>
          </w:tcPr>
          <w:p w14:paraId="33E8D2B8"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3 394 599</w:t>
            </w:r>
          </w:p>
        </w:tc>
        <w:tc>
          <w:tcPr>
            <w:tcW w:w="1344" w:type="dxa"/>
            <w:shd w:val="clear" w:color="auto" w:fill="auto"/>
            <w:noWrap/>
            <w:vAlign w:val="center"/>
            <w:hideMark/>
          </w:tcPr>
          <w:p w14:paraId="05E8B69D"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10 020 000</w:t>
            </w:r>
          </w:p>
        </w:tc>
        <w:tc>
          <w:tcPr>
            <w:tcW w:w="1639" w:type="dxa"/>
            <w:shd w:val="clear" w:color="auto" w:fill="auto"/>
            <w:noWrap/>
            <w:vAlign w:val="center"/>
            <w:hideMark/>
          </w:tcPr>
          <w:p w14:paraId="4BB24960"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23 380 000</w:t>
            </w:r>
          </w:p>
        </w:tc>
      </w:tr>
      <w:tr w:rsidR="00E147C1" w:rsidRPr="00D86C93" w14:paraId="7D8C7D31" w14:textId="77777777" w:rsidTr="00E147C1">
        <w:trPr>
          <w:trHeight w:val="290"/>
        </w:trPr>
        <w:tc>
          <w:tcPr>
            <w:tcW w:w="1674" w:type="dxa"/>
            <w:vMerge/>
            <w:vAlign w:val="center"/>
            <w:hideMark/>
          </w:tcPr>
          <w:p w14:paraId="056234D2"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p>
        </w:tc>
        <w:tc>
          <w:tcPr>
            <w:tcW w:w="1161" w:type="dxa"/>
            <w:shd w:val="clear" w:color="auto" w:fill="auto"/>
            <w:noWrap/>
            <w:vAlign w:val="center"/>
            <w:hideMark/>
          </w:tcPr>
          <w:p w14:paraId="23910534"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DS4 BP3</w:t>
            </w:r>
          </w:p>
        </w:tc>
        <w:tc>
          <w:tcPr>
            <w:tcW w:w="2100" w:type="dxa"/>
            <w:shd w:val="clear" w:color="auto" w:fill="auto"/>
            <w:noWrap/>
            <w:vAlign w:val="center"/>
            <w:hideMark/>
          </w:tcPr>
          <w:p w14:paraId="0D81561D"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12 358 078</w:t>
            </w:r>
          </w:p>
        </w:tc>
        <w:tc>
          <w:tcPr>
            <w:tcW w:w="1688" w:type="dxa"/>
            <w:shd w:val="clear" w:color="auto" w:fill="auto"/>
            <w:noWrap/>
            <w:vAlign w:val="center"/>
            <w:hideMark/>
          </w:tcPr>
          <w:p w14:paraId="35D14F2F"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6 518 829</w:t>
            </w:r>
          </w:p>
        </w:tc>
        <w:tc>
          <w:tcPr>
            <w:tcW w:w="1631" w:type="dxa"/>
            <w:shd w:val="clear" w:color="auto" w:fill="auto"/>
            <w:noWrap/>
            <w:vAlign w:val="center"/>
            <w:hideMark/>
          </w:tcPr>
          <w:p w14:paraId="39D77DD7"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5 839 250</w:t>
            </w:r>
          </w:p>
        </w:tc>
        <w:tc>
          <w:tcPr>
            <w:tcW w:w="1394" w:type="dxa"/>
            <w:shd w:val="clear" w:color="auto" w:fill="auto"/>
            <w:noWrap/>
            <w:vAlign w:val="center"/>
            <w:hideMark/>
          </w:tcPr>
          <w:p w14:paraId="1B036AB0"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15 100 000</w:t>
            </w:r>
          </w:p>
        </w:tc>
        <w:tc>
          <w:tcPr>
            <w:tcW w:w="1362" w:type="dxa"/>
            <w:shd w:val="clear" w:color="auto" w:fill="auto"/>
            <w:noWrap/>
            <w:vAlign w:val="center"/>
            <w:hideMark/>
          </w:tcPr>
          <w:p w14:paraId="6D20A3A6"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9 260 750</w:t>
            </w:r>
          </w:p>
        </w:tc>
        <w:tc>
          <w:tcPr>
            <w:tcW w:w="1344" w:type="dxa"/>
            <w:shd w:val="clear" w:color="auto" w:fill="auto"/>
            <w:noWrap/>
            <w:vAlign w:val="center"/>
            <w:hideMark/>
          </w:tcPr>
          <w:p w14:paraId="1832FC9C"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12 835 000</w:t>
            </w:r>
          </w:p>
        </w:tc>
        <w:tc>
          <w:tcPr>
            <w:tcW w:w="1639" w:type="dxa"/>
            <w:shd w:val="clear" w:color="auto" w:fill="auto"/>
            <w:noWrap/>
            <w:vAlign w:val="center"/>
            <w:hideMark/>
          </w:tcPr>
          <w:p w14:paraId="7711B653"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2 265 000</w:t>
            </w:r>
          </w:p>
        </w:tc>
      </w:tr>
      <w:tr w:rsidR="000F6C88" w:rsidRPr="00D86C93" w14:paraId="6BE0D8A6" w14:textId="77777777" w:rsidTr="00E147C1">
        <w:trPr>
          <w:trHeight w:val="290"/>
        </w:trPr>
        <w:tc>
          <w:tcPr>
            <w:tcW w:w="2835" w:type="dxa"/>
            <w:gridSpan w:val="2"/>
            <w:shd w:val="clear" w:color="auto" w:fill="auto"/>
            <w:noWrap/>
            <w:vAlign w:val="center"/>
            <w:hideMark/>
          </w:tcPr>
          <w:p w14:paraId="11ABC880"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Kopā:</w:t>
            </w:r>
          </w:p>
        </w:tc>
        <w:tc>
          <w:tcPr>
            <w:tcW w:w="2100" w:type="dxa"/>
            <w:shd w:val="clear" w:color="auto" w:fill="auto"/>
            <w:noWrap/>
            <w:vAlign w:val="center"/>
            <w:hideMark/>
          </w:tcPr>
          <w:p w14:paraId="0637882E"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184 558 281</w:t>
            </w:r>
          </w:p>
        </w:tc>
        <w:tc>
          <w:tcPr>
            <w:tcW w:w="1688" w:type="dxa"/>
            <w:shd w:val="clear" w:color="auto" w:fill="auto"/>
            <w:noWrap/>
            <w:vAlign w:val="center"/>
            <w:hideMark/>
          </w:tcPr>
          <w:p w14:paraId="1B701099"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38 263 673</w:t>
            </w:r>
          </w:p>
        </w:tc>
        <w:tc>
          <w:tcPr>
            <w:tcW w:w="1631" w:type="dxa"/>
            <w:shd w:val="clear" w:color="auto" w:fill="auto"/>
            <w:noWrap/>
            <w:vAlign w:val="center"/>
            <w:hideMark/>
          </w:tcPr>
          <w:p w14:paraId="353986CA" w14:textId="77777777" w:rsidR="000F6C88" w:rsidRPr="00D86C93" w:rsidRDefault="000F6C88" w:rsidP="00056AFE">
            <w:pPr>
              <w:spacing w:after="0" w:line="240" w:lineRule="auto"/>
              <w:contextualSpacing/>
              <w:jc w:val="center"/>
              <w:rPr>
                <w:rFonts w:eastAsia="Times New Roman" w:cs="Times New Roman"/>
                <w:color w:val="000000"/>
                <w:sz w:val="20"/>
                <w:szCs w:val="20"/>
              </w:rPr>
            </w:pPr>
            <w:r w:rsidRPr="00D86C93">
              <w:rPr>
                <w:rFonts w:eastAsia="Times New Roman" w:cs="Times New Roman"/>
                <w:color w:val="000000"/>
                <w:sz w:val="20"/>
                <w:szCs w:val="20"/>
              </w:rPr>
              <w:t>146 294 608</w:t>
            </w:r>
          </w:p>
        </w:tc>
        <w:tc>
          <w:tcPr>
            <w:tcW w:w="1394" w:type="dxa"/>
            <w:shd w:val="clear" w:color="auto" w:fill="auto"/>
            <w:noWrap/>
            <w:vAlign w:val="center"/>
            <w:hideMark/>
          </w:tcPr>
          <w:p w14:paraId="7AF4B89D"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165 443 000</w:t>
            </w:r>
          </w:p>
        </w:tc>
        <w:tc>
          <w:tcPr>
            <w:tcW w:w="1362" w:type="dxa"/>
            <w:shd w:val="clear" w:color="auto" w:fill="auto"/>
            <w:noWrap/>
            <w:vAlign w:val="center"/>
            <w:hideMark/>
          </w:tcPr>
          <w:p w14:paraId="195B58F2"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19 148 392</w:t>
            </w:r>
          </w:p>
        </w:tc>
        <w:tc>
          <w:tcPr>
            <w:tcW w:w="1344" w:type="dxa"/>
            <w:shd w:val="clear" w:color="auto" w:fill="auto"/>
            <w:noWrap/>
            <w:vAlign w:val="center"/>
            <w:hideMark/>
          </w:tcPr>
          <w:p w14:paraId="607003C5"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122 256 550</w:t>
            </w:r>
          </w:p>
        </w:tc>
        <w:tc>
          <w:tcPr>
            <w:tcW w:w="1639" w:type="dxa"/>
            <w:shd w:val="clear" w:color="auto" w:fill="auto"/>
            <w:noWrap/>
            <w:vAlign w:val="center"/>
            <w:hideMark/>
          </w:tcPr>
          <w:p w14:paraId="444D7DD3" w14:textId="77777777" w:rsidR="000F6C88" w:rsidRPr="00D86C93" w:rsidRDefault="000F6C88" w:rsidP="00056AFE">
            <w:pPr>
              <w:spacing w:after="0" w:line="240" w:lineRule="auto"/>
              <w:contextualSpacing/>
              <w:jc w:val="center"/>
              <w:rPr>
                <w:rFonts w:eastAsia="Times New Roman" w:cs="Times New Roman"/>
                <w:b/>
                <w:bCs/>
                <w:color w:val="000000"/>
                <w:sz w:val="20"/>
                <w:szCs w:val="20"/>
                <w:lang w:eastAsia="en-GB"/>
              </w:rPr>
            </w:pPr>
            <w:r w:rsidRPr="00D86C93">
              <w:rPr>
                <w:rFonts w:eastAsia="Times New Roman" w:cs="Times New Roman"/>
                <w:b/>
                <w:bCs/>
                <w:color w:val="000000"/>
                <w:sz w:val="20"/>
                <w:szCs w:val="20"/>
                <w:lang w:eastAsia="en-GB"/>
              </w:rPr>
              <w:t>43 186 450</w:t>
            </w:r>
          </w:p>
        </w:tc>
      </w:tr>
      <w:tr w:rsidR="000F6C88" w:rsidRPr="00D86C93" w14:paraId="6E6CCFB4" w14:textId="77777777" w:rsidTr="00A64683">
        <w:trPr>
          <w:trHeight w:val="570"/>
        </w:trPr>
        <w:tc>
          <w:tcPr>
            <w:tcW w:w="13993" w:type="dxa"/>
            <w:gridSpan w:val="9"/>
            <w:vMerge w:val="restart"/>
            <w:shd w:val="clear" w:color="auto" w:fill="auto"/>
            <w:vAlign w:val="center"/>
            <w:hideMark/>
          </w:tcPr>
          <w:p w14:paraId="2BE43FB5"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r w:rsidRPr="00D86C93">
              <w:rPr>
                <w:rFonts w:eastAsia="Times New Roman" w:cs="Times New Roman"/>
                <w:color w:val="000000"/>
                <w:sz w:val="20"/>
                <w:szCs w:val="20"/>
                <w:lang w:eastAsia="en-GB"/>
              </w:rPr>
              <w:t xml:space="preserve">*iekļauti virsizdevumi, peļņa, apdrošināšana, personāls, DRCP aktivitātes; nav iekļauta </w:t>
            </w:r>
            <w:r>
              <w:rPr>
                <w:rFonts w:eastAsia="Times New Roman" w:cs="Times New Roman"/>
                <w:color w:val="000000"/>
                <w:sz w:val="20"/>
                <w:szCs w:val="20"/>
                <w:lang w:eastAsia="en-GB"/>
              </w:rPr>
              <w:t>indeksācija</w:t>
            </w:r>
            <w:r w:rsidRPr="00D86C93">
              <w:rPr>
                <w:rFonts w:eastAsia="Times New Roman" w:cs="Times New Roman"/>
                <w:color w:val="000000"/>
                <w:sz w:val="20"/>
                <w:szCs w:val="20"/>
                <w:lang w:eastAsia="en-GB"/>
              </w:rPr>
              <w:t xml:space="preserve"> un PVN</w:t>
            </w:r>
            <w:r w:rsidRPr="00D86C93">
              <w:rPr>
                <w:rFonts w:eastAsia="Times New Roman" w:cs="Times New Roman"/>
                <w:color w:val="000000"/>
                <w:sz w:val="20"/>
                <w:szCs w:val="20"/>
                <w:lang w:eastAsia="en-GB"/>
              </w:rPr>
              <w:br/>
            </w:r>
            <w:r w:rsidRPr="00D86C93">
              <w:rPr>
                <w:rFonts w:eastAsia="Times New Roman" w:cs="Times New Roman"/>
                <w:b/>
                <w:bCs/>
                <w:color w:val="000000"/>
                <w:sz w:val="20"/>
                <w:szCs w:val="20"/>
                <w:lang w:eastAsia="en-GB"/>
              </w:rPr>
              <w:t xml:space="preserve">**šie darbi nav iekļauti CEF8 un CEF9 ietvaros un tiks pieteikti turpmākajos CEF uzsaukumos, </w:t>
            </w:r>
            <w:r w:rsidRPr="00D86C93">
              <w:rPr>
                <w:rFonts w:eastAsia="Times New Roman" w:cs="Times New Roman"/>
                <w:color w:val="000000"/>
                <w:sz w:val="20"/>
                <w:szCs w:val="20"/>
                <w:lang w:eastAsia="en-GB"/>
              </w:rPr>
              <w:t xml:space="preserve">kad izbūvētā dzelzceļa apakšbūve nodrošina iespēju izbūvēt vismaz 25km nepārtrauktu sliežu ceļu. Norādītajās izmaksās iekļautas provizoriskās konsolidēto materiālu izmaksas, bet nav iekļauta </w:t>
            </w:r>
            <w:r>
              <w:rPr>
                <w:rFonts w:eastAsia="Times New Roman" w:cs="Times New Roman"/>
                <w:color w:val="000000"/>
                <w:sz w:val="20"/>
                <w:szCs w:val="20"/>
                <w:lang w:eastAsia="en-GB"/>
              </w:rPr>
              <w:t>indeksācija</w:t>
            </w:r>
            <w:r w:rsidRPr="00D86C93">
              <w:rPr>
                <w:rFonts w:eastAsia="Times New Roman" w:cs="Times New Roman"/>
                <w:color w:val="000000"/>
                <w:sz w:val="20"/>
                <w:szCs w:val="20"/>
                <w:lang w:eastAsia="en-GB"/>
              </w:rPr>
              <w:t xml:space="preserve"> un PVN.</w:t>
            </w:r>
          </w:p>
        </w:tc>
      </w:tr>
      <w:tr w:rsidR="000F6C88" w:rsidRPr="00D86C93" w14:paraId="5E42D32C" w14:textId="77777777" w:rsidTr="191C9C2F">
        <w:trPr>
          <w:trHeight w:val="620"/>
        </w:trPr>
        <w:tc>
          <w:tcPr>
            <w:tcW w:w="13993" w:type="dxa"/>
            <w:gridSpan w:val="9"/>
            <w:vMerge/>
            <w:vAlign w:val="center"/>
            <w:hideMark/>
          </w:tcPr>
          <w:p w14:paraId="5F691B22" w14:textId="77777777" w:rsidR="000F6C88" w:rsidRPr="00D86C93" w:rsidRDefault="000F6C88" w:rsidP="00056AFE">
            <w:pPr>
              <w:spacing w:after="0" w:line="240" w:lineRule="auto"/>
              <w:contextualSpacing/>
              <w:jc w:val="center"/>
              <w:rPr>
                <w:rFonts w:eastAsia="Times New Roman" w:cs="Times New Roman"/>
                <w:color w:val="000000"/>
                <w:sz w:val="20"/>
                <w:szCs w:val="20"/>
                <w:lang w:eastAsia="en-GB"/>
              </w:rPr>
            </w:pPr>
          </w:p>
        </w:tc>
      </w:tr>
    </w:tbl>
    <w:p w14:paraId="44AC276F" w14:textId="77777777" w:rsidR="000F6C88" w:rsidRPr="00660EB3" w:rsidRDefault="000F6C88" w:rsidP="00056AFE">
      <w:pPr>
        <w:tabs>
          <w:tab w:val="left" w:pos="6663"/>
        </w:tabs>
        <w:spacing w:after="0" w:line="240" w:lineRule="auto"/>
        <w:contextualSpacing/>
        <w:jc w:val="both"/>
        <w:rPr>
          <w:rFonts w:eastAsiaTheme="minorEastAsia" w:cs="Times New Roman"/>
          <w:b/>
          <w:bCs/>
          <w:sz w:val="24"/>
          <w:szCs w:val="24"/>
          <w:lang w:eastAsia="lv-LV"/>
        </w:rPr>
      </w:pPr>
    </w:p>
    <w:p w14:paraId="01BFD5AA" w14:textId="77777777" w:rsidR="000F6C88" w:rsidRPr="00F661C3" w:rsidRDefault="000F6C88" w:rsidP="00056AFE">
      <w:pPr>
        <w:tabs>
          <w:tab w:val="left" w:pos="567"/>
        </w:tabs>
        <w:spacing w:after="0" w:line="240" w:lineRule="auto"/>
        <w:contextualSpacing/>
        <w:jc w:val="both"/>
        <w:rPr>
          <w:rFonts w:eastAsia="Calibri" w:cs="Times New Roman"/>
          <w:sz w:val="24"/>
          <w:szCs w:val="24"/>
          <w:lang w:eastAsia="lv-LV"/>
        </w:rPr>
      </w:pPr>
    </w:p>
    <w:p w14:paraId="0B0AE1D5" w14:textId="77777777" w:rsidR="000F6C88" w:rsidRDefault="00865475" w:rsidP="00056AFE">
      <w:pPr>
        <w:tabs>
          <w:tab w:val="left" w:pos="567"/>
          <w:tab w:val="left" w:pos="709"/>
        </w:tabs>
        <w:spacing w:after="0" w:line="240" w:lineRule="auto"/>
        <w:contextualSpacing/>
        <w:jc w:val="both"/>
        <w:rPr>
          <w:rFonts w:eastAsiaTheme="minorEastAsia" w:cs="Times New Roman"/>
          <w:color w:val="000000"/>
          <w:sz w:val="24"/>
          <w:szCs w:val="24"/>
          <w:lang w:eastAsia="lv-LV"/>
        </w:rPr>
      </w:pPr>
      <w:r w:rsidRPr="00660EB3">
        <w:rPr>
          <w:rFonts w:eastAsiaTheme="minorEastAsia" w:cs="Times New Roman"/>
          <w:color w:val="000000"/>
          <w:sz w:val="24"/>
          <w:szCs w:val="24"/>
          <w:lang w:eastAsia="lv-LV"/>
        </w:rPr>
        <w:tab/>
      </w:r>
    </w:p>
    <w:p w14:paraId="2F40D9AE" w14:textId="4C9C9815" w:rsidR="000F6C88" w:rsidRDefault="000F6C88" w:rsidP="6075987E">
      <w:pPr>
        <w:spacing w:after="0" w:line="240" w:lineRule="auto"/>
        <w:contextualSpacing/>
        <w:rPr>
          <w:rFonts w:eastAsiaTheme="minorEastAsia" w:cs="Times New Roman"/>
          <w:color w:val="000000"/>
          <w:sz w:val="24"/>
          <w:szCs w:val="24"/>
          <w:lang w:eastAsia="lv-LV"/>
        </w:rPr>
        <w:sectPr w:rsidR="000F6C88" w:rsidSect="000F6C88">
          <w:pgSz w:w="16838" w:h="11906" w:orient="landscape"/>
          <w:pgMar w:top="1418" w:right="2098" w:bottom="1077" w:left="737" w:header="709" w:footer="471" w:gutter="0"/>
          <w:cols w:space="708"/>
          <w:docGrid w:linePitch="381"/>
        </w:sectPr>
      </w:pPr>
    </w:p>
    <w:p w14:paraId="1B434DBD" w14:textId="4A2D0E2A" w:rsidR="00865475" w:rsidRDefault="00C764D9" w:rsidP="00056AFE">
      <w:pPr>
        <w:tabs>
          <w:tab w:val="left" w:pos="567"/>
          <w:tab w:val="left" w:pos="709"/>
        </w:tabs>
        <w:spacing w:after="0" w:line="240" w:lineRule="auto"/>
        <w:contextualSpacing/>
        <w:jc w:val="both"/>
        <w:rPr>
          <w:rFonts w:eastAsiaTheme="minorEastAsia" w:cs="Times New Roman"/>
          <w:color w:val="000000"/>
          <w:sz w:val="24"/>
          <w:szCs w:val="24"/>
          <w:lang w:eastAsia="lv-LV"/>
        </w:rPr>
      </w:pPr>
      <w:r>
        <w:rPr>
          <w:rFonts w:eastAsiaTheme="minorEastAsia" w:cs="Times New Roman"/>
          <w:color w:val="000000"/>
          <w:sz w:val="24"/>
          <w:szCs w:val="24"/>
          <w:lang w:eastAsia="lv-LV"/>
        </w:rPr>
        <w:lastRenderedPageBreak/>
        <w:tab/>
      </w:r>
      <w:r w:rsidR="00865475" w:rsidRPr="00660EB3">
        <w:rPr>
          <w:rFonts w:eastAsiaTheme="minorEastAsia" w:cs="Times New Roman"/>
          <w:color w:val="000000"/>
          <w:sz w:val="24"/>
          <w:szCs w:val="24"/>
          <w:lang w:eastAsia="lv-LV"/>
        </w:rPr>
        <w:t xml:space="preserve">Ņemot vērā pieejamo finansējuma apjomu un pamatojoties uz </w:t>
      </w:r>
      <w:r w:rsidR="00C843DE">
        <w:rPr>
          <w:rFonts w:eastAsiaTheme="minorEastAsia" w:cs="Times New Roman"/>
          <w:color w:val="000000"/>
          <w:sz w:val="24"/>
          <w:szCs w:val="24"/>
          <w:lang w:eastAsia="lv-LV"/>
        </w:rPr>
        <w:t>RBR</w:t>
      </w:r>
      <w:r w:rsidR="00865475" w:rsidRPr="00660EB3">
        <w:rPr>
          <w:rFonts w:eastAsiaTheme="minorEastAsia" w:cs="Times New Roman"/>
          <w:color w:val="000000"/>
          <w:sz w:val="24"/>
          <w:szCs w:val="24"/>
          <w:lang w:eastAsia="lv-LV"/>
        </w:rPr>
        <w:t xml:space="preserve"> un tās konsultantu sniegto informāciju par attiecīgajiem būvprojektiem, ir provizoriski secināms, ka tas ir atbilstošs, lai nodrošinātu CEF</w:t>
      </w:r>
      <w:r w:rsidR="00615A72">
        <w:rPr>
          <w:rFonts w:eastAsiaTheme="minorEastAsia" w:cs="Times New Roman"/>
          <w:color w:val="000000"/>
          <w:sz w:val="24"/>
          <w:szCs w:val="24"/>
          <w:lang w:eastAsia="lv-LV"/>
        </w:rPr>
        <w:t xml:space="preserve"> </w:t>
      </w:r>
      <w:r w:rsidR="00865475" w:rsidRPr="00660EB3">
        <w:rPr>
          <w:rFonts w:eastAsiaTheme="minorEastAsia" w:cs="Times New Roman"/>
          <w:color w:val="000000"/>
          <w:sz w:val="24"/>
          <w:szCs w:val="24"/>
          <w:lang w:eastAsia="lv-LV"/>
        </w:rPr>
        <w:t>8 un CEF</w:t>
      </w:r>
      <w:r w:rsidR="00615A72">
        <w:rPr>
          <w:rFonts w:eastAsiaTheme="minorEastAsia" w:cs="Times New Roman"/>
          <w:color w:val="000000"/>
          <w:sz w:val="24"/>
          <w:szCs w:val="24"/>
          <w:lang w:eastAsia="lv-LV"/>
        </w:rPr>
        <w:t xml:space="preserve"> </w:t>
      </w:r>
      <w:r w:rsidR="00865475" w:rsidRPr="00660EB3">
        <w:rPr>
          <w:rFonts w:eastAsiaTheme="minorEastAsia" w:cs="Times New Roman"/>
          <w:color w:val="000000"/>
          <w:sz w:val="24"/>
          <w:szCs w:val="24"/>
          <w:lang w:eastAsia="lv-LV"/>
        </w:rPr>
        <w:t>9 ietvaros iekļauto posmu (būvprojektu) būvdarbu veikšanu nepārsniedzot CEF</w:t>
      </w:r>
      <w:r w:rsidR="00615A72">
        <w:rPr>
          <w:rFonts w:eastAsiaTheme="minorEastAsia" w:cs="Times New Roman"/>
          <w:color w:val="000000"/>
          <w:sz w:val="24"/>
          <w:szCs w:val="24"/>
          <w:lang w:eastAsia="lv-LV"/>
        </w:rPr>
        <w:t xml:space="preserve"> </w:t>
      </w:r>
      <w:r w:rsidR="00865475" w:rsidRPr="00660EB3">
        <w:rPr>
          <w:rFonts w:eastAsiaTheme="minorEastAsia" w:cs="Times New Roman"/>
          <w:color w:val="000000"/>
          <w:sz w:val="24"/>
          <w:szCs w:val="24"/>
          <w:lang w:eastAsia="lv-LV"/>
        </w:rPr>
        <w:t>8 un CEF</w:t>
      </w:r>
      <w:r w:rsidR="00615A72">
        <w:rPr>
          <w:rFonts w:eastAsiaTheme="minorEastAsia" w:cs="Times New Roman"/>
          <w:color w:val="000000"/>
          <w:sz w:val="24"/>
          <w:szCs w:val="24"/>
          <w:lang w:eastAsia="lv-LV"/>
        </w:rPr>
        <w:t xml:space="preserve"> </w:t>
      </w:r>
      <w:r w:rsidR="00865475" w:rsidRPr="00660EB3">
        <w:rPr>
          <w:rFonts w:eastAsiaTheme="minorEastAsia" w:cs="Times New Roman"/>
          <w:color w:val="000000"/>
          <w:sz w:val="24"/>
          <w:szCs w:val="24"/>
          <w:lang w:eastAsia="lv-LV"/>
        </w:rPr>
        <w:t xml:space="preserve">9 ietvaros piešķirto finansējumu. </w:t>
      </w:r>
      <w:r w:rsidR="00D757FC">
        <w:rPr>
          <w:rFonts w:eastAsiaTheme="minorEastAsia" w:cs="Times New Roman"/>
          <w:color w:val="000000"/>
          <w:sz w:val="24"/>
          <w:szCs w:val="24"/>
          <w:lang w:eastAsia="lv-LV"/>
        </w:rPr>
        <w:t>Gala</w:t>
      </w:r>
      <w:r w:rsidR="00865475" w:rsidRPr="00660EB3">
        <w:rPr>
          <w:rFonts w:eastAsiaTheme="minorEastAsia" w:cs="Times New Roman"/>
          <w:color w:val="000000"/>
          <w:sz w:val="24"/>
          <w:szCs w:val="24"/>
          <w:lang w:eastAsia="lv-LV"/>
        </w:rPr>
        <w:t xml:space="preserve"> izvērtējums DRCP fāzes ietvaros, t.sk., katras būvatļaujas izmaksu optimizācijas izvērtējums ir iekļauts Līgumā, kā būvdarbu veicēja uzdevums. Šo gala izvērtējumu, ieskaitot izmaksu optimizēšanas izvērtējumu atbilstoši Līgumam, jāapstiprina Uzņēmējam, Inženierim, </w:t>
      </w:r>
      <w:r w:rsidR="0074220C">
        <w:rPr>
          <w:rFonts w:eastAsiaTheme="minorEastAsia" w:cs="Times New Roman"/>
          <w:color w:val="000000"/>
          <w:sz w:val="24"/>
          <w:szCs w:val="24"/>
          <w:lang w:eastAsia="lv-LV"/>
        </w:rPr>
        <w:t>EDZL</w:t>
      </w:r>
      <w:r w:rsidR="00E91783" w:rsidRPr="00660EB3">
        <w:rPr>
          <w:rFonts w:eastAsiaTheme="minorEastAsia" w:cs="Times New Roman"/>
          <w:color w:val="000000"/>
          <w:sz w:val="24"/>
          <w:szCs w:val="24"/>
          <w:lang w:eastAsia="lv-LV"/>
        </w:rPr>
        <w:t xml:space="preserve"> </w:t>
      </w:r>
      <w:r w:rsidR="00865475" w:rsidRPr="00660EB3">
        <w:rPr>
          <w:rFonts w:eastAsiaTheme="minorEastAsia" w:cs="Times New Roman"/>
          <w:color w:val="000000"/>
          <w:sz w:val="24"/>
          <w:szCs w:val="24"/>
          <w:lang w:eastAsia="lv-LV"/>
        </w:rPr>
        <w:t xml:space="preserve">un informācija par rezultātu tiks iesniegta Satiksmes ministrijai. Tāpat izmaksu vadības ietvaros, gadījumā, ja darbu apjoms pārsniegs pieejamo finansējuma apjomu, veikt darbu pielāgošanu CEF pieteikumu aprakstos definētā minimālā darbu apjoma ietvaros, tādējādi nepārsniedzot pieejamo finansējumu. </w:t>
      </w:r>
    </w:p>
    <w:p w14:paraId="0510CE3C" w14:textId="77777777" w:rsidR="002D5C95" w:rsidRPr="00660EB3" w:rsidRDefault="002D5C95" w:rsidP="00056AFE">
      <w:pPr>
        <w:tabs>
          <w:tab w:val="left" w:pos="567"/>
          <w:tab w:val="left" w:pos="709"/>
        </w:tabs>
        <w:spacing w:after="0" w:line="240" w:lineRule="auto"/>
        <w:contextualSpacing/>
        <w:jc w:val="both"/>
        <w:rPr>
          <w:rFonts w:eastAsiaTheme="minorEastAsia" w:cs="Times New Roman"/>
          <w:color w:val="000000"/>
          <w:sz w:val="24"/>
          <w:szCs w:val="24"/>
          <w:lang w:eastAsia="lv-LV"/>
        </w:rPr>
      </w:pPr>
    </w:p>
    <w:p w14:paraId="3C8C5A10" w14:textId="56F33324" w:rsidR="00003E35" w:rsidRDefault="00865475" w:rsidP="00003E35">
      <w:pPr>
        <w:pStyle w:val="ListParagraph"/>
        <w:numPr>
          <w:ilvl w:val="1"/>
          <w:numId w:val="25"/>
        </w:numPr>
        <w:ind w:left="788" w:hanging="431"/>
        <w:jc w:val="center"/>
        <w:rPr>
          <w:rFonts w:eastAsiaTheme="minorEastAsia" w:cs="Times New Roman"/>
          <w:b/>
          <w:bCs/>
          <w:szCs w:val="24"/>
          <w:lang w:eastAsia="lv-LV"/>
        </w:rPr>
      </w:pPr>
      <w:r w:rsidRPr="00660EB3">
        <w:rPr>
          <w:rFonts w:eastAsiaTheme="minorEastAsia" w:cs="Times New Roman"/>
          <w:b/>
          <w:bCs/>
          <w:szCs w:val="24"/>
          <w:lang w:eastAsia="lv-LV"/>
        </w:rPr>
        <w:t>Plānotie darbi un finansējums</w:t>
      </w:r>
    </w:p>
    <w:p w14:paraId="08954C65" w14:textId="77777777" w:rsidR="00003E35" w:rsidRPr="00003E35" w:rsidRDefault="00003E35" w:rsidP="00003E35">
      <w:pPr>
        <w:pStyle w:val="ListParagraph"/>
        <w:ind w:left="788"/>
        <w:rPr>
          <w:rFonts w:eastAsiaTheme="minorEastAsia" w:cs="Times New Roman"/>
          <w:b/>
          <w:bCs/>
          <w:szCs w:val="24"/>
          <w:lang w:eastAsia="lv-LV"/>
        </w:rPr>
      </w:pPr>
    </w:p>
    <w:p w14:paraId="1BA486D8" w14:textId="36CEB68E" w:rsidR="00865475" w:rsidRPr="00660EB3" w:rsidRDefault="00865475" w:rsidP="00056AFE">
      <w:pPr>
        <w:tabs>
          <w:tab w:val="left" w:pos="567"/>
        </w:tabs>
        <w:spacing w:after="0" w:line="240" w:lineRule="auto"/>
        <w:contextualSpacing/>
        <w:jc w:val="both"/>
        <w:rPr>
          <w:rFonts w:eastAsiaTheme="minorEastAsia" w:cs="Times New Roman"/>
          <w:color w:val="000000"/>
          <w:sz w:val="24"/>
          <w:szCs w:val="24"/>
          <w:lang w:eastAsia="lv-LV"/>
        </w:rPr>
      </w:pPr>
      <w:r w:rsidRPr="00660EB3">
        <w:rPr>
          <w:rFonts w:eastAsiaTheme="minorEastAsia" w:cs="Times New Roman"/>
          <w:color w:val="000000"/>
          <w:sz w:val="24"/>
          <w:szCs w:val="24"/>
          <w:lang w:eastAsia="lv-LV"/>
        </w:rPr>
        <w:tab/>
        <w:t xml:space="preserve">Finansējuma piesaiste turpmāko darbu pasūtīšanai un veikšanai tiek plānota no turpmākajiem </w:t>
      </w:r>
      <w:r w:rsidR="00DB51AA">
        <w:rPr>
          <w:rFonts w:eastAsiaTheme="minorEastAsia" w:cs="Times New Roman"/>
          <w:color w:val="000000"/>
          <w:sz w:val="24"/>
          <w:szCs w:val="24"/>
          <w:lang w:eastAsia="lv-LV"/>
        </w:rPr>
        <w:t xml:space="preserve">Eiropas </w:t>
      </w:r>
      <w:r w:rsidRPr="00660EB3">
        <w:rPr>
          <w:rFonts w:eastAsiaTheme="minorEastAsia" w:cs="Times New Roman"/>
          <w:color w:val="000000"/>
          <w:sz w:val="24"/>
          <w:szCs w:val="24"/>
          <w:lang w:eastAsia="lv-LV"/>
        </w:rPr>
        <w:t xml:space="preserve">infrastruktūras savienošanas </w:t>
      </w:r>
      <w:r w:rsidR="00DB51AA">
        <w:rPr>
          <w:rFonts w:eastAsiaTheme="minorEastAsia" w:cs="Times New Roman"/>
          <w:color w:val="000000"/>
          <w:sz w:val="24"/>
          <w:szCs w:val="24"/>
          <w:lang w:eastAsia="lv-LV"/>
        </w:rPr>
        <w:t>instrumenta</w:t>
      </w:r>
      <w:r w:rsidR="00DB51AA" w:rsidRPr="00660EB3">
        <w:rPr>
          <w:rFonts w:eastAsiaTheme="minorEastAsia" w:cs="Times New Roman"/>
          <w:color w:val="000000"/>
          <w:sz w:val="24"/>
          <w:szCs w:val="24"/>
          <w:lang w:eastAsia="lv-LV"/>
        </w:rPr>
        <w:t xml:space="preserve"> </w:t>
      </w:r>
      <w:r w:rsidRPr="00660EB3">
        <w:rPr>
          <w:rFonts w:eastAsiaTheme="minorEastAsia" w:cs="Times New Roman"/>
          <w:color w:val="000000"/>
          <w:sz w:val="24"/>
          <w:szCs w:val="24"/>
          <w:lang w:eastAsia="lv-LV"/>
        </w:rPr>
        <w:t>(</w:t>
      </w:r>
      <w:r w:rsidR="00896456">
        <w:rPr>
          <w:rFonts w:eastAsiaTheme="minorEastAsia" w:cs="Times New Roman"/>
          <w:color w:val="000000"/>
          <w:sz w:val="24"/>
          <w:szCs w:val="24"/>
          <w:lang w:eastAsia="lv-LV"/>
        </w:rPr>
        <w:t xml:space="preserve">turpmāk – EISI, </w:t>
      </w:r>
      <w:r w:rsidRPr="00660EB3">
        <w:rPr>
          <w:rFonts w:eastAsiaTheme="minorEastAsia" w:cs="Times New Roman"/>
          <w:i/>
          <w:iCs/>
          <w:color w:val="000000"/>
          <w:sz w:val="24"/>
          <w:szCs w:val="24"/>
          <w:lang w:eastAsia="lv-LV"/>
        </w:rPr>
        <w:t xml:space="preserve">Connecting </w:t>
      </w:r>
      <w:r w:rsidR="002C5510" w:rsidRPr="002C5510">
        <w:rPr>
          <w:rFonts w:eastAsiaTheme="minorEastAsia" w:cs="Times New Roman"/>
          <w:i/>
          <w:iCs/>
          <w:color w:val="000000"/>
          <w:sz w:val="24"/>
          <w:szCs w:val="24"/>
          <w:lang w:eastAsia="lv-LV"/>
        </w:rPr>
        <w:t>Euro</w:t>
      </w:r>
      <w:r w:rsidRPr="00660EB3">
        <w:rPr>
          <w:rFonts w:eastAsiaTheme="minorEastAsia" w:cs="Times New Roman"/>
          <w:i/>
          <w:iCs/>
          <w:color w:val="000000"/>
          <w:sz w:val="24"/>
          <w:szCs w:val="24"/>
          <w:lang w:eastAsia="lv-LV"/>
        </w:rPr>
        <w:t>pe Facility</w:t>
      </w:r>
      <w:r w:rsidRPr="00660EB3">
        <w:rPr>
          <w:rFonts w:eastAsiaTheme="minorEastAsia" w:cs="Times New Roman"/>
          <w:color w:val="000000"/>
          <w:sz w:val="24"/>
          <w:szCs w:val="24"/>
          <w:lang w:eastAsia="lv-LV"/>
        </w:rPr>
        <w:t>, CEF) uzsaukumiem. Noslēdzot līgumu ar Uzņēmēju, turpmākie (sākot no CEF</w:t>
      </w:r>
      <w:r w:rsidR="008711F0">
        <w:rPr>
          <w:rFonts w:eastAsiaTheme="minorEastAsia" w:cs="Times New Roman"/>
          <w:color w:val="000000"/>
          <w:sz w:val="24"/>
          <w:szCs w:val="24"/>
          <w:lang w:eastAsia="lv-LV"/>
        </w:rPr>
        <w:t xml:space="preserve"> </w:t>
      </w:r>
      <w:r w:rsidRPr="00660EB3">
        <w:rPr>
          <w:rFonts w:eastAsiaTheme="minorEastAsia" w:cs="Times New Roman"/>
          <w:color w:val="000000"/>
          <w:sz w:val="24"/>
          <w:szCs w:val="24"/>
          <w:lang w:eastAsia="lv-LV"/>
        </w:rPr>
        <w:t>10) finansējuma pieteikumi tiks gatavoti ciešā sadarbībā ar līguma izpildē iesaistītajām pusēm, tādējādi nodrošinot, ka piesakāmā finansējuma apjoms būs pietiekošs piesakāmās aktivitātes realizēšanai.</w:t>
      </w:r>
    </w:p>
    <w:p w14:paraId="11D5D5C1" w14:textId="77777777" w:rsidR="00865475" w:rsidRPr="00660EB3" w:rsidRDefault="00865475" w:rsidP="00056AFE">
      <w:pPr>
        <w:spacing w:after="0" w:line="240" w:lineRule="auto"/>
        <w:contextualSpacing/>
        <w:jc w:val="both"/>
        <w:rPr>
          <w:rFonts w:eastAsiaTheme="minorEastAsia" w:cs="Times New Roman"/>
          <w:color w:val="000000"/>
          <w:sz w:val="24"/>
          <w:szCs w:val="24"/>
          <w:lang w:eastAsia="lv-LV"/>
        </w:rPr>
      </w:pPr>
      <w:r w:rsidRPr="00660EB3">
        <w:rPr>
          <w:rFonts w:eastAsiaTheme="minorEastAsia" w:cs="Times New Roman"/>
          <w:color w:val="000000" w:themeColor="text1"/>
          <w:sz w:val="24"/>
          <w:szCs w:val="24"/>
          <w:lang w:eastAsia="lv-LV"/>
        </w:rPr>
        <w:t>Plānotie darbi un finansējuma avoti:</w:t>
      </w:r>
    </w:p>
    <w:p w14:paraId="53760097" w14:textId="7D2F6B4F" w:rsidR="00865475" w:rsidRPr="00660EB3" w:rsidRDefault="00865475" w:rsidP="00911792">
      <w:pPr>
        <w:numPr>
          <w:ilvl w:val="0"/>
          <w:numId w:val="19"/>
        </w:numPr>
        <w:spacing w:after="0" w:line="240" w:lineRule="auto"/>
        <w:contextualSpacing/>
        <w:jc w:val="both"/>
        <w:rPr>
          <w:rFonts w:eastAsiaTheme="minorEastAsia" w:cs="Times New Roman"/>
          <w:color w:val="000000"/>
          <w:sz w:val="24"/>
          <w:szCs w:val="24"/>
          <w:lang w:eastAsia="lv-LV"/>
        </w:rPr>
      </w:pPr>
      <w:r w:rsidRPr="00660EB3">
        <w:rPr>
          <w:rFonts w:eastAsiaTheme="minorEastAsia" w:cs="Times New Roman"/>
          <w:color w:val="000000" w:themeColor="text1"/>
          <w:sz w:val="24"/>
          <w:szCs w:val="24"/>
          <w:lang w:eastAsia="lv-LV"/>
        </w:rPr>
        <w:t>Military Mobility 3 pieteikuma ietvaros pieteikt</w:t>
      </w:r>
      <w:r w:rsidR="000D51BE">
        <w:rPr>
          <w:rFonts w:eastAsiaTheme="minorEastAsia" w:cs="Times New Roman"/>
          <w:color w:val="000000" w:themeColor="text1"/>
          <w:sz w:val="24"/>
          <w:szCs w:val="24"/>
          <w:lang w:eastAsia="lv-LV"/>
        </w:rPr>
        <w:t>a</w:t>
      </w:r>
      <w:r w:rsidRPr="00660EB3">
        <w:rPr>
          <w:rFonts w:eastAsiaTheme="minorEastAsia" w:cs="Times New Roman"/>
          <w:color w:val="000000" w:themeColor="text1"/>
          <w:sz w:val="24"/>
          <w:szCs w:val="24"/>
          <w:lang w:eastAsia="lv-LV"/>
        </w:rPr>
        <w:t xml:space="preserve"> duālā tilta būvatļaujas (DS2 BP3) </w:t>
      </w:r>
      <w:r w:rsidR="00BA2D24">
        <w:rPr>
          <w:rFonts w:eastAsiaTheme="minorEastAsia" w:cs="Times New Roman"/>
          <w:color w:val="000000" w:themeColor="text1"/>
          <w:sz w:val="24"/>
          <w:szCs w:val="24"/>
          <w:lang w:eastAsia="lv-LV"/>
        </w:rPr>
        <w:t>I</w:t>
      </w:r>
      <w:r w:rsidRPr="00660EB3">
        <w:rPr>
          <w:rFonts w:eastAsiaTheme="minorEastAsia" w:cs="Times New Roman"/>
          <w:color w:val="000000" w:themeColor="text1"/>
          <w:sz w:val="24"/>
          <w:szCs w:val="24"/>
          <w:lang w:eastAsia="lv-LV"/>
        </w:rPr>
        <w:t xml:space="preserve"> kārta (plānotais finansējuma apjoms būvdarbiem pieteikumā 92,3 miljoni </w:t>
      </w:r>
      <w:r w:rsidR="002C5510" w:rsidRPr="002C5510">
        <w:rPr>
          <w:rFonts w:eastAsiaTheme="minorEastAsia" w:cs="Times New Roman"/>
          <w:i/>
          <w:color w:val="000000" w:themeColor="text1"/>
          <w:sz w:val="24"/>
          <w:szCs w:val="24"/>
          <w:lang w:eastAsia="lv-LV"/>
        </w:rPr>
        <w:t>euro</w:t>
      </w:r>
      <w:r w:rsidRPr="00660EB3">
        <w:rPr>
          <w:rFonts w:eastAsiaTheme="minorEastAsia" w:cs="Times New Roman"/>
          <w:color w:val="000000" w:themeColor="text1"/>
          <w:sz w:val="24"/>
          <w:szCs w:val="24"/>
          <w:lang w:eastAsia="lv-LV"/>
        </w:rPr>
        <w:t xml:space="preserve">), būvprojektu un </w:t>
      </w:r>
      <w:r w:rsidR="00EA2CCB">
        <w:rPr>
          <w:rFonts w:eastAsiaTheme="minorEastAsia" w:cs="Times New Roman"/>
          <w:color w:val="000000" w:themeColor="text1"/>
          <w:sz w:val="24"/>
          <w:szCs w:val="24"/>
          <w:lang w:eastAsia="lv-LV"/>
        </w:rPr>
        <w:t xml:space="preserve">nekustamo īpašumu </w:t>
      </w:r>
      <w:r w:rsidRPr="00660EB3">
        <w:rPr>
          <w:rFonts w:eastAsiaTheme="minorEastAsia" w:cs="Times New Roman"/>
          <w:color w:val="000000" w:themeColor="text1"/>
          <w:sz w:val="24"/>
          <w:szCs w:val="24"/>
          <w:lang w:eastAsia="lv-LV"/>
        </w:rPr>
        <w:t>atsavināšanu paredzēts pabeigt 2024. gada martā.</w:t>
      </w:r>
      <w:r w:rsidR="00A92A6C">
        <w:rPr>
          <w:rFonts w:eastAsiaTheme="minorEastAsia" w:cs="Times New Roman"/>
          <w:color w:val="000000" w:themeColor="text1"/>
          <w:sz w:val="24"/>
          <w:szCs w:val="24"/>
          <w:lang w:eastAsia="lv-LV"/>
        </w:rPr>
        <w:t xml:space="preserve"> Provizoriskie </w:t>
      </w:r>
      <w:r w:rsidR="00164B93">
        <w:rPr>
          <w:rFonts w:eastAsiaTheme="minorEastAsia" w:cs="Times New Roman"/>
          <w:color w:val="000000" w:themeColor="text1"/>
          <w:sz w:val="24"/>
          <w:szCs w:val="24"/>
          <w:lang w:eastAsia="lv-LV"/>
        </w:rPr>
        <w:t>projektu uzsaukuma rezultāti būs zināmi 202</w:t>
      </w:r>
      <w:r w:rsidR="004277BD">
        <w:rPr>
          <w:rFonts w:eastAsiaTheme="minorEastAsia" w:cs="Times New Roman"/>
          <w:color w:val="000000" w:themeColor="text1"/>
          <w:sz w:val="24"/>
          <w:szCs w:val="24"/>
          <w:lang w:eastAsia="lv-LV"/>
        </w:rPr>
        <w:t>3</w:t>
      </w:r>
      <w:r w:rsidR="00164B93">
        <w:rPr>
          <w:rFonts w:eastAsiaTheme="minorEastAsia" w:cs="Times New Roman"/>
          <w:color w:val="000000" w:themeColor="text1"/>
          <w:sz w:val="24"/>
          <w:szCs w:val="24"/>
          <w:lang w:eastAsia="lv-LV"/>
        </w:rPr>
        <w:t>.</w:t>
      </w:r>
      <w:r w:rsidR="00A2124B">
        <w:rPr>
          <w:rFonts w:eastAsiaTheme="minorEastAsia" w:cs="Times New Roman"/>
          <w:color w:val="000000" w:themeColor="text1"/>
          <w:sz w:val="24"/>
          <w:szCs w:val="24"/>
          <w:lang w:eastAsia="lv-LV"/>
        </w:rPr>
        <w:t xml:space="preserve"> </w:t>
      </w:r>
      <w:r w:rsidR="00164B93">
        <w:rPr>
          <w:rFonts w:eastAsiaTheme="minorEastAsia" w:cs="Times New Roman"/>
          <w:color w:val="000000" w:themeColor="text1"/>
          <w:sz w:val="24"/>
          <w:szCs w:val="24"/>
          <w:lang w:eastAsia="lv-LV"/>
        </w:rPr>
        <w:t>gada decembra beigās</w:t>
      </w:r>
      <w:r w:rsidR="00B35BCD">
        <w:rPr>
          <w:rFonts w:eastAsiaTheme="minorEastAsia" w:cs="Times New Roman"/>
          <w:color w:val="000000" w:themeColor="text1"/>
          <w:sz w:val="24"/>
          <w:szCs w:val="24"/>
          <w:lang w:eastAsia="lv-LV"/>
        </w:rPr>
        <w:t xml:space="preserve">. </w:t>
      </w:r>
      <w:r w:rsidR="00D80A30">
        <w:rPr>
          <w:rFonts w:eastAsiaTheme="minorEastAsia" w:cs="Times New Roman"/>
          <w:color w:val="000000" w:themeColor="text1"/>
          <w:sz w:val="24"/>
          <w:szCs w:val="24"/>
          <w:lang w:eastAsia="lv-LV"/>
        </w:rPr>
        <w:t xml:space="preserve">Latvija ir pieteikusies </w:t>
      </w:r>
      <w:r w:rsidR="00AE454F">
        <w:rPr>
          <w:rFonts w:eastAsiaTheme="minorEastAsia" w:cs="Times New Roman"/>
          <w:color w:val="000000" w:themeColor="text1"/>
          <w:sz w:val="24"/>
          <w:szCs w:val="24"/>
          <w:lang w:eastAsia="lv-LV"/>
        </w:rPr>
        <w:t>191 070</w:t>
      </w:r>
      <w:r w:rsidR="00FB6C3A">
        <w:rPr>
          <w:rFonts w:eastAsiaTheme="minorEastAsia" w:cs="Times New Roman"/>
          <w:color w:val="000000" w:themeColor="text1"/>
          <w:sz w:val="24"/>
          <w:szCs w:val="24"/>
          <w:lang w:eastAsia="lv-LV"/>
        </w:rPr>
        <w:t xml:space="preserve"> 000 </w:t>
      </w:r>
      <w:r w:rsidR="002C5510" w:rsidRPr="002C5510">
        <w:rPr>
          <w:rFonts w:eastAsiaTheme="minorEastAsia" w:cs="Times New Roman"/>
          <w:i/>
          <w:color w:val="000000" w:themeColor="text1"/>
          <w:sz w:val="24"/>
          <w:szCs w:val="24"/>
          <w:lang w:eastAsia="lv-LV"/>
        </w:rPr>
        <w:t>euro</w:t>
      </w:r>
      <w:r w:rsidR="00503E7A">
        <w:rPr>
          <w:rFonts w:eastAsiaTheme="minorEastAsia" w:cs="Times New Roman"/>
          <w:color w:val="000000" w:themeColor="text1"/>
          <w:sz w:val="24"/>
          <w:szCs w:val="24"/>
          <w:lang w:eastAsia="lv-LV"/>
        </w:rPr>
        <w:t>, finansējumam</w:t>
      </w:r>
      <w:r w:rsidR="003546FF">
        <w:rPr>
          <w:rFonts w:eastAsiaTheme="minorEastAsia" w:cs="Times New Roman"/>
          <w:color w:val="000000" w:themeColor="text1"/>
          <w:sz w:val="24"/>
          <w:szCs w:val="24"/>
          <w:lang w:eastAsia="lv-LV"/>
        </w:rPr>
        <w:t>, tostarp</w:t>
      </w:r>
      <w:r w:rsidR="00503E7A">
        <w:rPr>
          <w:rFonts w:eastAsiaTheme="minorEastAsia" w:cs="Times New Roman"/>
          <w:color w:val="000000" w:themeColor="text1"/>
          <w:sz w:val="24"/>
          <w:szCs w:val="24"/>
          <w:lang w:eastAsia="lv-LV"/>
        </w:rPr>
        <w:t xml:space="preserve"> </w:t>
      </w:r>
      <w:r w:rsidR="00964990">
        <w:rPr>
          <w:rFonts w:eastAsiaTheme="minorEastAsia" w:cs="Times New Roman"/>
          <w:color w:val="000000" w:themeColor="text1"/>
          <w:sz w:val="24"/>
          <w:szCs w:val="24"/>
          <w:lang w:eastAsia="lv-LV"/>
        </w:rPr>
        <w:t xml:space="preserve">duālā tilta </w:t>
      </w:r>
      <w:r w:rsidR="00F82096">
        <w:rPr>
          <w:rFonts w:eastAsiaTheme="minorEastAsia" w:cs="Times New Roman"/>
          <w:color w:val="000000" w:themeColor="text1"/>
          <w:sz w:val="24"/>
          <w:szCs w:val="24"/>
          <w:lang w:eastAsia="lv-LV"/>
        </w:rPr>
        <w:t>pirmās</w:t>
      </w:r>
      <w:r w:rsidR="00A2124B">
        <w:rPr>
          <w:rFonts w:eastAsiaTheme="minorEastAsia" w:cs="Times New Roman"/>
          <w:color w:val="000000" w:themeColor="text1"/>
          <w:sz w:val="24"/>
          <w:szCs w:val="24"/>
          <w:lang w:eastAsia="lv-LV"/>
        </w:rPr>
        <w:t xml:space="preserve"> </w:t>
      </w:r>
      <w:r w:rsidR="00184BFC">
        <w:rPr>
          <w:rFonts w:eastAsiaTheme="minorEastAsia" w:cs="Times New Roman"/>
          <w:color w:val="000000" w:themeColor="text1"/>
          <w:sz w:val="24"/>
          <w:szCs w:val="24"/>
          <w:lang w:eastAsia="lv-LV"/>
        </w:rPr>
        <w:t>fāzes būvniecībai</w:t>
      </w:r>
      <w:r w:rsidR="003546FF">
        <w:rPr>
          <w:rFonts w:eastAsiaTheme="minorEastAsia" w:cs="Times New Roman"/>
          <w:color w:val="000000" w:themeColor="text1"/>
          <w:sz w:val="24"/>
          <w:szCs w:val="24"/>
          <w:lang w:eastAsia="lv-LV"/>
        </w:rPr>
        <w:t xml:space="preserve">, </w:t>
      </w:r>
      <w:r w:rsidR="005035A9">
        <w:rPr>
          <w:rFonts w:eastAsiaTheme="minorEastAsia" w:cs="Times New Roman"/>
          <w:color w:val="000000" w:themeColor="text1"/>
          <w:sz w:val="24"/>
          <w:szCs w:val="24"/>
          <w:lang w:eastAsia="lv-LV"/>
        </w:rPr>
        <w:t xml:space="preserve">Salaspils multimodālā </w:t>
      </w:r>
      <w:r w:rsidR="00E13084">
        <w:rPr>
          <w:rFonts w:eastAsiaTheme="minorEastAsia" w:cs="Times New Roman"/>
          <w:color w:val="000000" w:themeColor="text1"/>
          <w:sz w:val="24"/>
          <w:szCs w:val="24"/>
          <w:lang w:eastAsia="lv-LV"/>
        </w:rPr>
        <w:t xml:space="preserve">divējādas pielietojamības </w:t>
      </w:r>
      <w:r w:rsidR="0053630B">
        <w:rPr>
          <w:rFonts w:eastAsiaTheme="minorEastAsia" w:cs="Times New Roman"/>
          <w:color w:val="000000" w:themeColor="text1"/>
          <w:sz w:val="24"/>
          <w:szCs w:val="24"/>
          <w:lang w:eastAsia="lv-LV"/>
        </w:rPr>
        <w:t xml:space="preserve">kravu termināļa papildu autoceļu </w:t>
      </w:r>
      <w:r w:rsidR="00664955">
        <w:rPr>
          <w:rFonts w:eastAsiaTheme="minorEastAsia" w:cs="Times New Roman"/>
          <w:color w:val="000000" w:themeColor="text1"/>
          <w:sz w:val="24"/>
          <w:szCs w:val="24"/>
          <w:lang w:eastAsia="lv-LV"/>
        </w:rPr>
        <w:t xml:space="preserve">pieslēguma </w:t>
      </w:r>
      <w:r w:rsidR="00F8741A">
        <w:rPr>
          <w:rFonts w:eastAsiaTheme="minorEastAsia" w:cs="Times New Roman"/>
          <w:color w:val="000000" w:themeColor="text1"/>
          <w:sz w:val="24"/>
          <w:szCs w:val="24"/>
          <w:lang w:eastAsia="lv-LV"/>
        </w:rPr>
        <w:t xml:space="preserve">projektēšanai un izbūvei, </w:t>
      </w:r>
      <w:r w:rsidR="00FD6470">
        <w:rPr>
          <w:rFonts w:eastAsiaTheme="minorEastAsia" w:cs="Times New Roman"/>
          <w:color w:val="000000" w:themeColor="text1"/>
          <w:sz w:val="24"/>
          <w:szCs w:val="24"/>
          <w:lang w:eastAsia="lv-LV"/>
        </w:rPr>
        <w:t xml:space="preserve">kā arī RCS </w:t>
      </w:r>
      <w:r w:rsidR="00C618D6">
        <w:rPr>
          <w:rFonts w:eastAsiaTheme="minorEastAsia" w:cs="Times New Roman"/>
          <w:color w:val="000000" w:themeColor="text1"/>
          <w:sz w:val="24"/>
          <w:szCs w:val="24"/>
          <w:lang w:eastAsia="lv-LV"/>
        </w:rPr>
        <w:t xml:space="preserve">Ziemeļu estakādes </w:t>
      </w:r>
      <w:r w:rsidR="00C76E52">
        <w:rPr>
          <w:rFonts w:eastAsiaTheme="minorEastAsia" w:cs="Times New Roman"/>
          <w:color w:val="000000" w:themeColor="text1"/>
          <w:sz w:val="24"/>
          <w:szCs w:val="24"/>
          <w:lang w:eastAsia="lv-LV"/>
        </w:rPr>
        <w:t xml:space="preserve">būvniecībai starp </w:t>
      </w:r>
      <w:r w:rsidR="007C6A5C">
        <w:rPr>
          <w:rFonts w:eastAsiaTheme="minorEastAsia" w:cs="Times New Roman"/>
          <w:color w:val="000000" w:themeColor="text1"/>
          <w:sz w:val="24"/>
          <w:szCs w:val="24"/>
          <w:lang w:eastAsia="lv-LV"/>
        </w:rPr>
        <w:t xml:space="preserve">Prāgas un </w:t>
      </w:r>
      <w:r w:rsidR="00780BB2">
        <w:rPr>
          <w:rFonts w:eastAsiaTheme="minorEastAsia" w:cs="Times New Roman"/>
          <w:color w:val="000000" w:themeColor="text1"/>
          <w:sz w:val="24"/>
          <w:szCs w:val="24"/>
          <w:lang w:eastAsia="lv-LV"/>
        </w:rPr>
        <w:t xml:space="preserve">Maskavas </w:t>
      </w:r>
      <w:r w:rsidR="00F90FC2">
        <w:rPr>
          <w:rFonts w:eastAsiaTheme="minorEastAsia" w:cs="Times New Roman"/>
          <w:color w:val="000000" w:themeColor="text1"/>
          <w:sz w:val="24"/>
          <w:szCs w:val="24"/>
          <w:lang w:eastAsia="lv-LV"/>
        </w:rPr>
        <w:t xml:space="preserve">ielām. </w:t>
      </w:r>
      <w:r w:rsidR="003546FF">
        <w:rPr>
          <w:rFonts w:eastAsiaTheme="minorEastAsia" w:cs="Times New Roman"/>
          <w:color w:val="000000" w:themeColor="text1"/>
          <w:sz w:val="24"/>
          <w:szCs w:val="24"/>
          <w:lang w:eastAsia="lv-LV"/>
        </w:rPr>
        <w:t xml:space="preserve"> </w:t>
      </w:r>
    </w:p>
    <w:p w14:paraId="71017286" w14:textId="1CCB4977" w:rsidR="00865475" w:rsidRPr="00660EB3" w:rsidRDefault="36B6884D" w:rsidP="0595A900">
      <w:pPr>
        <w:numPr>
          <w:ilvl w:val="0"/>
          <w:numId w:val="19"/>
        </w:numPr>
        <w:spacing w:after="0" w:line="240" w:lineRule="auto"/>
        <w:contextualSpacing/>
        <w:jc w:val="both"/>
        <w:rPr>
          <w:rFonts w:eastAsiaTheme="minorEastAsia" w:cs="Times New Roman"/>
          <w:color w:val="000000"/>
          <w:sz w:val="24"/>
          <w:szCs w:val="24"/>
          <w:lang w:eastAsia="lv-LV"/>
        </w:rPr>
      </w:pPr>
      <w:r w:rsidRPr="0595A900">
        <w:rPr>
          <w:rFonts w:eastAsiaTheme="minorEastAsia" w:cs="Times New Roman"/>
          <w:color w:val="000000" w:themeColor="text1"/>
          <w:sz w:val="24"/>
          <w:szCs w:val="24"/>
          <w:lang w:eastAsia="lv-LV"/>
        </w:rPr>
        <w:t>CEF</w:t>
      </w:r>
      <w:r w:rsidR="76FBAAE4" w:rsidRPr="0595A900">
        <w:rPr>
          <w:rFonts w:eastAsiaTheme="minorEastAsia" w:cs="Times New Roman"/>
          <w:color w:val="000000" w:themeColor="text1"/>
          <w:sz w:val="24"/>
          <w:szCs w:val="24"/>
          <w:lang w:eastAsia="lv-LV"/>
        </w:rPr>
        <w:t xml:space="preserve"> </w:t>
      </w:r>
      <w:r w:rsidRPr="0595A900">
        <w:rPr>
          <w:rFonts w:eastAsiaTheme="minorEastAsia" w:cs="Times New Roman"/>
          <w:color w:val="000000" w:themeColor="text1"/>
          <w:sz w:val="24"/>
          <w:szCs w:val="24"/>
          <w:lang w:eastAsia="lv-LV"/>
        </w:rPr>
        <w:t>10 finansējuma pieteikuma ietvaros piesakāmās būvatļaujas (</w:t>
      </w:r>
      <w:r w:rsidR="7E220C00" w:rsidRPr="0595A900">
        <w:rPr>
          <w:rFonts w:eastAsiaTheme="minorEastAsia" w:cs="Times New Roman"/>
          <w:color w:val="000000" w:themeColor="text1"/>
          <w:sz w:val="24"/>
          <w:szCs w:val="24"/>
          <w:lang w:eastAsia="lv-LV"/>
        </w:rPr>
        <w:t xml:space="preserve">atbilstoši līguma nosacījumiem indikatīvais ikgadēji pasūtāmais darbu apjoms ir </w:t>
      </w:r>
      <w:r w:rsidRPr="0595A900">
        <w:rPr>
          <w:rFonts w:eastAsiaTheme="minorEastAsia" w:cs="Times New Roman"/>
          <w:color w:val="000000" w:themeColor="text1"/>
          <w:sz w:val="24"/>
          <w:szCs w:val="24"/>
          <w:lang w:eastAsia="lv-LV"/>
        </w:rPr>
        <w:t>75</w:t>
      </w:r>
      <w:r w:rsidR="00D515F1">
        <w:rPr>
          <w:rFonts w:eastAsiaTheme="minorEastAsia" w:cs="Times New Roman"/>
          <w:color w:val="000000" w:themeColor="text1"/>
          <w:sz w:val="24"/>
          <w:szCs w:val="24"/>
          <w:lang w:eastAsia="lv-LV"/>
        </w:rPr>
        <w:t xml:space="preserve"> – </w:t>
      </w:r>
      <w:r w:rsidRPr="0595A900">
        <w:rPr>
          <w:rFonts w:eastAsiaTheme="minorEastAsia" w:cs="Times New Roman"/>
          <w:color w:val="000000" w:themeColor="text1"/>
          <w:sz w:val="24"/>
          <w:szCs w:val="24"/>
          <w:lang w:eastAsia="lv-LV"/>
        </w:rPr>
        <w:t xml:space="preserve">300 vai vairāk miljonu </w:t>
      </w:r>
      <w:r w:rsidR="002C5510" w:rsidRPr="002C5510">
        <w:rPr>
          <w:rFonts w:eastAsiaTheme="minorEastAsia" w:cs="Times New Roman"/>
          <w:i/>
          <w:color w:val="000000" w:themeColor="text1"/>
          <w:sz w:val="24"/>
          <w:szCs w:val="24"/>
          <w:lang w:eastAsia="lv-LV"/>
        </w:rPr>
        <w:t>euro</w:t>
      </w:r>
      <w:r w:rsidRPr="0595A900">
        <w:rPr>
          <w:rFonts w:eastAsiaTheme="minorEastAsia" w:cs="Times New Roman"/>
          <w:color w:val="000000" w:themeColor="text1"/>
          <w:sz w:val="24"/>
          <w:szCs w:val="24"/>
          <w:lang w:eastAsia="lv-LV"/>
        </w:rPr>
        <w:t xml:space="preserve"> apmērā) atkarībā no būvdarbu uzsākšanas priekšnosacījumu pieejamības, it īpaši no būvprojektu gatavības. Pašlaik ir uzsākta informācijas gatavošana un paredzamā finansējuma noteikšana CEF</w:t>
      </w:r>
      <w:r w:rsidR="76FBAAE4" w:rsidRPr="0595A900">
        <w:rPr>
          <w:rFonts w:eastAsiaTheme="minorEastAsia" w:cs="Times New Roman"/>
          <w:color w:val="000000" w:themeColor="text1"/>
          <w:sz w:val="24"/>
          <w:szCs w:val="24"/>
          <w:lang w:eastAsia="lv-LV"/>
        </w:rPr>
        <w:t xml:space="preserve"> </w:t>
      </w:r>
      <w:r w:rsidRPr="0595A900">
        <w:rPr>
          <w:rFonts w:eastAsiaTheme="minorEastAsia" w:cs="Times New Roman"/>
          <w:color w:val="000000" w:themeColor="text1"/>
          <w:sz w:val="24"/>
          <w:szCs w:val="24"/>
          <w:lang w:eastAsia="lv-LV"/>
        </w:rPr>
        <w:t xml:space="preserve">10 pieteikuma ietvaros atbilstoši paredzamajai būvdarbu uzsākšanas priekšnosacījumu pieejamībai un provizoriskais apjoms ir  līdz </w:t>
      </w:r>
      <w:r w:rsidR="00A809CE">
        <w:rPr>
          <w:rFonts w:eastAsiaTheme="minorEastAsia" w:cs="Times New Roman"/>
          <w:color w:val="000000" w:themeColor="text1"/>
          <w:sz w:val="24"/>
          <w:szCs w:val="24"/>
          <w:lang w:eastAsia="lv-LV"/>
        </w:rPr>
        <w:t>570</w:t>
      </w:r>
      <w:r w:rsidRPr="0595A900">
        <w:rPr>
          <w:rFonts w:eastAsiaTheme="minorEastAsia" w:cs="Times New Roman"/>
          <w:color w:val="000000" w:themeColor="text1"/>
          <w:sz w:val="24"/>
          <w:szCs w:val="24"/>
          <w:lang w:eastAsia="lv-LV"/>
        </w:rPr>
        <w:t xml:space="preserve"> miljoniem </w:t>
      </w:r>
      <w:r w:rsidR="002C5510" w:rsidRPr="002C5510">
        <w:rPr>
          <w:rFonts w:eastAsiaTheme="minorEastAsia" w:cs="Times New Roman"/>
          <w:i/>
          <w:color w:val="000000" w:themeColor="text1"/>
          <w:sz w:val="24"/>
          <w:szCs w:val="24"/>
          <w:lang w:eastAsia="lv-LV"/>
        </w:rPr>
        <w:t>euro</w:t>
      </w:r>
      <w:r w:rsidRPr="0595A900">
        <w:rPr>
          <w:rFonts w:eastAsiaTheme="minorEastAsia" w:cs="Times New Roman"/>
          <w:color w:val="000000" w:themeColor="text1"/>
          <w:sz w:val="24"/>
          <w:szCs w:val="24"/>
          <w:lang w:eastAsia="lv-LV"/>
        </w:rPr>
        <w:t xml:space="preserve"> Rail Baltica pamattrases būvdarbu līgumā ietvertajiem darbiem.</w:t>
      </w:r>
      <w:r w:rsidR="5EE0D922" w:rsidRPr="0595A900">
        <w:rPr>
          <w:rFonts w:eastAsiaTheme="minorEastAsia" w:cs="Times New Roman"/>
          <w:color w:val="000000" w:themeColor="text1"/>
          <w:sz w:val="24"/>
          <w:szCs w:val="24"/>
          <w:lang w:eastAsia="lv-LV"/>
        </w:rPr>
        <w:t xml:space="preserve"> </w:t>
      </w:r>
      <w:r w:rsidR="748FEF4B" w:rsidRPr="0595A900">
        <w:rPr>
          <w:rFonts w:eastAsiaTheme="minorEastAsia" w:cs="Times New Roman"/>
          <w:color w:val="000000" w:themeColor="text1"/>
          <w:sz w:val="24"/>
          <w:szCs w:val="24"/>
          <w:lang w:eastAsia="lv-LV"/>
        </w:rPr>
        <w:t xml:space="preserve">Pieteikumu </w:t>
      </w:r>
      <w:r w:rsidR="35381C8B" w:rsidRPr="0595A900">
        <w:rPr>
          <w:rFonts w:eastAsiaTheme="minorEastAsia" w:cs="Times New Roman"/>
          <w:color w:val="000000" w:themeColor="text1"/>
          <w:sz w:val="24"/>
          <w:szCs w:val="24"/>
          <w:lang w:eastAsia="lv-LV"/>
        </w:rPr>
        <w:t xml:space="preserve">uzsaukums tika izsludināts </w:t>
      </w:r>
      <w:r w:rsidR="6542028F" w:rsidRPr="0595A900">
        <w:rPr>
          <w:rFonts w:eastAsiaTheme="minorEastAsia" w:cs="Times New Roman"/>
          <w:color w:val="000000" w:themeColor="text1"/>
          <w:sz w:val="24"/>
          <w:szCs w:val="24"/>
          <w:lang w:eastAsia="lv-LV"/>
        </w:rPr>
        <w:t>2023.gada septembrī,</w:t>
      </w:r>
      <w:r w:rsidR="748FEF4B" w:rsidRPr="0595A900">
        <w:rPr>
          <w:rFonts w:eastAsiaTheme="minorEastAsia" w:cs="Times New Roman"/>
          <w:color w:val="000000" w:themeColor="text1"/>
          <w:sz w:val="24"/>
          <w:szCs w:val="24"/>
          <w:lang w:eastAsia="lv-LV"/>
        </w:rPr>
        <w:t xml:space="preserve"> </w:t>
      </w:r>
      <w:r w:rsidR="7BC1093B" w:rsidRPr="0595A900">
        <w:rPr>
          <w:rFonts w:eastAsiaTheme="minorEastAsia" w:cs="Times New Roman"/>
          <w:color w:val="000000" w:themeColor="text1"/>
          <w:sz w:val="24"/>
          <w:szCs w:val="24"/>
          <w:lang w:eastAsia="lv-LV"/>
        </w:rPr>
        <w:t>Rail Baltica projekta p</w:t>
      </w:r>
      <w:r w:rsidR="4B699230" w:rsidRPr="0595A900">
        <w:rPr>
          <w:rFonts w:eastAsiaTheme="minorEastAsia" w:cs="Times New Roman"/>
          <w:color w:val="000000" w:themeColor="text1"/>
          <w:sz w:val="24"/>
          <w:szCs w:val="24"/>
          <w:lang w:eastAsia="lv-LV"/>
        </w:rPr>
        <w:t>ieteikuma</w:t>
      </w:r>
      <w:r w:rsidR="7BC1093B" w:rsidRPr="0595A900">
        <w:rPr>
          <w:rFonts w:eastAsiaTheme="minorEastAsia" w:cs="Times New Roman"/>
          <w:color w:val="000000" w:themeColor="text1"/>
          <w:sz w:val="24"/>
          <w:szCs w:val="24"/>
          <w:lang w:eastAsia="lv-LV"/>
        </w:rPr>
        <w:t xml:space="preserve"> sagatavošana </w:t>
      </w:r>
      <w:r w:rsidR="18EC1235" w:rsidRPr="0595A900">
        <w:rPr>
          <w:rFonts w:eastAsiaTheme="minorEastAsia" w:cs="Times New Roman"/>
          <w:color w:val="000000" w:themeColor="text1"/>
          <w:sz w:val="24"/>
          <w:szCs w:val="24"/>
          <w:lang w:eastAsia="lv-LV"/>
        </w:rPr>
        <w:t>ir</w:t>
      </w:r>
      <w:r w:rsidR="78DE7958" w:rsidRPr="0595A900">
        <w:rPr>
          <w:rFonts w:eastAsiaTheme="minorEastAsia" w:cs="Times New Roman"/>
          <w:color w:val="000000" w:themeColor="text1"/>
          <w:sz w:val="24"/>
          <w:szCs w:val="24"/>
          <w:lang w:eastAsia="lv-LV"/>
        </w:rPr>
        <w:t xml:space="preserve"> uzsākta, pieteikumu iesniegšanas termiņš 2024.</w:t>
      </w:r>
      <w:r w:rsidR="7C2BF5B3" w:rsidRPr="0595A900">
        <w:rPr>
          <w:rFonts w:eastAsiaTheme="minorEastAsia" w:cs="Times New Roman"/>
          <w:color w:val="000000" w:themeColor="text1"/>
          <w:sz w:val="24"/>
          <w:szCs w:val="24"/>
          <w:lang w:eastAsia="lv-LV"/>
        </w:rPr>
        <w:t xml:space="preserve"> </w:t>
      </w:r>
      <w:r w:rsidR="78DE7958" w:rsidRPr="0595A900">
        <w:rPr>
          <w:rFonts w:eastAsiaTheme="minorEastAsia" w:cs="Times New Roman"/>
          <w:color w:val="000000" w:themeColor="text1"/>
          <w:sz w:val="24"/>
          <w:szCs w:val="24"/>
          <w:lang w:eastAsia="lv-LV"/>
        </w:rPr>
        <w:t xml:space="preserve">gada </w:t>
      </w:r>
      <w:r w:rsidR="51EC1F94" w:rsidRPr="0595A900">
        <w:rPr>
          <w:rFonts w:eastAsiaTheme="minorEastAsia" w:cs="Times New Roman"/>
          <w:color w:val="000000" w:themeColor="text1"/>
          <w:sz w:val="24"/>
          <w:szCs w:val="24"/>
          <w:lang w:eastAsia="lv-LV"/>
        </w:rPr>
        <w:t>30.</w:t>
      </w:r>
      <w:r w:rsidR="7C2BF5B3" w:rsidRPr="0595A900">
        <w:rPr>
          <w:rFonts w:eastAsiaTheme="minorEastAsia" w:cs="Times New Roman"/>
          <w:color w:val="000000" w:themeColor="text1"/>
          <w:sz w:val="24"/>
          <w:szCs w:val="24"/>
          <w:lang w:eastAsia="lv-LV"/>
        </w:rPr>
        <w:t xml:space="preserve"> </w:t>
      </w:r>
      <w:r w:rsidR="51EC1F94" w:rsidRPr="0595A900">
        <w:rPr>
          <w:rFonts w:eastAsiaTheme="minorEastAsia" w:cs="Times New Roman"/>
          <w:color w:val="000000" w:themeColor="text1"/>
          <w:sz w:val="24"/>
          <w:szCs w:val="24"/>
          <w:lang w:eastAsia="lv-LV"/>
        </w:rPr>
        <w:t xml:space="preserve">janvāris. </w:t>
      </w:r>
      <w:r w:rsidR="4B699230" w:rsidRPr="0595A900">
        <w:rPr>
          <w:rFonts w:eastAsiaTheme="minorEastAsia" w:cs="Times New Roman"/>
          <w:color w:val="000000" w:themeColor="text1"/>
          <w:sz w:val="24"/>
          <w:szCs w:val="24"/>
          <w:lang w:eastAsia="lv-LV"/>
        </w:rPr>
        <w:t xml:space="preserve"> </w:t>
      </w:r>
    </w:p>
    <w:p w14:paraId="5F937E6E" w14:textId="26215CB8" w:rsidR="00BE4890" w:rsidRDefault="00865475" w:rsidP="00911792">
      <w:pPr>
        <w:numPr>
          <w:ilvl w:val="0"/>
          <w:numId w:val="19"/>
        </w:numPr>
        <w:spacing w:after="0" w:line="240" w:lineRule="auto"/>
        <w:contextualSpacing/>
        <w:jc w:val="both"/>
        <w:rPr>
          <w:rFonts w:eastAsiaTheme="minorEastAsia" w:cs="Times New Roman"/>
          <w:color w:val="000000"/>
          <w:sz w:val="24"/>
          <w:szCs w:val="24"/>
          <w:lang w:eastAsia="lv-LV"/>
        </w:rPr>
      </w:pPr>
      <w:r w:rsidRPr="00660EB3">
        <w:rPr>
          <w:rFonts w:eastAsiaTheme="minorEastAsia" w:cs="Times New Roman"/>
          <w:color w:val="000000"/>
          <w:sz w:val="24"/>
          <w:szCs w:val="24"/>
          <w:lang w:eastAsia="lv-LV"/>
        </w:rPr>
        <w:t>CEF</w:t>
      </w:r>
      <w:r w:rsidR="00A2124B">
        <w:rPr>
          <w:rFonts w:eastAsiaTheme="minorEastAsia" w:cs="Times New Roman"/>
          <w:color w:val="000000"/>
          <w:sz w:val="24"/>
          <w:szCs w:val="24"/>
          <w:lang w:eastAsia="lv-LV"/>
        </w:rPr>
        <w:t xml:space="preserve"> </w:t>
      </w:r>
      <w:r w:rsidRPr="00660EB3">
        <w:rPr>
          <w:rFonts w:eastAsiaTheme="minorEastAsia" w:cs="Times New Roman"/>
          <w:color w:val="000000"/>
          <w:sz w:val="24"/>
          <w:szCs w:val="24"/>
          <w:lang w:eastAsia="lv-LV"/>
        </w:rPr>
        <w:t>11 finansējuma pieteikuma ietvaros piesakāmās būvatļaujas (</w:t>
      </w:r>
      <w:r w:rsidR="00A32E9C">
        <w:rPr>
          <w:rFonts w:eastAsiaTheme="minorEastAsia" w:cs="Times New Roman"/>
          <w:color w:val="000000"/>
          <w:sz w:val="24"/>
          <w:szCs w:val="24"/>
          <w:lang w:eastAsia="lv-LV"/>
        </w:rPr>
        <w:t xml:space="preserve">atbilstoši līguma nosacījumiem indikatīvais ikgadēji pasūtāmais darbu apjoms ir </w:t>
      </w:r>
      <w:r w:rsidRPr="00660EB3">
        <w:rPr>
          <w:rFonts w:eastAsiaTheme="minorEastAsia" w:cs="Times New Roman"/>
          <w:color w:val="000000"/>
          <w:sz w:val="24"/>
          <w:szCs w:val="24"/>
          <w:lang w:eastAsia="lv-LV"/>
        </w:rPr>
        <w:t>75</w:t>
      </w:r>
      <w:r w:rsidR="00D515F1">
        <w:rPr>
          <w:rFonts w:eastAsiaTheme="minorEastAsia" w:cs="Times New Roman"/>
          <w:color w:val="000000"/>
          <w:sz w:val="24"/>
          <w:szCs w:val="24"/>
          <w:lang w:eastAsia="lv-LV"/>
        </w:rPr>
        <w:t xml:space="preserve"> – </w:t>
      </w:r>
      <w:r w:rsidRPr="00660EB3">
        <w:rPr>
          <w:rFonts w:eastAsiaTheme="minorEastAsia" w:cs="Times New Roman"/>
          <w:color w:val="000000"/>
          <w:sz w:val="24"/>
          <w:szCs w:val="24"/>
          <w:lang w:eastAsia="lv-LV"/>
        </w:rPr>
        <w:t xml:space="preserve">300 vai vairāk miljonu </w:t>
      </w:r>
      <w:r w:rsidR="002C5510" w:rsidRPr="002C5510">
        <w:rPr>
          <w:rFonts w:eastAsiaTheme="minorEastAsia" w:cs="Times New Roman"/>
          <w:i/>
          <w:color w:val="000000"/>
          <w:sz w:val="24"/>
          <w:szCs w:val="24"/>
          <w:lang w:eastAsia="lv-LV"/>
        </w:rPr>
        <w:t>euro</w:t>
      </w:r>
      <w:r w:rsidRPr="00660EB3">
        <w:rPr>
          <w:rFonts w:eastAsiaTheme="minorEastAsia" w:cs="Times New Roman"/>
          <w:color w:val="000000"/>
          <w:sz w:val="24"/>
          <w:szCs w:val="24"/>
          <w:lang w:eastAsia="lv-LV"/>
        </w:rPr>
        <w:t xml:space="preserve"> apmērā) atkarībā no būvdarbu uzsākšanas priekšnosacījumu pieejamības, it īpaši no būvprojektu gatavības.</w:t>
      </w:r>
      <w:r w:rsidR="00C539E0">
        <w:rPr>
          <w:rFonts w:eastAsiaTheme="minorEastAsia" w:cs="Times New Roman"/>
          <w:color w:val="000000"/>
          <w:sz w:val="24"/>
          <w:szCs w:val="24"/>
          <w:lang w:eastAsia="lv-LV"/>
        </w:rPr>
        <w:t xml:space="preserve"> </w:t>
      </w:r>
      <w:r w:rsidR="0026312E">
        <w:rPr>
          <w:rFonts w:eastAsiaTheme="minorEastAsia" w:cs="Times New Roman"/>
          <w:color w:val="000000"/>
          <w:sz w:val="24"/>
          <w:szCs w:val="24"/>
          <w:lang w:eastAsia="lv-LV"/>
        </w:rPr>
        <w:t xml:space="preserve">Projektu pieteikumu </w:t>
      </w:r>
      <w:r w:rsidR="007358C9">
        <w:rPr>
          <w:rFonts w:eastAsiaTheme="minorEastAsia" w:cs="Times New Roman"/>
          <w:color w:val="000000"/>
          <w:sz w:val="24"/>
          <w:szCs w:val="24"/>
          <w:lang w:eastAsia="lv-LV"/>
        </w:rPr>
        <w:t>uzsauk</w:t>
      </w:r>
      <w:r w:rsidR="009A576F">
        <w:rPr>
          <w:rFonts w:eastAsiaTheme="minorEastAsia" w:cs="Times New Roman"/>
          <w:color w:val="000000"/>
          <w:sz w:val="24"/>
          <w:szCs w:val="24"/>
          <w:lang w:eastAsia="lv-LV"/>
        </w:rPr>
        <w:t>umu plānots izsludināt 2024.</w:t>
      </w:r>
      <w:r w:rsidR="009D403D">
        <w:rPr>
          <w:rFonts w:eastAsiaTheme="minorEastAsia" w:cs="Times New Roman"/>
          <w:color w:val="000000"/>
          <w:sz w:val="24"/>
          <w:szCs w:val="24"/>
          <w:lang w:eastAsia="lv-LV"/>
        </w:rPr>
        <w:t xml:space="preserve"> </w:t>
      </w:r>
      <w:r w:rsidR="009A576F">
        <w:rPr>
          <w:rFonts w:eastAsiaTheme="minorEastAsia" w:cs="Times New Roman"/>
          <w:color w:val="000000"/>
          <w:sz w:val="24"/>
          <w:szCs w:val="24"/>
          <w:lang w:eastAsia="lv-LV"/>
        </w:rPr>
        <w:t xml:space="preserve">gada septembrī, </w:t>
      </w:r>
      <w:r w:rsidR="00C667EE">
        <w:rPr>
          <w:rFonts w:eastAsiaTheme="minorEastAsia" w:cs="Times New Roman"/>
          <w:color w:val="000000"/>
          <w:sz w:val="24"/>
          <w:szCs w:val="24"/>
          <w:lang w:eastAsia="lv-LV"/>
        </w:rPr>
        <w:t xml:space="preserve">pieteikumu iesniegšanas termiņš </w:t>
      </w:r>
      <w:r w:rsidR="00857DDB">
        <w:rPr>
          <w:rFonts w:eastAsiaTheme="minorEastAsia" w:cs="Times New Roman"/>
          <w:color w:val="000000"/>
          <w:sz w:val="24"/>
          <w:szCs w:val="24"/>
          <w:lang w:eastAsia="lv-LV"/>
        </w:rPr>
        <w:t xml:space="preserve">provizoriski </w:t>
      </w:r>
      <w:r w:rsidR="00C667EE">
        <w:rPr>
          <w:rFonts w:eastAsiaTheme="minorEastAsia" w:cs="Times New Roman"/>
          <w:color w:val="000000"/>
          <w:sz w:val="24"/>
          <w:szCs w:val="24"/>
          <w:lang w:eastAsia="lv-LV"/>
        </w:rPr>
        <w:t xml:space="preserve">būs </w:t>
      </w:r>
      <w:r w:rsidR="00176186">
        <w:rPr>
          <w:rFonts w:eastAsiaTheme="minorEastAsia" w:cs="Times New Roman"/>
          <w:color w:val="000000"/>
          <w:sz w:val="24"/>
          <w:szCs w:val="24"/>
          <w:lang w:eastAsia="lv-LV"/>
        </w:rPr>
        <w:t>2025.</w:t>
      </w:r>
      <w:r w:rsidR="009D403D">
        <w:rPr>
          <w:rFonts w:eastAsiaTheme="minorEastAsia" w:cs="Times New Roman"/>
          <w:color w:val="000000"/>
          <w:sz w:val="24"/>
          <w:szCs w:val="24"/>
          <w:lang w:eastAsia="lv-LV"/>
        </w:rPr>
        <w:t xml:space="preserve"> </w:t>
      </w:r>
      <w:r w:rsidR="00176186">
        <w:rPr>
          <w:rFonts w:eastAsiaTheme="minorEastAsia" w:cs="Times New Roman"/>
          <w:color w:val="000000"/>
          <w:sz w:val="24"/>
          <w:szCs w:val="24"/>
          <w:lang w:eastAsia="lv-LV"/>
        </w:rPr>
        <w:t>gada janvāris.</w:t>
      </w:r>
      <w:r w:rsidR="00C539E0">
        <w:rPr>
          <w:rFonts w:eastAsiaTheme="minorEastAsia" w:cs="Times New Roman"/>
          <w:color w:val="000000"/>
          <w:sz w:val="24"/>
          <w:szCs w:val="24"/>
          <w:lang w:eastAsia="lv-LV"/>
        </w:rPr>
        <w:t xml:space="preserve"> </w:t>
      </w:r>
    </w:p>
    <w:p w14:paraId="3F2F41AB" w14:textId="57BD0009" w:rsidR="00DB7E6E" w:rsidRDefault="00041A92" w:rsidP="00911792">
      <w:pPr>
        <w:numPr>
          <w:ilvl w:val="0"/>
          <w:numId w:val="19"/>
        </w:numPr>
        <w:spacing w:after="0" w:line="240" w:lineRule="auto"/>
        <w:contextualSpacing/>
        <w:jc w:val="both"/>
        <w:rPr>
          <w:rFonts w:eastAsiaTheme="minorEastAsia" w:cs="Times New Roman"/>
          <w:color w:val="000000"/>
          <w:sz w:val="24"/>
          <w:szCs w:val="24"/>
          <w:lang w:eastAsia="lv-LV"/>
        </w:rPr>
      </w:pPr>
      <w:r>
        <w:rPr>
          <w:rFonts w:eastAsiaTheme="minorEastAsia" w:cs="Times New Roman"/>
          <w:color w:val="000000"/>
          <w:sz w:val="24"/>
          <w:szCs w:val="24"/>
          <w:lang w:eastAsia="lv-LV"/>
        </w:rPr>
        <w:t>Būvniecības līguma</w:t>
      </w:r>
      <w:r w:rsidR="001269D8">
        <w:rPr>
          <w:rFonts w:eastAsiaTheme="minorEastAsia" w:cs="Times New Roman"/>
          <w:color w:val="000000"/>
          <w:sz w:val="24"/>
          <w:szCs w:val="24"/>
          <w:lang w:eastAsia="lv-LV"/>
        </w:rPr>
        <w:t xml:space="preserve"> darbu turpmākās kārtas</w:t>
      </w:r>
      <w:r w:rsidR="005A4986">
        <w:rPr>
          <w:rFonts w:eastAsiaTheme="minorEastAsia" w:cs="Times New Roman"/>
          <w:color w:val="000000"/>
          <w:sz w:val="24"/>
          <w:szCs w:val="24"/>
          <w:lang w:eastAsia="lv-LV"/>
        </w:rPr>
        <w:t xml:space="preserve"> tiks pieteiktas nākamo CEF uzsaukumu ietvaros</w:t>
      </w:r>
      <w:r w:rsidR="007A4736">
        <w:rPr>
          <w:rFonts w:eastAsiaTheme="minorEastAsia" w:cs="Times New Roman"/>
          <w:color w:val="000000"/>
          <w:sz w:val="24"/>
          <w:szCs w:val="24"/>
          <w:lang w:eastAsia="lv-LV"/>
        </w:rPr>
        <w:t>.</w:t>
      </w:r>
    </w:p>
    <w:p w14:paraId="1C0AA922" w14:textId="44CA7F95" w:rsidR="00546C55" w:rsidRPr="00546C55" w:rsidRDefault="00546C55" w:rsidP="00056AFE">
      <w:pPr>
        <w:tabs>
          <w:tab w:val="left" w:pos="567"/>
        </w:tabs>
        <w:spacing w:after="0" w:line="240" w:lineRule="auto"/>
        <w:contextualSpacing/>
        <w:jc w:val="both"/>
        <w:rPr>
          <w:rFonts w:eastAsia="Times New Roman" w:cs="Times New Roman"/>
          <w:sz w:val="24"/>
          <w:szCs w:val="24"/>
        </w:rPr>
      </w:pPr>
      <w:r>
        <w:rPr>
          <w:sz w:val="24"/>
          <w:szCs w:val="24"/>
        </w:rPr>
        <w:tab/>
      </w:r>
      <w:r w:rsidRPr="00546C55">
        <w:rPr>
          <w:sz w:val="24"/>
          <w:szCs w:val="24"/>
        </w:rPr>
        <w:t>Esošā Eiropas Savienības daudzgadu budžeta (turpmāk – MFF) ietvaros vēl iespējami CEF11 līdz CEF</w:t>
      </w:r>
      <w:r w:rsidR="00A2124B">
        <w:rPr>
          <w:sz w:val="24"/>
          <w:szCs w:val="24"/>
        </w:rPr>
        <w:t xml:space="preserve"> </w:t>
      </w:r>
      <w:r w:rsidRPr="00546C55">
        <w:rPr>
          <w:sz w:val="24"/>
          <w:szCs w:val="24"/>
        </w:rPr>
        <w:t xml:space="preserve">13 projektu uzsaukumi, kuru prognozējamie apjomi būs minimāli – Latvijas finansējuma daļa labākajā gadījumā varētu būt 100 miljoni </w:t>
      </w:r>
      <w:r w:rsidR="002C5510" w:rsidRPr="002C5510">
        <w:rPr>
          <w:i/>
          <w:sz w:val="24"/>
          <w:szCs w:val="24"/>
        </w:rPr>
        <w:t>euro</w:t>
      </w:r>
      <w:r w:rsidR="00DB11B4">
        <w:rPr>
          <w:sz w:val="24"/>
          <w:szCs w:val="24"/>
        </w:rPr>
        <w:t xml:space="preserve"> </w:t>
      </w:r>
      <w:r w:rsidRPr="00546C55">
        <w:rPr>
          <w:sz w:val="24"/>
          <w:szCs w:val="24"/>
        </w:rPr>
        <w:t xml:space="preserve">gadā. Tādejādi, līdz nākošā MFF perioda sākumam, Latvija </w:t>
      </w:r>
      <w:r w:rsidR="006D16DD">
        <w:rPr>
          <w:sz w:val="24"/>
          <w:szCs w:val="24"/>
        </w:rPr>
        <w:t>labākā iznākuma rezultātā</w:t>
      </w:r>
      <w:r w:rsidR="006D16DD" w:rsidRPr="00546C55">
        <w:rPr>
          <w:sz w:val="24"/>
          <w:szCs w:val="24"/>
        </w:rPr>
        <w:t xml:space="preserve"> </w:t>
      </w:r>
      <w:r w:rsidRPr="00546C55">
        <w:rPr>
          <w:sz w:val="24"/>
          <w:szCs w:val="24"/>
        </w:rPr>
        <w:t xml:space="preserve">būs saņēmusi 1,9 miljardu </w:t>
      </w:r>
      <w:r w:rsidR="002C5510" w:rsidRPr="002C5510">
        <w:rPr>
          <w:i/>
          <w:iCs/>
          <w:sz w:val="24"/>
          <w:szCs w:val="24"/>
        </w:rPr>
        <w:t>euro</w:t>
      </w:r>
      <w:r w:rsidR="00DB11B4" w:rsidRPr="00546C55">
        <w:rPr>
          <w:i/>
          <w:sz w:val="24"/>
          <w:szCs w:val="24"/>
        </w:rPr>
        <w:t xml:space="preserve"> </w:t>
      </w:r>
      <w:r w:rsidRPr="00546C55">
        <w:rPr>
          <w:sz w:val="24"/>
          <w:szCs w:val="24"/>
        </w:rPr>
        <w:t xml:space="preserve">finansējumu, sliktākā </w:t>
      </w:r>
      <w:r w:rsidR="006D16DD">
        <w:rPr>
          <w:sz w:val="24"/>
          <w:szCs w:val="24"/>
        </w:rPr>
        <w:lastRenderedPageBreak/>
        <w:t>iznākuma rezultātā</w:t>
      </w:r>
      <w:r w:rsidRPr="00546C55">
        <w:rPr>
          <w:sz w:val="24"/>
          <w:szCs w:val="24"/>
        </w:rPr>
        <w:t xml:space="preserve"> – 1,2 miljardus </w:t>
      </w:r>
      <w:r w:rsidR="002C5510" w:rsidRPr="002C5510">
        <w:rPr>
          <w:i/>
          <w:iCs/>
          <w:sz w:val="24"/>
          <w:szCs w:val="24"/>
        </w:rPr>
        <w:t>euro</w:t>
      </w:r>
      <w:r w:rsidRPr="00546C55">
        <w:rPr>
          <w:sz w:val="24"/>
          <w:szCs w:val="24"/>
        </w:rPr>
        <w:t xml:space="preserve">. </w:t>
      </w:r>
      <w:r w:rsidR="3C01099B" w:rsidRPr="00A64683">
        <w:rPr>
          <w:rFonts w:eastAsia="Times New Roman" w:cs="Times New Roman"/>
          <w:sz w:val="24"/>
          <w:szCs w:val="24"/>
        </w:rPr>
        <w:t>Jāatzīmē, ka minētā summa attiecas uz visu Rail Baltica projektu nevis tikai uz pamattrases būvniecības darbiem.</w:t>
      </w:r>
    </w:p>
    <w:p w14:paraId="60074DF9" w14:textId="71B5FF4B" w:rsidR="00546C55" w:rsidRPr="00546C55" w:rsidRDefault="00546C55" w:rsidP="00056AFE">
      <w:pPr>
        <w:tabs>
          <w:tab w:val="left" w:pos="567"/>
        </w:tabs>
        <w:spacing w:after="0" w:line="240" w:lineRule="auto"/>
        <w:contextualSpacing/>
        <w:jc w:val="both"/>
      </w:pPr>
      <w:r w:rsidRPr="00546C55">
        <w:rPr>
          <w:sz w:val="24"/>
          <w:szCs w:val="24"/>
        </w:rPr>
        <w:tab/>
      </w:r>
      <w:r w:rsidR="3E9191EE" w:rsidRPr="00546C55">
        <w:rPr>
          <w:sz w:val="24"/>
          <w:szCs w:val="24"/>
        </w:rPr>
        <w:t>MFF 2021.</w:t>
      </w:r>
      <w:r w:rsidR="00D515F1">
        <w:rPr>
          <w:sz w:val="24"/>
          <w:szCs w:val="24"/>
        </w:rPr>
        <w:t xml:space="preserve"> – </w:t>
      </w:r>
      <w:r w:rsidR="3E9191EE" w:rsidRPr="00546C55">
        <w:rPr>
          <w:sz w:val="24"/>
          <w:szCs w:val="24"/>
        </w:rPr>
        <w:t>2027. sarunu laikā Latvijai izdevās panākt vēlamo finansējuma piešķīrumu prioritārajām  ES budžeta programmām, tai skaitā, Rail Baltica dzelzceļa transporta projektam ar mērķi iekļaut Baltijas valstis Eiropas dzelzceļ</w:t>
      </w:r>
      <w:r w:rsidR="066CFDD3">
        <w:rPr>
          <w:sz w:val="24"/>
          <w:szCs w:val="24"/>
        </w:rPr>
        <w:t>a</w:t>
      </w:r>
      <w:r w:rsidR="3E9191EE" w:rsidRPr="00546C55">
        <w:rPr>
          <w:sz w:val="24"/>
          <w:szCs w:val="24"/>
        </w:rPr>
        <w:t xml:space="preserve"> tīklā. Vienlaikus, ņemot vērā projekta un tai skaitā, šī līguma izmaksas, arī nākamā MFF </w:t>
      </w:r>
      <w:r w:rsidR="001C6E7F">
        <w:rPr>
          <w:sz w:val="24"/>
          <w:szCs w:val="24"/>
        </w:rPr>
        <w:t>pēc 2027. gada</w:t>
      </w:r>
      <w:r w:rsidR="3E9191EE" w:rsidRPr="00546C55">
        <w:rPr>
          <w:sz w:val="24"/>
          <w:szCs w:val="24"/>
        </w:rPr>
        <w:t xml:space="preserve"> sagatavošanas ietvaros nepieciešams nodrošināt aktīvu Rail Baltica projekta interešu pārstāvību Eiropas </w:t>
      </w:r>
      <w:r w:rsidR="7429FB29">
        <w:rPr>
          <w:sz w:val="24"/>
          <w:szCs w:val="24"/>
        </w:rPr>
        <w:t>Savienības institūcijās</w:t>
      </w:r>
      <w:r w:rsidR="3E9191EE" w:rsidRPr="00546C55">
        <w:rPr>
          <w:sz w:val="24"/>
          <w:szCs w:val="24"/>
        </w:rPr>
        <w:t>, tādēļ Satiksmes ministrija aktīvi līdzdarbosies nacionālās pozīcijas sagatavošanā finansējuma piešķīruma palielināšanai un Rail Baltica projekta ietveršanai prioritārā ES budžeta programmā.</w:t>
      </w:r>
    </w:p>
    <w:p w14:paraId="13473462" w14:textId="6E0FC21A" w:rsidR="00546C55" w:rsidRDefault="00546C55" w:rsidP="00056AFE">
      <w:pPr>
        <w:tabs>
          <w:tab w:val="left" w:pos="567"/>
        </w:tabs>
        <w:spacing w:after="0" w:line="240" w:lineRule="auto"/>
        <w:contextualSpacing/>
        <w:jc w:val="both"/>
        <w:rPr>
          <w:rFonts w:eastAsia="Times New Roman" w:cs="Times New Roman"/>
          <w:sz w:val="24"/>
          <w:szCs w:val="24"/>
          <w:lang w:val="lv"/>
        </w:rPr>
      </w:pPr>
      <w:r w:rsidRPr="00E478A7">
        <w:rPr>
          <w:sz w:val="24"/>
          <w:szCs w:val="24"/>
        </w:rPr>
        <w:tab/>
      </w:r>
      <w:r w:rsidR="18DD02BD" w:rsidRPr="00E478A7">
        <w:rPr>
          <w:sz w:val="24"/>
          <w:szCs w:val="24"/>
        </w:rPr>
        <w:t xml:space="preserve">Nolūkā nodrošināt būvdarbu norisi atbilstoši būvniecības loģikai un maksimālajam iespējamajam tempam, kā arī </w:t>
      </w:r>
      <w:r w:rsidR="5A6A4683">
        <w:rPr>
          <w:sz w:val="24"/>
          <w:szCs w:val="24"/>
        </w:rPr>
        <w:t>apzinoties</w:t>
      </w:r>
      <w:r w:rsidR="18DD02BD" w:rsidRPr="00E478A7">
        <w:rPr>
          <w:sz w:val="24"/>
          <w:szCs w:val="24"/>
        </w:rPr>
        <w:t xml:space="preserve"> </w:t>
      </w:r>
      <w:r w:rsidR="18DD02BD" w:rsidRPr="00E478A7">
        <w:rPr>
          <w:rFonts w:eastAsia="Times New Roman" w:cs="Times New Roman"/>
          <w:sz w:val="24"/>
          <w:szCs w:val="24"/>
          <w:lang w:val="lv"/>
        </w:rPr>
        <w:t xml:space="preserve">TEN-T regulā noteikto termiņu – 2030. gadu –  </w:t>
      </w:r>
      <w:r w:rsidR="3708C997">
        <w:rPr>
          <w:rFonts w:eastAsia="Times New Roman" w:cs="Times New Roman"/>
          <w:sz w:val="24"/>
          <w:szCs w:val="24"/>
          <w:lang w:val="lv"/>
        </w:rPr>
        <w:t xml:space="preserve">TEN-T </w:t>
      </w:r>
      <w:r w:rsidR="18DD02BD" w:rsidRPr="00E478A7">
        <w:rPr>
          <w:rFonts w:eastAsia="Times New Roman" w:cs="Times New Roman"/>
          <w:sz w:val="24"/>
          <w:szCs w:val="24"/>
          <w:lang w:val="lv"/>
        </w:rPr>
        <w:t>pamattīkla koridoru pabeigšanai, Satiksmes ministrija, pamatojoties uz Ministru kabineta ar Rail Baltica projekta īstenošanu saistīto starpnozaru jautājumu risināšanas tematiskās komitejas 2023. gada 7. jūlija sēdes Nr.</w:t>
      </w:r>
      <w:r w:rsidR="6D683564">
        <w:rPr>
          <w:rFonts w:eastAsia="Times New Roman" w:cs="Times New Roman"/>
          <w:sz w:val="24"/>
          <w:szCs w:val="24"/>
          <w:lang w:val="lv"/>
        </w:rPr>
        <w:t xml:space="preserve"> </w:t>
      </w:r>
      <w:r w:rsidR="18DD02BD" w:rsidRPr="00E478A7">
        <w:rPr>
          <w:rFonts w:eastAsia="Times New Roman" w:cs="Times New Roman"/>
          <w:sz w:val="24"/>
          <w:szCs w:val="24"/>
          <w:lang w:val="lv"/>
        </w:rPr>
        <w:t>2 protokola 2. un 3. punktu</w:t>
      </w:r>
      <w:r w:rsidRPr="007C382D">
        <w:rPr>
          <w:rStyle w:val="FootnoteReference"/>
          <w:rFonts w:eastAsia="Times New Roman" w:cs="Times New Roman"/>
          <w:sz w:val="24"/>
          <w:szCs w:val="24"/>
          <w:lang w:val="lv"/>
        </w:rPr>
        <w:footnoteReference w:id="13"/>
      </w:r>
      <w:r w:rsidR="18DD02BD" w:rsidRPr="00E478A7">
        <w:rPr>
          <w:rFonts w:eastAsia="Times New Roman" w:cs="Times New Roman"/>
          <w:sz w:val="24"/>
          <w:szCs w:val="24"/>
          <w:lang w:val="lv"/>
        </w:rPr>
        <w:t xml:space="preserve">,  sadarbībā ar kompetentajām iestādēm </w:t>
      </w:r>
      <w:r w:rsidR="1C191F6B">
        <w:rPr>
          <w:rFonts w:eastAsia="Times New Roman" w:cs="Times New Roman"/>
          <w:sz w:val="24"/>
          <w:szCs w:val="24"/>
          <w:lang w:val="lv"/>
        </w:rPr>
        <w:t xml:space="preserve">strādā, lai </w:t>
      </w:r>
      <w:r w:rsidR="6662248F">
        <w:rPr>
          <w:rFonts w:eastAsia="Times New Roman" w:cs="Times New Roman"/>
          <w:sz w:val="24"/>
          <w:szCs w:val="24"/>
          <w:lang w:val="lv"/>
        </w:rPr>
        <w:t>sagatavotu</w:t>
      </w:r>
      <w:r w:rsidR="1C191F6B">
        <w:rPr>
          <w:rFonts w:eastAsia="Times New Roman" w:cs="Times New Roman"/>
          <w:sz w:val="24"/>
          <w:szCs w:val="24"/>
          <w:lang w:val="lv"/>
        </w:rPr>
        <w:t xml:space="preserve"> </w:t>
      </w:r>
      <w:r w:rsidR="18DD02BD" w:rsidRPr="00E478A7">
        <w:rPr>
          <w:rFonts w:eastAsia="Times New Roman" w:cs="Times New Roman"/>
          <w:sz w:val="24"/>
          <w:szCs w:val="24"/>
          <w:lang w:val="lv"/>
        </w:rPr>
        <w:t xml:space="preserve"> un ievies</w:t>
      </w:r>
      <w:r w:rsidR="1C191F6B">
        <w:rPr>
          <w:rFonts w:eastAsia="Times New Roman" w:cs="Times New Roman"/>
          <w:sz w:val="24"/>
          <w:szCs w:val="24"/>
          <w:lang w:val="lv"/>
        </w:rPr>
        <w:t xml:space="preserve">tu </w:t>
      </w:r>
      <w:r w:rsidR="18DD02BD" w:rsidRPr="00E478A7">
        <w:rPr>
          <w:rFonts w:eastAsia="Times New Roman" w:cs="Times New Roman"/>
          <w:sz w:val="24"/>
          <w:szCs w:val="24"/>
          <w:lang w:val="lv"/>
        </w:rPr>
        <w:t>Rail Baltica projekta ilgtermiņa finansēšanas modeli (</w:t>
      </w:r>
      <w:r w:rsidR="18DD02BD" w:rsidRPr="638FD9FE">
        <w:rPr>
          <w:rFonts w:eastAsia="Times New Roman" w:cs="Times New Roman"/>
          <w:i/>
          <w:iCs/>
          <w:sz w:val="24"/>
          <w:szCs w:val="24"/>
          <w:lang w:val="lv"/>
        </w:rPr>
        <w:t>Bridge Financing</w:t>
      </w:r>
      <w:r w:rsidR="18DD02BD" w:rsidRPr="00E478A7">
        <w:rPr>
          <w:rFonts w:eastAsia="Times New Roman" w:cs="Times New Roman"/>
          <w:sz w:val="24"/>
          <w:szCs w:val="24"/>
          <w:lang w:val="lv"/>
        </w:rPr>
        <w:t xml:space="preserve"> </w:t>
      </w:r>
      <w:r w:rsidR="18DD02BD" w:rsidRPr="638FD9FE">
        <w:rPr>
          <w:rFonts w:eastAsia="Times New Roman" w:cs="Times New Roman"/>
          <w:i/>
          <w:iCs/>
          <w:sz w:val="24"/>
          <w:szCs w:val="24"/>
          <w:lang w:val="lv"/>
        </w:rPr>
        <w:t>Model</w:t>
      </w:r>
      <w:r w:rsidR="18DD02BD" w:rsidRPr="00E478A7">
        <w:rPr>
          <w:rFonts w:eastAsia="Times New Roman" w:cs="Times New Roman"/>
          <w:sz w:val="24"/>
          <w:szCs w:val="24"/>
          <w:lang w:val="lv"/>
        </w:rPr>
        <w:t>). Jauna finansēšanas modeļa nepieciešamība ir saistīta ar pieejamā finansējuma sadrumstalotību un neparedzamību, kas liedz nodrošināt pilnvērtīgu projekta ilgtermiņa plānošanu, kā arī projekta pieteikumos uzrādīt CINEA piesakāmo aktivitāšu gatavību (</w:t>
      </w:r>
      <w:r w:rsidR="18DD02BD" w:rsidRPr="638FD9FE">
        <w:rPr>
          <w:rFonts w:eastAsia="Times New Roman" w:cs="Times New Roman"/>
          <w:i/>
          <w:iCs/>
          <w:sz w:val="24"/>
          <w:szCs w:val="24"/>
          <w:lang w:val="lv"/>
        </w:rPr>
        <w:t>maturity</w:t>
      </w:r>
      <w:r w:rsidR="18DD02BD" w:rsidRPr="00E478A7">
        <w:rPr>
          <w:rFonts w:eastAsia="Times New Roman" w:cs="Times New Roman"/>
          <w:sz w:val="24"/>
          <w:szCs w:val="24"/>
          <w:lang w:val="lv"/>
        </w:rPr>
        <w:t xml:space="preserve">). Modeļa izstrādes mērķis ir nodrošināt priekšfinansējumu aktivitātēm, kas pieteiktas finansējumam EISI uzsaukumos, un apgrozāmos līdzekļus gada būvdarbu izmaksu apjomā, tas ir, aptuveni 300 miljoni </w:t>
      </w:r>
      <w:r w:rsidR="002C5510" w:rsidRPr="002C5510">
        <w:rPr>
          <w:i/>
          <w:sz w:val="24"/>
          <w:szCs w:val="24"/>
        </w:rPr>
        <w:t>euro</w:t>
      </w:r>
      <w:r w:rsidR="76552D68" w:rsidRPr="638FD9FE">
        <w:rPr>
          <w:rFonts w:eastAsia="Times New Roman" w:cs="Times New Roman"/>
          <w:i/>
          <w:iCs/>
          <w:sz w:val="24"/>
          <w:szCs w:val="24"/>
          <w:lang w:val="lv"/>
        </w:rPr>
        <w:t xml:space="preserve"> </w:t>
      </w:r>
      <w:r w:rsidR="18DD02BD" w:rsidRPr="00E478A7">
        <w:rPr>
          <w:rFonts w:eastAsia="Times New Roman" w:cs="Times New Roman"/>
          <w:sz w:val="24"/>
          <w:szCs w:val="24"/>
          <w:lang w:val="lv"/>
        </w:rPr>
        <w:t xml:space="preserve">gadā. </w:t>
      </w:r>
    </w:p>
    <w:p w14:paraId="6A6E8DC0" w14:textId="1D1AD543" w:rsidR="00B27082" w:rsidRDefault="00B27082" w:rsidP="00056AFE">
      <w:pPr>
        <w:tabs>
          <w:tab w:val="left" w:pos="567"/>
        </w:tabs>
        <w:spacing w:after="0" w:line="240" w:lineRule="auto"/>
        <w:contextualSpacing/>
        <w:jc w:val="both"/>
        <w:rPr>
          <w:rFonts w:eastAsia="Times New Roman" w:cs="Times New Roman"/>
          <w:sz w:val="24"/>
          <w:szCs w:val="24"/>
          <w:lang w:val="lv"/>
        </w:rPr>
      </w:pPr>
      <w:r>
        <w:rPr>
          <w:rFonts w:eastAsia="Times New Roman" w:cs="Times New Roman"/>
          <w:sz w:val="24"/>
          <w:szCs w:val="24"/>
          <w:lang w:val="lv"/>
        </w:rPr>
        <w:tab/>
        <w:t xml:space="preserve">Ņemot vērā minēto, vēršam uzmanību, ka </w:t>
      </w:r>
      <w:r w:rsidR="00FC4EF8">
        <w:rPr>
          <w:rFonts w:eastAsia="Times New Roman" w:cs="Times New Roman"/>
          <w:sz w:val="24"/>
          <w:szCs w:val="24"/>
          <w:lang w:val="lv"/>
        </w:rPr>
        <w:t xml:space="preserve">projekta ilgtermiņa finansēšanas modeļa izstrāde un ieviešana nepieciešama arī tādēļ, lai </w:t>
      </w:r>
      <w:r w:rsidR="003300D4">
        <w:rPr>
          <w:rFonts w:eastAsia="Times New Roman" w:cs="Times New Roman"/>
          <w:sz w:val="24"/>
          <w:szCs w:val="24"/>
          <w:lang w:val="lv"/>
        </w:rPr>
        <w:t xml:space="preserve">pēc iespējas izvairītos no </w:t>
      </w:r>
      <w:r w:rsidR="00B15B48">
        <w:rPr>
          <w:rFonts w:eastAsia="Times New Roman" w:cs="Times New Roman"/>
          <w:sz w:val="24"/>
          <w:szCs w:val="24"/>
          <w:lang w:val="lv"/>
        </w:rPr>
        <w:t xml:space="preserve">informatīvā ziņojuma 6. </w:t>
      </w:r>
      <w:r w:rsidR="007D5098">
        <w:rPr>
          <w:rFonts w:eastAsia="Times New Roman" w:cs="Times New Roman"/>
          <w:sz w:val="24"/>
          <w:szCs w:val="24"/>
          <w:lang w:val="lv"/>
        </w:rPr>
        <w:t>nodaļā</w:t>
      </w:r>
      <w:r w:rsidR="00B15B48">
        <w:rPr>
          <w:rFonts w:eastAsia="Times New Roman" w:cs="Times New Roman"/>
          <w:sz w:val="24"/>
          <w:szCs w:val="24"/>
          <w:lang w:val="lv"/>
        </w:rPr>
        <w:t xml:space="preserve"> aplūkotajiem iespējamajiem riskiem saistībā ar </w:t>
      </w:r>
      <w:r w:rsidR="00F87614">
        <w:rPr>
          <w:rFonts w:eastAsia="Times New Roman" w:cs="Times New Roman"/>
          <w:sz w:val="24"/>
          <w:szCs w:val="24"/>
          <w:lang w:val="lv"/>
        </w:rPr>
        <w:t xml:space="preserve">dīkstāvi, kas radusies </w:t>
      </w:r>
      <w:r w:rsidR="005E317A">
        <w:rPr>
          <w:rFonts w:eastAsia="Times New Roman" w:cs="Times New Roman"/>
          <w:sz w:val="24"/>
          <w:szCs w:val="24"/>
          <w:lang w:val="lv"/>
        </w:rPr>
        <w:t xml:space="preserve">darbu pasūtīšanas </w:t>
      </w:r>
      <w:r w:rsidR="00026C73">
        <w:rPr>
          <w:rFonts w:eastAsia="Times New Roman" w:cs="Times New Roman"/>
          <w:sz w:val="24"/>
          <w:szCs w:val="24"/>
          <w:lang w:val="lv"/>
        </w:rPr>
        <w:t>neiespējamības dēļ.</w:t>
      </w:r>
    </w:p>
    <w:p w14:paraId="4DB232A4" w14:textId="77777777" w:rsidR="00327930" w:rsidRDefault="00327930" w:rsidP="00056AFE">
      <w:pPr>
        <w:tabs>
          <w:tab w:val="left" w:pos="567"/>
        </w:tabs>
        <w:spacing w:after="0" w:line="240" w:lineRule="auto"/>
        <w:contextualSpacing/>
        <w:jc w:val="both"/>
        <w:rPr>
          <w:rFonts w:eastAsia="Times New Roman" w:cs="Times New Roman"/>
          <w:sz w:val="24"/>
          <w:szCs w:val="24"/>
          <w:lang w:val="lv"/>
        </w:rPr>
      </w:pPr>
    </w:p>
    <w:p w14:paraId="3B3D52CE" w14:textId="77777777" w:rsidR="00BE4890" w:rsidRDefault="00BE4890" w:rsidP="00911792">
      <w:pPr>
        <w:pStyle w:val="ListParagraph"/>
        <w:numPr>
          <w:ilvl w:val="1"/>
          <w:numId w:val="25"/>
        </w:numPr>
        <w:tabs>
          <w:tab w:val="left" w:pos="284"/>
        </w:tabs>
        <w:ind w:left="788" w:hanging="431"/>
        <w:jc w:val="center"/>
        <w:rPr>
          <w:rFonts w:eastAsiaTheme="minorEastAsia" w:cs="Times New Roman"/>
          <w:b/>
          <w:bCs/>
          <w:szCs w:val="24"/>
          <w:lang w:eastAsia="lv-LV"/>
        </w:rPr>
      </w:pPr>
      <w:r w:rsidRPr="00660EB3">
        <w:rPr>
          <w:rFonts w:eastAsiaTheme="minorEastAsia" w:cs="Times New Roman"/>
          <w:b/>
          <w:bCs/>
          <w:szCs w:val="24"/>
          <w:lang w:eastAsia="lv-LV"/>
        </w:rPr>
        <w:t>Agrīnā uzņēmēja iesaiste un būvprojektu izskatīšanas un būvdarbu sagatavošanas fāze</w:t>
      </w:r>
    </w:p>
    <w:p w14:paraId="40AD48C4" w14:textId="77777777" w:rsidR="00003E35" w:rsidRPr="00660EB3" w:rsidRDefault="00003E35" w:rsidP="00003E35">
      <w:pPr>
        <w:pStyle w:val="ListParagraph"/>
        <w:tabs>
          <w:tab w:val="left" w:pos="284"/>
        </w:tabs>
        <w:ind w:left="788"/>
        <w:rPr>
          <w:rFonts w:eastAsiaTheme="minorEastAsia" w:cs="Times New Roman"/>
          <w:b/>
          <w:bCs/>
          <w:szCs w:val="24"/>
          <w:lang w:eastAsia="lv-LV"/>
        </w:rPr>
      </w:pPr>
    </w:p>
    <w:p w14:paraId="3A9E8141" w14:textId="77777777" w:rsidR="00BE4890" w:rsidRPr="00660EB3" w:rsidRDefault="00BE4890"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Līgums paredz agrīno Uzņēmēja iesaisti (</w:t>
      </w:r>
      <w:r w:rsidRPr="00660EB3">
        <w:rPr>
          <w:rFonts w:eastAsiaTheme="minorEastAsia" w:cs="Times New Roman"/>
          <w:i/>
          <w:iCs/>
          <w:sz w:val="24"/>
          <w:szCs w:val="24"/>
          <w:lang w:eastAsia="lv-LV"/>
        </w:rPr>
        <w:t>Early Contractor Involvement</w:t>
      </w:r>
      <w:r w:rsidRPr="00660EB3">
        <w:rPr>
          <w:rFonts w:eastAsiaTheme="minorEastAsia" w:cs="Times New Roman"/>
          <w:sz w:val="24"/>
          <w:szCs w:val="24"/>
          <w:lang w:eastAsia="lv-LV"/>
        </w:rPr>
        <w:t xml:space="preserve">) </w:t>
      </w:r>
      <w:r w:rsidRPr="00660EB3">
        <w:rPr>
          <w:rFonts w:eastAsiaTheme="minorEastAsia" w:cs="Times New Roman"/>
          <w:i/>
          <w:iCs/>
          <w:sz w:val="24"/>
          <w:szCs w:val="24"/>
          <w:lang w:eastAsia="lv-LV"/>
        </w:rPr>
        <w:t>DRCP</w:t>
      </w:r>
      <w:r w:rsidRPr="00660EB3">
        <w:rPr>
          <w:rFonts w:eastAsiaTheme="minorEastAsia" w:cs="Times New Roman"/>
          <w:sz w:val="24"/>
          <w:szCs w:val="24"/>
          <w:lang w:eastAsia="lv-LV"/>
        </w:rPr>
        <w:t xml:space="preserve"> fāzē, kas ir vispārpieņemta un attiecināma prakse, kas ļauj identificēt riskus un sagatavot risku mazināšanas vai novēršanas pasākumus, kā arī veikt kļūdu labojumus un novērst strīdu rašanos būvdarbu laikā. Uzņēmējam jāsagatavo šādi ziņojumi par katru būvatļauju (posmu):</w:t>
      </w:r>
    </w:p>
    <w:p w14:paraId="6DD15AF9" w14:textId="77777777" w:rsidR="00BE4890" w:rsidRPr="00660EB3" w:rsidRDefault="00BE4890" w:rsidP="00911792">
      <w:pPr>
        <w:numPr>
          <w:ilvl w:val="0"/>
          <w:numId w:val="14"/>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Būvējamības ziņojums</w:t>
      </w:r>
      <w:r w:rsidRPr="00660EB3">
        <w:rPr>
          <w:rFonts w:eastAsiaTheme="minorEastAsia" w:cs="Times New Roman"/>
          <w:sz w:val="24"/>
          <w:szCs w:val="24"/>
          <w:lang w:eastAsia="lv-LV"/>
        </w:rPr>
        <w:t xml:space="preserve"> – ziņojums ar Uzņēmēja ierosinājumiem attiecībā uz darbu secību, darbu organizāciju, plānošanu un ieviešanu attiecībā uz katru būvprojektu. Mērķis: uzlabot darba organizāciju un sagatavošanu, lai darbs noritētu noteiktajos termiņos. </w:t>
      </w:r>
    </w:p>
    <w:p w14:paraId="139C03C9" w14:textId="77777777" w:rsidR="00BE4890" w:rsidRPr="00660EB3" w:rsidRDefault="00BE4890" w:rsidP="00911792">
      <w:pPr>
        <w:numPr>
          <w:ilvl w:val="0"/>
          <w:numId w:val="14"/>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lastRenderedPageBreak/>
        <w:t>Pārbaudes ziņojums</w:t>
      </w:r>
      <w:r w:rsidRPr="00660EB3">
        <w:rPr>
          <w:rFonts w:eastAsiaTheme="minorEastAsia" w:cs="Times New Roman"/>
          <w:sz w:val="24"/>
          <w:szCs w:val="24"/>
          <w:lang w:eastAsia="lv-LV"/>
        </w:rPr>
        <w:t xml:space="preserve"> – Uzņēmēja norādes uz tehniskām nepilnībām katrā no būvprojektiem. Mērķis: samazināt nepietiekošas kvalitātes būvprojektu risku, kā arī izmaiņu pieprasījumu skaitu, tādējādi samazinot papildus finansējuma nepieciešamību būvdarbu laikā, kā arī ietaupot laika resursus.</w:t>
      </w:r>
    </w:p>
    <w:p w14:paraId="6349FD46" w14:textId="6D9641F9" w:rsidR="00BE4890" w:rsidRPr="00660EB3" w:rsidRDefault="00BE4890" w:rsidP="00911792">
      <w:pPr>
        <w:numPr>
          <w:ilvl w:val="0"/>
          <w:numId w:val="14"/>
        </w:numPr>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Izmaksu optimizācijas ziņojums</w:t>
      </w:r>
      <w:r w:rsidRPr="00660EB3">
        <w:rPr>
          <w:rFonts w:eastAsiaTheme="minorEastAsia" w:cs="Times New Roman"/>
          <w:sz w:val="24"/>
          <w:szCs w:val="24"/>
          <w:lang w:eastAsia="lv-LV"/>
        </w:rPr>
        <w:t xml:space="preserve"> – Uzņēmēja ierosinājumi un to izmaksu</w:t>
      </w:r>
      <w:r w:rsidR="00D515F1">
        <w:rPr>
          <w:rFonts w:eastAsiaTheme="minorEastAsia" w:cs="Times New Roman"/>
          <w:sz w:val="24"/>
          <w:szCs w:val="24"/>
          <w:lang w:eastAsia="lv-LV"/>
        </w:rPr>
        <w:t xml:space="preserve"> – </w:t>
      </w:r>
      <w:r w:rsidRPr="00660EB3">
        <w:rPr>
          <w:rFonts w:eastAsiaTheme="minorEastAsia" w:cs="Times New Roman"/>
          <w:sz w:val="24"/>
          <w:szCs w:val="24"/>
          <w:lang w:eastAsia="lv-LV"/>
        </w:rPr>
        <w:t xml:space="preserve">ieguvumu analīze, lai uzlabotu risinājumus gan katrā būvatļaujā, gan iespēju robežās visas Rail Baltica dzelzceļa līnijas kontekstā, tādējādi samazinot gan būvatļaujas, gan visa projekta kapitālizmaksas. Mērķis: samazināt kapitālizmaksas, nesamazinot kvalitāti un nepalielinot ekspluatācijas izmaksas. Ņemot vērā pieredzējuša un respektabla Uzņēmēja iesaisti, ar augstu ticamību tiek paredzēts, ka tas ļaus organizētā veidā samazināt </w:t>
      </w:r>
      <w:r w:rsidR="00C843DE">
        <w:rPr>
          <w:rFonts w:eastAsiaTheme="minorEastAsia" w:cs="Times New Roman"/>
          <w:sz w:val="24"/>
          <w:szCs w:val="24"/>
          <w:lang w:eastAsia="lv-LV"/>
        </w:rPr>
        <w:t>RBR</w:t>
      </w:r>
      <w:r w:rsidRPr="00660EB3">
        <w:rPr>
          <w:rFonts w:eastAsiaTheme="minorEastAsia" w:cs="Times New Roman"/>
          <w:sz w:val="24"/>
          <w:szCs w:val="24"/>
          <w:lang w:eastAsia="lv-LV"/>
        </w:rPr>
        <w:t xml:space="preserve"> paredzētās kapitālizmaksas.</w:t>
      </w:r>
    </w:p>
    <w:p w14:paraId="3FC4E9E6" w14:textId="52CD69CF" w:rsidR="00447D3F" w:rsidRDefault="00BE4890"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ab/>
      </w:r>
      <w:r w:rsidR="70BDC9B6" w:rsidRPr="0595A900">
        <w:rPr>
          <w:rFonts w:eastAsiaTheme="minorEastAsia" w:cs="Times New Roman"/>
          <w:b/>
          <w:bCs/>
          <w:sz w:val="24"/>
          <w:szCs w:val="24"/>
          <w:lang w:eastAsia="lv-LV"/>
        </w:rPr>
        <w:t>Izmaksu optimizācijas darbības princips</w:t>
      </w:r>
      <w:r w:rsidR="70BDC9B6" w:rsidRPr="0595A900">
        <w:rPr>
          <w:rFonts w:eastAsiaTheme="minorEastAsia" w:cs="Times New Roman"/>
          <w:sz w:val="24"/>
          <w:szCs w:val="24"/>
          <w:lang w:eastAsia="lv-LV"/>
        </w:rPr>
        <w:t xml:space="preserve">: ja Uzņēmēja piedāvātais risinājums tiek apstiprināts no Inženiera un </w:t>
      </w:r>
      <w:r w:rsidR="2F7431F6" w:rsidRPr="0595A900">
        <w:rPr>
          <w:rFonts w:eastAsiaTheme="minorEastAsia" w:cs="Times New Roman"/>
          <w:sz w:val="24"/>
          <w:szCs w:val="24"/>
          <w:lang w:eastAsia="lv-LV"/>
        </w:rPr>
        <w:t>EDZL</w:t>
      </w:r>
      <w:r w:rsidR="4F0CA838" w:rsidRPr="0595A900">
        <w:rPr>
          <w:rFonts w:eastAsiaTheme="minorEastAsia" w:cs="Times New Roman"/>
          <w:sz w:val="24"/>
          <w:szCs w:val="24"/>
          <w:lang w:eastAsia="lv-LV"/>
        </w:rPr>
        <w:t xml:space="preserve"> </w:t>
      </w:r>
      <w:r w:rsidR="70BDC9B6" w:rsidRPr="0595A900">
        <w:rPr>
          <w:rFonts w:eastAsiaTheme="minorEastAsia" w:cs="Times New Roman"/>
          <w:sz w:val="24"/>
          <w:szCs w:val="24"/>
          <w:lang w:eastAsia="lv-LV"/>
        </w:rPr>
        <w:t xml:space="preserve">puses, projektētājam tiek uzdots uzsākt būvprojekta izmaiņu procedūru un ar to saistītās izmaksas tiek segtas no </w:t>
      </w:r>
      <w:r w:rsidR="2F7431F6" w:rsidRPr="0595A900">
        <w:rPr>
          <w:rFonts w:eastAsiaTheme="minorEastAsia" w:cs="Times New Roman"/>
          <w:sz w:val="24"/>
          <w:szCs w:val="24"/>
          <w:lang w:eastAsia="lv-LV"/>
        </w:rPr>
        <w:t>EDZL</w:t>
      </w:r>
      <w:r w:rsidR="70BDC9B6" w:rsidRPr="0595A900">
        <w:rPr>
          <w:rFonts w:eastAsiaTheme="minorEastAsia" w:cs="Times New Roman"/>
          <w:sz w:val="24"/>
          <w:szCs w:val="24"/>
          <w:lang w:eastAsia="lv-LV"/>
        </w:rPr>
        <w:t xml:space="preserve"> vai Uzņēmēja puses. Uzņēmējs saņem kompensāciju 30% apmērā no ietaupītās summas, bet Inženieris saņem kompensāciju 3% apmērā no ietaupītās summas saskaņā ar līgumā noteikto apmaksas mehānismu, tādējādi </w:t>
      </w:r>
      <w:r w:rsidR="2F7431F6" w:rsidRPr="0595A900">
        <w:rPr>
          <w:rFonts w:eastAsiaTheme="minorEastAsia" w:cs="Times New Roman"/>
          <w:sz w:val="24"/>
          <w:szCs w:val="24"/>
          <w:lang w:eastAsia="lv-LV"/>
        </w:rPr>
        <w:t>EDZL</w:t>
      </w:r>
      <w:r w:rsidR="70BDC9B6" w:rsidRPr="0595A900">
        <w:rPr>
          <w:rFonts w:eastAsiaTheme="minorEastAsia" w:cs="Times New Roman"/>
          <w:sz w:val="24"/>
          <w:szCs w:val="24"/>
          <w:lang w:eastAsia="lv-LV"/>
        </w:rPr>
        <w:t xml:space="preserve"> nodrošinot lielāko daļu no ietaupījuma, kas </w:t>
      </w:r>
      <w:r w:rsidR="471DF6C8" w:rsidRPr="0595A900">
        <w:rPr>
          <w:rFonts w:eastAsiaTheme="minorEastAsia" w:cs="Times New Roman"/>
          <w:sz w:val="24"/>
          <w:szCs w:val="24"/>
          <w:lang w:eastAsia="lv-LV"/>
        </w:rPr>
        <w:t xml:space="preserve">ir </w:t>
      </w:r>
      <w:r w:rsidR="70BDC9B6" w:rsidRPr="0595A900">
        <w:rPr>
          <w:rFonts w:eastAsiaTheme="minorEastAsia" w:cs="Times New Roman"/>
          <w:sz w:val="24"/>
          <w:szCs w:val="24"/>
          <w:lang w:eastAsia="lv-LV"/>
        </w:rPr>
        <w:t>67%.</w:t>
      </w:r>
      <w:r w:rsidR="77625D87" w:rsidRPr="0595A900">
        <w:rPr>
          <w:rFonts w:eastAsiaTheme="minorEastAsia" w:cs="Times New Roman"/>
          <w:sz w:val="24"/>
          <w:szCs w:val="24"/>
          <w:lang w:eastAsia="lv-LV"/>
        </w:rPr>
        <w:t xml:space="preserve"> </w:t>
      </w:r>
      <w:r w:rsidR="70BDC9B6" w:rsidRPr="0595A900">
        <w:rPr>
          <w:rFonts w:eastAsiaTheme="minorEastAsia" w:cs="Times New Roman"/>
          <w:sz w:val="24"/>
          <w:szCs w:val="24"/>
          <w:lang w:eastAsia="lv-LV"/>
        </w:rPr>
        <w:t>Augstāk minēto pieeju izstrādāja piesaistītie konsultanti “BrainTeam OÜ”, t.sk., tika izvērtēts finansējuma attiecināmības aspekts.</w:t>
      </w:r>
    </w:p>
    <w:p w14:paraId="26415A20" w14:textId="2D61058A" w:rsidR="004B434E" w:rsidRPr="00660EB3" w:rsidRDefault="004B434E" w:rsidP="6DA4D5AC">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210FDE44" w:rsidRPr="6DA4D5AC">
        <w:rPr>
          <w:rFonts w:eastAsiaTheme="minorEastAsia" w:cs="Times New Roman"/>
          <w:sz w:val="24"/>
          <w:szCs w:val="24"/>
          <w:lang w:eastAsia="lv-LV"/>
        </w:rPr>
        <w:t>Papildus a</w:t>
      </w:r>
      <w:r w:rsidR="309FCBB8" w:rsidRPr="6DA4D5AC">
        <w:rPr>
          <w:rFonts w:eastAsiaTheme="minorEastAsia" w:cs="Times New Roman"/>
          <w:sz w:val="24"/>
          <w:szCs w:val="24"/>
          <w:lang w:eastAsia="lv-LV"/>
        </w:rPr>
        <w:t xml:space="preserve">grīnās </w:t>
      </w:r>
      <w:r w:rsidR="2EA16429" w:rsidRPr="6DA4D5AC">
        <w:rPr>
          <w:rFonts w:eastAsiaTheme="minorEastAsia" w:cs="Times New Roman"/>
          <w:sz w:val="24"/>
          <w:szCs w:val="24"/>
          <w:lang w:eastAsia="lv-LV"/>
        </w:rPr>
        <w:t xml:space="preserve">uzņēmēja iesaistes </w:t>
      </w:r>
      <w:r w:rsidR="210FDE44" w:rsidRPr="6DA4D5AC">
        <w:rPr>
          <w:rFonts w:eastAsiaTheme="minorEastAsia" w:cs="Times New Roman"/>
          <w:sz w:val="24"/>
          <w:szCs w:val="24"/>
          <w:lang w:eastAsia="lv-LV"/>
        </w:rPr>
        <w:t>pieeja nodrošina, ka</w:t>
      </w:r>
      <w:r w:rsidR="2EA16429" w:rsidRPr="6DA4D5AC">
        <w:rPr>
          <w:rFonts w:eastAsiaTheme="minorEastAsia" w:cs="Times New Roman"/>
          <w:sz w:val="24"/>
          <w:szCs w:val="24"/>
          <w:lang w:eastAsia="lv-LV"/>
        </w:rPr>
        <w:t xml:space="preserve"> </w:t>
      </w:r>
      <w:r w:rsidR="2980F3B9" w:rsidRPr="6DA4D5AC">
        <w:rPr>
          <w:rFonts w:eastAsiaTheme="minorEastAsia" w:cs="Times New Roman"/>
          <w:sz w:val="24"/>
          <w:szCs w:val="24"/>
          <w:lang w:eastAsia="lv-LV"/>
        </w:rPr>
        <w:t xml:space="preserve">būvprojektu izstrādes ietvaros </w:t>
      </w:r>
      <w:r w:rsidR="4E0CEB85" w:rsidRPr="6DA4D5AC">
        <w:rPr>
          <w:rFonts w:eastAsiaTheme="minorEastAsia" w:cs="Times New Roman"/>
          <w:sz w:val="24"/>
          <w:szCs w:val="24"/>
          <w:lang w:eastAsia="lv-LV"/>
        </w:rPr>
        <w:t xml:space="preserve">tiks </w:t>
      </w:r>
      <w:r w:rsidR="210FDE44" w:rsidRPr="6DA4D5AC">
        <w:rPr>
          <w:rFonts w:eastAsiaTheme="minorEastAsia" w:cs="Times New Roman"/>
          <w:sz w:val="24"/>
          <w:szCs w:val="24"/>
          <w:lang w:eastAsia="lv-LV"/>
        </w:rPr>
        <w:t xml:space="preserve">veikta arī </w:t>
      </w:r>
      <w:r w:rsidR="50FD3E8D" w:rsidRPr="6DA4D5AC">
        <w:rPr>
          <w:rFonts w:eastAsiaTheme="minorEastAsia" w:cs="Times New Roman"/>
          <w:sz w:val="24"/>
          <w:szCs w:val="24"/>
          <w:lang w:eastAsia="lv-LV"/>
        </w:rPr>
        <w:t xml:space="preserve">Latvijas </w:t>
      </w:r>
      <w:r w:rsidR="3CA0F783" w:rsidRPr="6DA4D5AC">
        <w:rPr>
          <w:rFonts w:eastAsiaTheme="minorEastAsia" w:cs="Times New Roman"/>
          <w:sz w:val="24"/>
          <w:szCs w:val="24"/>
          <w:lang w:eastAsia="lv-LV"/>
        </w:rPr>
        <w:t xml:space="preserve">Rail Baltica pamattrases būvniecības </w:t>
      </w:r>
      <w:r w:rsidR="2796618B" w:rsidRPr="6DA4D5AC">
        <w:rPr>
          <w:rFonts w:eastAsiaTheme="minorEastAsia" w:cs="Times New Roman"/>
          <w:sz w:val="24"/>
          <w:szCs w:val="24"/>
          <w:lang w:eastAsia="lv-LV"/>
        </w:rPr>
        <w:t xml:space="preserve">salāgošana </w:t>
      </w:r>
      <w:r w:rsidR="611F285D" w:rsidRPr="6DA4D5AC">
        <w:rPr>
          <w:rFonts w:eastAsiaTheme="minorEastAsia" w:cs="Times New Roman"/>
          <w:sz w:val="24"/>
          <w:szCs w:val="24"/>
          <w:lang w:eastAsia="lv-LV"/>
        </w:rPr>
        <w:t xml:space="preserve">uz valstu robežām </w:t>
      </w:r>
      <w:r w:rsidR="2796618B" w:rsidRPr="6DA4D5AC">
        <w:rPr>
          <w:rFonts w:eastAsiaTheme="minorEastAsia" w:cs="Times New Roman"/>
          <w:sz w:val="24"/>
          <w:szCs w:val="24"/>
          <w:lang w:eastAsia="lv-LV"/>
        </w:rPr>
        <w:t>ar Lietuvas un Igaunijas izraudzītajiem būvdarbu veicējiem</w:t>
      </w:r>
      <w:r w:rsidR="611F285D" w:rsidRPr="6DA4D5AC">
        <w:rPr>
          <w:rFonts w:eastAsiaTheme="minorEastAsia" w:cs="Times New Roman"/>
          <w:sz w:val="24"/>
          <w:szCs w:val="24"/>
          <w:lang w:eastAsia="lv-LV"/>
        </w:rPr>
        <w:t>.</w:t>
      </w:r>
    </w:p>
    <w:p w14:paraId="3AAF363A" w14:textId="174F160A" w:rsidR="00351D56" w:rsidRPr="00660EB3" w:rsidRDefault="00351D56" w:rsidP="00911792">
      <w:pPr>
        <w:pStyle w:val="ListParagraph"/>
        <w:numPr>
          <w:ilvl w:val="0"/>
          <w:numId w:val="25"/>
        </w:numPr>
        <w:tabs>
          <w:tab w:val="left" w:pos="284"/>
        </w:tabs>
        <w:spacing w:before="120" w:after="120"/>
        <w:ind w:left="357" w:hanging="357"/>
        <w:contextualSpacing w:val="0"/>
        <w:jc w:val="center"/>
        <w:rPr>
          <w:rFonts w:eastAsiaTheme="minorEastAsia" w:cs="Times New Roman"/>
          <w:b/>
          <w:szCs w:val="24"/>
          <w:lang w:eastAsia="lv-LV"/>
        </w:rPr>
      </w:pPr>
      <w:r w:rsidRPr="00660EB3">
        <w:rPr>
          <w:rFonts w:eastAsiaTheme="minorEastAsia" w:cs="Times New Roman"/>
          <w:b/>
          <w:szCs w:val="24"/>
          <w:lang w:eastAsia="lv-LV"/>
        </w:rPr>
        <w:t>Ietvarlīguma pieeja un darbu pasūtīšanas (aktivēšanas) princips</w:t>
      </w:r>
    </w:p>
    <w:p w14:paraId="6EC02C34" w14:textId="2535D91F" w:rsidR="00351D56" w:rsidRPr="00660EB3" w:rsidRDefault="00351D56" w:rsidP="0595A90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5B6ADDAA" w:rsidRPr="0595A900">
        <w:rPr>
          <w:rFonts w:eastAsiaTheme="minorEastAsia" w:cs="Times New Roman"/>
          <w:sz w:val="24"/>
          <w:szCs w:val="24"/>
          <w:lang w:eastAsia="lv-LV"/>
        </w:rPr>
        <w:t xml:space="preserve">Ņemot vērā Rail Baltica projekta laika grafiku un aktuālo projekta izpildes statusu, līguma izpildei par piemērotu atzīta ietvarlīguma pieeja, kas pieļauj katru būvatļaujās iekļauto darbu atsevišķu pasūtīšanu. </w:t>
      </w:r>
      <w:r w:rsidR="4E3592CA" w:rsidRPr="0595A900">
        <w:rPr>
          <w:rFonts w:eastAsiaTheme="minorEastAsia" w:cs="Times New Roman"/>
          <w:sz w:val="24"/>
          <w:szCs w:val="24"/>
          <w:lang w:eastAsia="lv-LV"/>
        </w:rPr>
        <w:t xml:space="preserve">Būvdarbu iepirkuma īstenošana pirms projektēšanas darbu noslēguma ir pazīstama kā ECI vai </w:t>
      </w:r>
      <w:r w:rsidR="02781AFF" w:rsidRPr="0595A900">
        <w:rPr>
          <w:rFonts w:eastAsiaTheme="minorEastAsia" w:cs="Times New Roman"/>
          <w:sz w:val="24"/>
          <w:szCs w:val="24"/>
          <w:lang w:eastAsia="lv-LV"/>
        </w:rPr>
        <w:t>a</w:t>
      </w:r>
      <w:r w:rsidR="4E3592CA" w:rsidRPr="0595A900">
        <w:rPr>
          <w:rFonts w:eastAsiaTheme="minorEastAsia" w:cs="Times New Roman"/>
          <w:sz w:val="24"/>
          <w:szCs w:val="24"/>
          <w:lang w:eastAsia="lv-LV"/>
        </w:rPr>
        <w:t xml:space="preserve">grīnās </w:t>
      </w:r>
      <w:r w:rsidR="02781AFF" w:rsidRPr="0595A900">
        <w:rPr>
          <w:rFonts w:eastAsiaTheme="minorEastAsia" w:cs="Times New Roman"/>
          <w:sz w:val="24"/>
          <w:szCs w:val="24"/>
          <w:lang w:eastAsia="lv-LV"/>
        </w:rPr>
        <w:t>b</w:t>
      </w:r>
      <w:r w:rsidR="4E3592CA" w:rsidRPr="0595A900">
        <w:rPr>
          <w:rFonts w:eastAsiaTheme="minorEastAsia" w:cs="Times New Roman"/>
          <w:sz w:val="24"/>
          <w:szCs w:val="24"/>
          <w:lang w:eastAsia="lv-LV"/>
        </w:rPr>
        <w:t xml:space="preserve">ūvnieka </w:t>
      </w:r>
      <w:r w:rsidR="02781AFF" w:rsidRPr="0595A900">
        <w:rPr>
          <w:rFonts w:eastAsiaTheme="minorEastAsia" w:cs="Times New Roman"/>
          <w:sz w:val="24"/>
          <w:szCs w:val="24"/>
          <w:lang w:eastAsia="lv-LV"/>
        </w:rPr>
        <w:t>i</w:t>
      </w:r>
      <w:r w:rsidR="4E3592CA" w:rsidRPr="0595A900">
        <w:rPr>
          <w:rFonts w:eastAsiaTheme="minorEastAsia" w:cs="Times New Roman"/>
          <w:sz w:val="24"/>
          <w:szCs w:val="24"/>
          <w:lang w:eastAsia="lv-LV"/>
        </w:rPr>
        <w:t>esaistes pieeja. Jau 2020.</w:t>
      </w:r>
      <w:r w:rsidR="02781AFF" w:rsidRPr="0595A900">
        <w:rPr>
          <w:rFonts w:eastAsiaTheme="minorEastAsia" w:cs="Times New Roman"/>
          <w:sz w:val="24"/>
          <w:szCs w:val="24"/>
          <w:lang w:eastAsia="lv-LV"/>
        </w:rPr>
        <w:t xml:space="preserve"> </w:t>
      </w:r>
      <w:r w:rsidR="4E3592CA" w:rsidRPr="0595A900">
        <w:rPr>
          <w:rFonts w:eastAsiaTheme="minorEastAsia" w:cs="Times New Roman"/>
          <w:sz w:val="24"/>
          <w:szCs w:val="24"/>
          <w:lang w:eastAsia="lv-LV"/>
        </w:rPr>
        <w:t xml:space="preserve">gadā, analizējot iespējamos scenārijus projekta kavējumu mazināšanā, </w:t>
      </w:r>
      <w:r w:rsidR="51A48DD7" w:rsidRPr="0595A900">
        <w:rPr>
          <w:rFonts w:eastAsiaTheme="minorEastAsia" w:cs="Times New Roman"/>
          <w:sz w:val="24"/>
          <w:szCs w:val="24"/>
          <w:lang w:eastAsia="lv-LV"/>
        </w:rPr>
        <w:t>RBR</w:t>
      </w:r>
      <w:r w:rsidR="4E3592CA" w:rsidRPr="0595A900">
        <w:rPr>
          <w:rFonts w:eastAsiaTheme="minorEastAsia" w:cs="Times New Roman"/>
          <w:sz w:val="24"/>
          <w:szCs w:val="24"/>
          <w:lang w:eastAsia="lv-LV"/>
        </w:rPr>
        <w:t xml:space="preserve"> savā būvniecības stratēģijas izpētē piedāvāja ECI kā labāko iespējamo risinājumu, kas var ļaut palīdzēt ietaupīt </w:t>
      </w:r>
      <w:r w:rsidR="096C1765" w:rsidRPr="0595A900">
        <w:rPr>
          <w:rFonts w:eastAsiaTheme="minorEastAsia" w:cs="Times New Roman"/>
          <w:sz w:val="24"/>
          <w:szCs w:val="24"/>
          <w:lang w:eastAsia="lv-LV"/>
        </w:rPr>
        <w:t xml:space="preserve">laika resursus </w:t>
      </w:r>
      <w:r w:rsidR="4E3592CA" w:rsidRPr="0595A900">
        <w:rPr>
          <w:rFonts w:eastAsiaTheme="minorEastAsia" w:cs="Times New Roman"/>
          <w:sz w:val="24"/>
          <w:szCs w:val="24"/>
          <w:lang w:eastAsia="lv-LV"/>
        </w:rPr>
        <w:t xml:space="preserve">līdz pat pusotram gadam dažādās projekta ieviešanas fāzēs. </w:t>
      </w:r>
      <w:r w:rsidR="0882533E" w:rsidRPr="0595A900">
        <w:rPr>
          <w:rFonts w:eastAsiaTheme="minorEastAsia" w:cs="Times New Roman"/>
          <w:sz w:val="24"/>
          <w:szCs w:val="24"/>
          <w:lang w:eastAsia="lv-LV"/>
        </w:rPr>
        <w:t xml:space="preserve">ECI pieeja tika iestrādāta arī </w:t>
      </w:r>
      <w:r w:rsidR="0882533E" w:rsidRPr="0595A900">
        <w:rPr>
          <w:rFonts w:eastAsiaTheme="minorEastAsia" w:cs="Times New Roman"/>
          <w:i/>
          <w:iCs/>
          <w:sz w:val="24"/>
          <w:szCs w:val="24"/>
          <w:lang w:eastAsia="lv-LV"/>
        </w:rPr>
        <w:t>Rail Baltica Delivery Program</w:t>
      </w:r>
      <w:r w:rsidR="6B029EEF" w:rsidRPr="0595A900">
        <w:rPr>
          <w:rFonts w:eastAsiaTheme="minorEastAsia" w:cs="Times New Roman"/>
          <w:i/>
          <w:iCs/>
          <w:sz w:val="24"/>
          <w:szCs w:val="24"/>
          <w:lang w:eastAsia="lv-LV"/>
        </w:rPr>
        <w:t>me</w:t>
      </w:r>
      <w:r w:rsidR="0882533E" w:rsidRPr="0595A900">
        <w:rPr>
          <w:rFonts w:eastAsiaTheme="minorEastAsia" w:cs="Times New Roman"/>
          <w:i/>
          <w:iCs/>
          <w:sz w:val="24"/>
          <w:szCs w:val="24"/>
          <w:lang w:eastAsia="lv-LV"/>
        </w:rPr>
        <w:t xml:space="preserve"> 2030</w:t>
      </w:r>
      <w:r w:rsidR="0882533E" w:rsidRPr="0595A900">
        <w:rPr>
          <w:rFonts w:eastAsiaTheme="minorEastAsia" w:cs="Times New Roman"/>
          <w:sz w:val="24"/>
          <w:szCs w:val="24"/>
          <w:lang w:eastAsia="lv-LV"/>
        </w:rPr>
        <w:t>, kur</w:t>
      </w:r>
      <w:r w:rsidR="391535F2" w:rsidRPr="0595A900">
        <w:rPr>
          <w:rFonts w:eastAsiaTheme="minorEastAsia" w:cs="Times New Roman"/>
          <w:sz w:val="24"/>
          <w:szCs w:val="24"/>
          <w:lang w:eastAsia="lv-LV"/>
        </w:rPr>
        <w:t xml:space="preserve">ā </w:t>
      </w:r>
      <w:r w:rsidR="51A48DD7" w:rsidRPr="0595A900">
        <w:rPr>
          <w:rFonts w:eastAsiaTheme="minorEastAsia" w:cs="Times New Roman"/>
          <w:sz w:val="24"/>
          <w:szCs w:val="24"/>
          <w:lang w:eastAsia="lv-LV"/>
        </w:rPr>
        <w:t>RBR</w:t>
      </w:r>
      <w:r w:rsidR="391535F2" w:rsidRPr="0595A900">
        <w:rPr>
          <w:rFonts w:eastAsiaTheme="minorEastAsia" w:cs="Times New Roman"/>
          <w:sz w:val="24"/>
          <w:szCs w:val="24"/>
          <w:lang w:eastAsia="lv-LV"/>
        </w:rPr>
        <w:t xml:space="preserve"> </w:t>
      </w:r>
      <w:r w:rsidR="0882533E" w:rsidRPr="0595A900">
        <w:rPr>
          <w:rFonts w:eastAsiaTheme="minorEastAsia" w:cs="Times New Roman"/>
          <w:sz w:val="24"/>
          <w:szCs w:val="24"/>
          <w:lang w:eastAsia="lv-LV"/>
        </w:rPr>
        <w:t>sadarbībā ar Baltijas valstu ieviesējorganizācijam apstiprināja</w:t>
      </w:r>
      <w:r w:rsidR="391535F2" w:rsidRPr="0595A900">
        <w:rPr>
          <w:rFonts w:eastAsiaTheme="minorEastAsia" w:cs="Times New Roman"/>
          <w:sz w:val="24"/>
          <w:szCs w:val="24"/>
          <w:lang w:eastAsia="lv-LV"/>
        </w:rPr>
        <w:t xml:space="preserve">, ka </w:t>
      </w:r>
      <w:r w:rsidR="0882533E" w:rsidRPr="0595A900">
        <w:rPr>
          <w:rFonts w:eastAsiaTheme="minorEastAsia" w:cs="Times New Roman"/>
          <w:sz w:val="24"/>
          <w:szCs w:val="24"/>
          <w:lang w:eastAsia="lv-LV"/>
        </w:rPr>
        <w:t>bez izvēlētās ECI būvdarbu pieejas sasniegt projekta mērķus 2030</w:t>
      </w:r>
      <w:r w:rsidR="391535F2" w:rsidRPr="0595A900">
        <w:rPr>
          <w:rFonts w:eastAsiaTheme="minorEastAsia" w:cs="Times New Roman"/>
          <w:sz w:val="24"/>
          <w:szCs w:val="24"/>
          <w:lang w:eastAsia="lv-LV"/>
        </w:rPr>
        <w:t>.</w:t>
      </w:r>
      <w:r w:rsidR="0882533E" w:rsidRPr="0595A900">
        <w:rPr>
          <w:rFonts w:eastAsiaTheme="minorEastAsia" w:cs="Times New Roman"/>
          <w:sz w:val="24"/>
          <w:szCs w:val="24"/>
          <w:lang w:eastAsia="lv-LV"/>
        </w:rPr>
        <w:t xml:space="preserve"> gadā</w:t>
      </w:r>
      <w:r w:rsidR="4AC18C6B" w:rsidRPr="0595A900">
        <w:rPr>
          <w:rFonts w:eastAsiaTheme="minorEastAsia" w:cs="Times New Roman"/>
          <w:sz w:val="24"/>
          <w:szCs w:val="24"/>
          <w:lang w:eastAsia="lv-LV"/>
        </w:rPr>
        <w:t xml:space="preserve"> ar lielu varbūtību būtu neiespējami. </w:t>
      </w:r>
      <w:r w:rsidR="5B6ADDAA" w:rsidRPr="0595A900">
        <w:rPr>
          <w:rFonts w:eastAsiaTheme="minorEastAsia" w:cs="Times New Roman"/>
          <w:sz w:val="24"/>
          <w:szCs w:val="24"/>
          <w:lang w:eastAsia="lv-LV"/>
        </w:rPr>
        <w:t>Šādas pieejas īstenošanas kārtību noteic līgumā ietvertie aktivēšanas un saistību uzņemšanās noteikumi, kas ir daļa no administratīvajiem noteikumiem. Pirms šīs pieejas atzīšanas par piemērotāko tika veikta tirgus izpēte, izstrādāts ziņojums, kā arī saņemts Satiksmes ministrijas apstiprinājums attiecībā uz minēto stratēģiju u.c. līguma aspektiem.</w:t>
      </w:r>
    </w:p>
    <w:p w14:paraId="5D6CBEA0" w14:textId="77777777" w:rsidR="00351D56" w:rsidRPr="00660EB3" w:rsidRDefault="00351D56"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t>Aktivēšanas un saistību uzņemšanās noteikumu galvenais princips balstīts galveno būvdarbu uzsākšanas priekšnosacījumu pakāpeniskā pieejamībā:</w:t>
      </w:r>
    </w:p>
    <w:p w14:paraId="2FD9E428" w14:textId="77777777" w:rsidR="00351D56" w:rsidRPr="00660EB3" w:rsidRDefault="5B6ADDAA" w:rsidP="0595A900">
      <w:pPr>
        <w:numPr>
          <w:ilvl w:val="1"/>
          <w:numId w:val="15"/>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Būvprojekti tiks pabeigti pakāpeniski (būvatļauja pēc būvatļaujas);</w:t>
      </w:r>
    </w:p>
    <w:p w14:paraId="551298D0" w14:textId="77777777" w:rsidR="00351D56" w:rsidRPr="00660EB3" w:rsidRDefault="00351D56" w:rsidP="00911792">
      <w:pPr>
        <w:numPr>
          <w:ilvl w:val="1"/>
          <w:numId w:val="15"/>
        </w:numPr>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Zemju atsavināšana tiks pabeigta pakāpeniski;</w:t>
      </w:r>
    </w:p>
    <w:p w14:paraId="457D4BF0" w14:textId="77777777" w:rsidR="00351D56" w:rsidRPr="00660EB3" w:rsidRDefault="5B6ADDAA" w:rsidP="0595A900">
      <w:pPr>
        <w:numPr>
          <w:ilvl w:val="1"/>
          <w:numId w:val="15"/>
        </w:numPr>
        <w:spacing w:after="0" w:line="240" w:lineRule="auto"/>
        <w:contextualSpacing/>
        <w:jc w:val="both"/>
        <w:rPr>
          <w:rFonts w:eastAsiaTheme="minorEastAsia" w:cs="Times New Roman"/>
          <w:sz w:val="24"/>
          <w:szCs w:val="24"/>
          <w:lang w:eastAsia="lv-LV"/>
        </w:rPr>
      </w:pPr>
      <w:r w:rsidRPr="0595A900">
        <w:rPr>
          <w:rFonts w:eastAsiaTheme="minorEastAsia" w:cs="Times New Roman"/>
          <w:sz w:val="24"/>
          <w:szCs w:val="24"/>
          <w:lang w:eastAsia="lv-LV"/>
        </w:rPr>
        <w:t>Pieteikšanās CEF un valsts finansējumam notiek pakāpeniski (gada cikls).</w:t>
      </w:r>
    </w:p>
    <w:p w14:paraId="7063A67D" w14:textId="77777777" w:rsidR="00275EF0" w:rsidRDefault="00351D56" w:rsidP="00275EF0">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5B6ADDAA" w:rsidRPr="0595A900">
        <w:rPr>
          <w:rFonts w:eastAsiaTheme="minorEastAsia" w:cs="Times New Roman"/>
          <w:sz w:val="24"/>
          <w:szCs w:val="24"/>
          <w:lang w:eastAsia="lv-LV"/>
        </w:rPr>
        <w:t xml:space="preserve">Ievērojot šo principu, būvdarbi katrā no būvatļaujām var tik pasūtīti tikai tad, kad ir nodrošināta visu trīs augstākminēto priekšnosacījumu </w:t>
      </w:r>
      <w:r w:rsidR="4AB214B9" w:rsidRPr="0595A900">
        <w:rPr>
          <w:rFonts w:eastAsiaTheme="minorEastAsia" w:cs="Times New Roman"/>
          <w:sz w:val="24"/>
          <w:szCs w:val="24"/>
          <w:lang w:eastAsia="lv-LV"/>
        </w:rPr>
        <w:t xml:space="preserve">kumulatīva </w:t>
      </w:r>
      <w:r w:rsidR="347FDCD9" w:rsidRPr="0595A900">
        <w:rPr>
          <w:rFonts w:eastAsiaTheme="minorEastAsia" w:cs="Times New Roman"/>
          <w:sz w:val="24"/>
          <w:szCs w:val="24"/>
          <w:lang w:eastAsia="lv-LV"/>
        </w:rPr>
        <w:t xml:space="preserve">izpilde </w:t>
      </w:r>
      <w:r w:rsidR="5B6ADDAA" w:rsidRPr="0595A900">
        <w:rPr>
          <w:rFonts w:eastAsiaTheme="minorEastAsia" w:cs="Times New Roman"/>
          <w:sz w:val="24"/>
          <w:szCs w:val="24"/>
          <w:lang w:eastAsia="lv-LV"/>
        </w:rPr>
        <w:t xml:space="preserve">(pieejamība). Konstatējot priekšnosacījumu </w:t>
      </w:r>
      <w:r w:rsidR="4AB214B9" w:rsidRPr="0595A900">
        <w:rPr>
          <w:rFonts w:eastAsiaTheme="minorEastAsia" w:cs="Times New Roman"/>
          <w:sz w:val="24"/>
          <w:szCs w:val="24"/>
          <w:lang w:eastAsia="lv-LV"/>
        </w:rPr>
        <w:t xml:space="preserve">kumulatīvu </w:t>
      </w:r>
      <w:r w:rsidR="5B6ADDAA" w:rsidRPr="0595A900">
        <w:rPr>
          <w:rFonts w:eastAsiaTheme="minorEastAsia" w:cs="Times New Roman"/>
          <w:sz w:val="24"/>
          <w:szCs w:val="24"/>
          <w:lang w:eastAsia="lv-LV"/>
        </w:rPr>
        <w:t>pastāvēšanu, tiek paredzēta uzsākšanas un saistību uzņemšanās procedūra, kas ietver sevī uzsākšanas akta parakstīšanu, kas tiek izdots tikai tad, kad visas puses apstiprina pieejamā finansējuma atbilstību paredzamajām izmaksām.</w:t>
      </w:r>
    </w:p>
    <w:p w14:paraId="1E8896C3" w14:textId="1D85F005" w:rsidR="00D96F7D" w:rsidRDefault="00275EF0" w:rsidP="0595A900">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lastRenderedPageBreak/>
        <w:tab/>
      </w:r>
      <w:r w:rsidR="1E695CFF" w:rsidRPr="1E5E64D8">
        <w:rPr>
          <w:rFonts w:eastAsiaTheme="minorEastAsia" w:cs="Times New Roman"/>
          <w:sz w:val="24"/>
          <w:szCs w:val="24"/>
          <w:lang w:eastAsia="lv-LV"/>
        </w:rPr>
        <w:t xml:space="preserve">Ievērojot iepriekšminēto (5. nodaļā sniegto skaidrojumu), </w:t>
      </w:r>
      <w:r w:rsidR="57886C76" w:rsidRPr="001D5E77">
        <w:rPr>
          <w:rFonts w:eastAsiaTheme="minorEastAsia" w:cs="Times New Roman"/>
          <w:sz w:val="24"/>
          <w:szCs w:val="24"/>
          <w:lang w:eastAsia="lv-LV"/>
        </w:rPr>
        <w:t>Līgumā darbi ir sadalīti divās daļās, ietverot darbus, par kuriem slēdzot līgumu tiek uzņemtas saistības, kā arī atsevišķi pasūtāmos darbus</w:t>
      </w:r>
      <w:r w:rsidR="0E6B9B63" w:rsidRPr="1E5E64D8">
        <w:rPr>
          <w:rFonts w:eastAsiaTheme="minorEastAsia" w:cs="Times New Roman"/>
          <w:sz w:val="24"/>
          <w:szCs w:val="24"/>
          <w:lang w:eastAsia="lv-LV"/>
        </w:rPr>
        <w:t>,</w:t>
      </w:r>
      <w:r w:rsidR="57886C76" w:rsidRPr="001D5E77">
        <w:rPr>
          <w:rFonts w:eastAsiaTheme="minorEastAsia" w:cs="Times New Roman"/>
          <w:sz w:val="24"/>
          <w:szCs w:val="24"/>
          <w:lang w:eastAsia="lv-LV"/>
        </w:rPr>
        <w:t xml:space="preserve"> par kuriem saistības netiek uzņemtas slēdzot līgumu, bet</w:t>
      </w:r>
      <w:r w:rsidR="5DDA0C63" w:rsidRPr="1E5E64D8">
        <w:rPr>
          <w:rFonts w:eastAsiaTheme="minorEastAsia" w:cs="Times New Roman"/>
          <w:sz w:val="24"/>
          <w:szCs w:val="24"/>
          <w:lang w:eastAsia="lv-LV"/>
        </w:rPr>
        <w:t>,</w:t>
      </w:r>
      <w:r w:rsidR="57886C76" w:rsidRPr="001D5E77">
        <w:rPr>
          <w:rFonts w:eastAsiaTheme="minorEastAsia" w:cs="Times New Roman"/>
          <w:sz w:val="24"/>
          <w:szCs w:val="24"/>
          <w:lang w:eastAsia="lv-LV"/>
        </w:rPr>
        <w:t xml:space="preserve"> kuri tiek pasūtīti un saistību uzņemšanās notiek līguma izpildes laikā, pusēm vienojoties un parakstot darbu uzsākšanas aktu. Tas nozīmē, ka </w:t>
      </w:r>
      <w:r w:rsidR="57886C76" w:rsidRPr="001D5E77">
        <w:rPr>
          <w:rFonts w:eastAsiaTheme="minorEastAsia" w:cs="Times New Roman"/>
          <w:b/>
          <w:bCs/>
          <w:sz w:val="24"/>
          <w:szCs w:val="24"/>
          <w:lang w:eastAsia="lv-LV"/>
        </w:rPr>
        <w:t xml:space="preserve">slēdzot </w:t>
      </w:r>
      <w:r w:rsidR="2A26552B" w:rsidRPr="001D5E77">
        <w:rPr>
          <w:rFonts w:eastAsiaTheme="minorEastAsia" w:cs="Times New Roman"/>
          <w:b/>
          <w:bCs/>
          <w:sz w:val="24"/>
          <w:szCs w:val="24"/>
          <w:lang w:eastAsia="lv-LV"/>
        </w:rPr>
        <w:t>L</w:t>
      </w:r>
      <w:r w:rsidR="57886C76" w:rsidRPr="001D5E77">
        <w:rPr>
          <w:rFonts w:eastAsiaTheme="minorEastAsia" w:cs="Times New Roman"/>
          <w:b/>
          <w:bCs/>
          <w:sz w:val="24"/>
          <w:szCs w:val="24"/>
          <w:lang w:eastAsia="lv-LV"/>
        </w:rPr>
        <w:t xml:space="preserve">īgumu, nenotiek saistību uzņemšanās kopējās Līguma summas apmērā, kas ir 3,7 miljardi </w:t>
      </w:r>
      <w:r w:rsidR="3943703A" w:rsidRPr="00F132BA">
        <w:rPr>
          <w:rFonts w:eastAsiaTheme="minorEastAsia" w:cs="Times New Roman"/>
          <w:b/>
          <w:bCs/>
          <w:i/>
          <w:iCs/>
          <w:sz w:val="24"/>
          <w:szCs w:val="24"/>
          <w:lang w:eastAsia="lv-LV"/>
        </w:rPr>
        <w:t>euro</w:t>
      </w:r>
      <w:r w:rsidR="57886C76" w:rsidRPr="001D5E77">
        <w:rPr>
          <w:rFonts w:eastAsiaTheme="minorEastAsia" w:cs="Times New Roman"/>
          <w:sz w:val="24"/>
          <w:szCs w:val="24"/>
          <w:lang w:eastAsia="lv-LV"/>
        </w:rPr>
        <w:t xml:space="preserve">. Darbus posmos (būvatļaujās) </w:t>
      </w:r>
      <w:r w:rsidR="00F132BA" w:rsidRPr="001D5E77">
        <w:rPr>
          <w:rFonts w:eastAsiaTheme="minorEastAsia" w:cs="Times New Roman"/>
          <w:sz w:val="24"/>
          <w:szCs w:val="24"/>
          <w:lang w:eastAsia="lv-LV"/>
        </w:rPr>
        <w:t>iespējams pasūtīt</w:t>
      </w:r>
      <w:r w:rsidR="57886C76" w:rsidRPr="001D5E77">
        <w:rPr>
          <w:rFonts w:eastAsiaTheme="minorEastAsia" w:cs="Times New Roman"/>
          <w:sz w:val="24"/>
          <w:szCs w:val="24"/>
          <w:lang w:eastAsia="lv-LV"/>
        </w:rPr>
        <w:t xml:space="preserve"> (aktivizē</w:t>
      </w:r>
      <w:r w:rsidR="00F132BA" w:rsidRPr="001D5E77">
        <w:rPr>
          <w:rFonts w:eastAsiaTheme="minorEastAsia" w:cs="Times New Roman"/>
          <w:sz w:val="24"/>
          <w:szCs w:val="24"/>
          <w:lang w:eastAsia="lv-LV"/>
        </w:rPr>
        <w:t>t</w:t>
      </w:r>
      <w:r w:rsidR="57886C76" w:rsidRPr="001D5E77">
        <w:rPr>
          <w:rFonts w:eastAsiaTheme="minorEastAsia" w:cs="Times New Roman"/>
          <w:sz w:val="24"/>
          <w:szCs w:val="24"/>
          <w:lang w:eastAsia="lv-LV"/>
        </w:rPr>
        <w:t>) tikai, kad</w:t>
      </w:r>
      <w:r w:rsidR="69D45223" w:rsidRPr="00F132BA">
        <w:rPr>
          <w:rFonts w:eastAsiaTheme="minorEastAsia" w:cs="Times New Roman"/>
          <w:sz w:val="24"/>
          <w:szCs w:val="24"/>
          <w:lang w:eastAsia="lv-LV"/>
        </w:rPr>
        <w:t xml:space="preserve"> ir iestājušies</w:t>
      </w:r>
      <w:r w:rsidR="57886C76" w:rsidRPr="001D5E77">
        <w:rPr>
          <w:rFonts w:eastAsiaTheme="minorEastAsia" w:cs="Times New Roman"/>
          <w:sz w:val="24"/>
          <w:szCs w:val="24"/>
          <w:lang w:eastAsia="lv-LV"/>
        </w:rPr>
        <w:t xml:space="preserve"> visi galvenie priekšnosacījumi. </w:t>
      </w:r>
      <w:r w:rsidR="00F132BA" w:rsidRPr="001D5E77">
        <w:rPr>
          <w:rFonts w:eastAsiaTheme="minorEastAsia" w:cs="Times New Roman"/>
          <w:sz w:val="24"/>
          <w:szCs w:val="24"/>
          <w:lang w:eastAsia="lv-LV"/>
        </w:rPr>
        <w:t>Pēc</w:t>
      </w:r>
      <w:r w:rsidR="57886C76" w:rsidRPr="001D5E77">
        <w:rPr>
          <w:rFonts w:eastAsiaTheme="minorEastAsia" w:cs="Times New Roman"/>
          <w:sz w:val="24"/>
          <w:szCs w:val="24"/>
          <w:lang w:eastAsia="lv-LV"/>
        </w:rPr>
        <w:t xml:space="preserve"> vis</w:t>
      </w:r>
      <w:r w:rsidR="00F132BA">
        <w:rPr>
          <w:rFonts w:eastAsiaTheme="minorEastAsia" w:cs="Times New Roman"/>
          <w:sz w:val="24"/>
          <w:szCs w:val="24"/>
          <w:lang w:eastAsia="lv-LV"/>
        </w:rPr>
        <w:t>u</w:t>
      </w:r>
      <w:r w:rsidR="57886C76" w:rsidRPr="001D5E77">
        <w:rPr>
          <w:rFonts w:eastAsiaTheme="minorEastAsia" w:cs="Times New Roman"/>
          <w:sz w:val="24"/>
          <w:szCs w:val="24"/>
          <w:lang w:eastAsia="lv-LV"/>
        </w:rPr>
        <w:t xml:space="preserve"> priekšnosacījum</w:t>
      </w:r>
      <w:r w:rsidR="00F132BA" w:rsidRPr="001D5E77">
        <w:rPr>
          <w:rFonts w:eastAsiaTheme="minorEastAsia" w:cs="Times New Roman"/>
          <w:sz w:val="24"/>
          <w:szCs w:val="24"/>
          <w:lang w:eastAsia="lv-LV"/>
        </w:rPr>
        <w:t>u</w:t>
      </w:r>
      <w:r w:rsidR="57886C76" w:rsidRPr="001D5E77">
        <w:rPr>
          <w:rFonts w:eastAsiaTheme="minorEastAsia" w:cs="Times New Roman"/>
          <w:sz w:val="24"/>
          <w:szCs w:val="24"/>
          <w:lang w:eastAsia="lv-LV"/>
        </w:rPr>
        <w:t xml:space="preserve"> </w:t>
      </w:r>
      <w:r w:rsidR="69D45223" w:rsidRPr="00F132BA">
        <w:rPr>
          <w:rFonts w:eastAsiaTheme="minorEastAsia" w:cs="Times New Roman"/>
          <w:sz w:val="24"/>
          <w:szCs w:val="24"/>
          <w:lang w:eastAsia="lv-LV"/>
        </w:rPr>
        <w:t>iestā</w:t>
      </w:r>
      <w:r w:rsidR="00F132BA" w:rsidRPr="001D5E77">
        <w:rPr>
          <w:rFonts w:eastAsiaTheme="minorEastAsia" w:cs="Times New Roman"/>
          <w:sz w:val="24"/>
          <w:szCs w:val="24"/>
          <w:lang w:eastAsia="lv-LV"/>
        </w:rPr>
        <w:t xml:space="preserve">šanās EDZL nepieciešams saņemt </w:t>
      </w:r>
      <w:r w:rsidR="57886C76" w:rsidRPr="001D5E77">
        <w:rPr>
          <w:rFonts w:eastAsiaTheme="minorEastAsia" w:cs="Times New Roman"/>
          <w:sz w:val="24"/>
          <w:szCs w:val="24"/>
          <w:lang w:eastAsia="lv-LV"/>
        </w:rPr>
        <w:t>Satiksmes ministrija</w:t>
      </w:r>
      <w:r w:rsidR="2E013CA9" w:rsidRPr="00F132BA">
        <w:rPr>
          <w:rFonts w:eastAsiaTheme="minorEastAsia" w:cs="Times New Roman"/>
          <w:sz w:val="24"/>
          <w:szCs w:val="24"/>
          <w:lang w:eastAsia="lv-LV"/>
        </w:rPr>
        <w:t>s</w:t>
      </w:r>
      <w:r w:rsidR="57886C76" w:rsidRPr="001D5E77">
        <w:rPr>
          <w:rFonts w:eastAsiaTheme="minorEastAsia" w:cs="Times New Roman"/>
          <w:sz w:val="24"/>
          <w:szCs w:val="24"/>
          <w:lang w:eastAsia="lv-LV"/>
        </w:rPr>
        <w:t xml:space="preserve"> autorizācij</w:t>
      </w:r>
      <w:r w:rsidR="00F132BA" w:rsidRPr="001D5E77">
        <w:rPr>
          <w:rFonts w:eastAsiaTheme="minorEastAsia" w:cs="Times New Roman"/>
          <w:sz w:val="24"/>
          <w:szCs w:val="24"/>
          <w:lang w:eastAsia="lv-LV"/>
        </w:rPr>
        <w:t xml:space="preserve">u. Jāņem vērā, ka Satiksmes ministrija autorizāciju var sniegt tikai </w:t>
      </w:r>
      <w:r w:rsidR="2E013CA9" w:rsidRPr="00F132BA">
        <w:rPr>
          <w:rFonts w:eastAsiaTheme="minorEastAsia" w:cs="Times New Roman"/>
          <w:sz w:val="24"/>
          <w:szCs w:val="24"/>
          <w:lang w:eastAsia="lv-LV"/>
        </w:rPr>
        <w:t xml:space="preserve">pēc attiecīga Ministru kabineta lēmuma par </w:t>
      </w:r>
      <w:r w:rsidR="22F0039A" w:rsidRPr="00F132BA">
        <w:rPr>
          <w:rFonts w:eastAsiaTheme="minorEastAsia" w:cs="Times New Roman"/>
          <w:sz w:val="24"/>
          <w:szCs w:val="24"/>
          <w:lang w:eastAsia="lv-LV"/>
        </w:rPr>
        <w:t>CEF pieteikuma izskatīšanu pieņemšanas</w:t>
      </w:r>
      <w:r w:rsidR="57886C76" w:rsidRPr="001D5E77">
        <w:rPr>
          <w:rFonts w:eastAsiaTheme="minorEastAsia" w:cs="Times New Roman"/>
          <w:sz w:val="24"/>
          <w:szCs w:val="24"/>
          <w:lang w:eastAsia="lv-LV"/>
        </w:rPr>
        <w:t>, tādējādi nodrošinot procesa caurspīdīgumu un izmaksu kontroli.</w:t>
      </w:r>
      <w:r w:rsidR="22F0039A" w:rsidRPr="00F132BA">
        <w:rPr>
          <w:rFonts w:eastAsiaTheme="minorEastAsia" w:cs="Times New Roman"/>
          <w:sz w:val="24"/>
          <w:szCs w:val="24"/>
          <w:lang w:eastAsia="lv-LV"/>
        </w:rPr>
        <w:t xml:space="preserve"> </w:t>
      </w:r>
      <w:r w:rsidR="48B5A04B" w:rsidRPr="00F132BA">
        <w:rPr>
          <w:rFonts w:eastAsiaTheme="minorEastAsia" w:cs="Times New Roman"/>
          <w:sz w:val="24"/>
          <w:szCs w:val="24"/>
          <w:lang w:eastAsia="lv-LV"/>
        </w:rPr>
        <w:t>Ņemot</w:t>
      </w:r>
      <w:r w:rsidR="48B5A04B" w:rsidRPr="000F4007">
        <w:rPr>
          <w:rFonts w:eastAsiaTheme="minorEastAsia" w:cs="Times New Roman"/>
          <w:sz w:val="24"/>
          <w:szCs w:val="24"/>
          <w:lang w:eastAsia="lv-LV"/>
        </w:rPr>
        <w:t xml:space="preserve"> vērā zemju atsavināšanas pakāpeniskas pabeigšanas nosacījumu, </w:t>
      </w:r>
      <w:r w:rsidR="5FA326FE" w:rsidRPr="000F4007">
        <w:rPr>
          <w:rFonts w:eastAsiaTheme="minorEastAsia" w:cs="Times New Roman"/>
          <w:sz w:val="24"/>
          <w:szCs w:val="24"/>
          <w:lang w:eastAsia="lv-LV"/>
        </w:rPr>
        <w:t xml:space="preserve">jāņem vērā, ka </w:t>
      </w:r>
      <w:r w:rsidR="48B5A04B" w:rsidRPr="000F4007">
        <w:rPr>
          <w:rFonts w:eastAsiaTheme="minorEastAsia" w:cs="Times New Roman"/>
          <w:sz w:val="24"/>
          <w:szCs w:val="24"/>
          <w:lang w:eastAsia="lv-LV"/>
        </w:rPr>
        <w:t>š</w:t>
      </w:r>
      <w:r w:rsidR="2FC6B9D4" w:rsidRPr="000F4007">
        <w:rPr>
          <w:rFonts w:eastAsiaTheme="minorEastAsia" w:cs="Times New Roman"/>
          <w:sz w:val="24"/>
          <w:szCs w:val="24"/>
          <w:lang w:eastAsia="lv-LV"/>
        </w:rPr>
        <w:t>obrīd Rail Baltica projektam iegūts (atsavināti no privātpersonām un pārņemti no publiskām personām) 27</w:t>
      </w:r>
      <w:r w:rsidR="006974C1" w:rsidRPr="001D5E77">
        <w:rPr>
          <w:rFonts w:eastAsiaTheme="minorEastAsia" w:cs="Times New Roman"/>
          <w:sz w:val="24"/>
          <w:szCs w:val="24"/>
          <w:lang w:eastAsia="lv-LV"/>
        </w:rPr>
        <w:t>5</w:t>
      </w:r>
      <w:r w:rsidR="2FC6B9D4" w:rsidRPr="000F4007">
        <w:rPr>
          <w:rFonts w:eastAsiaTheme="minorEastAsia" w:cs="Times New Roman"/>
          <w:sz w:val="24"/>
          <w:szCs w:val="24"/>
          <w:lang w:eastAsia="lv-LV"/>
        </w:rPr>
        <w:t xml:space="preserve"> kadastra objekts, no tiem 2</w:t>
      </w:r>
      <w:r w:rsidR="00226711" w:rsidRPr="001D5E77">
        <w:rPr>
          <w:rFonts w:eastAsiaTheme="minorEastAsia" w:cs="Times New Roman"/>
          <w:sz w:val="24"/>
          <w:szCs w:val="24"/>
          <w:lang w:eastAsia="lv-LV"/>
        </w:rPr>
        <w:t>42</w:t>
      </w:r>
      <w:r w:rsidR="2FC6B9D4" w:rsidRPr="000F4007">
        <w:rPr>
          <w:rFonts w:eastAsiaTheme="minorEastAsia" w:cs="Times New Roman"/>
          <w:sz w:val="24"/>
          <w:szCs w:val="24"/>
          <w:lang w:eastAsia="lv-LV"/>
        </w:rPr>
        <w:t xml:space="preserve"> objekti </w:t>
      </w:r>
      <w:r w:rsidR="48B5A04B" w:rsidRPr="000F4007">
        <w:rPr>
          <w:rFonts w:eastAsiaTheme="minorEastAsia" w:cs="Times New Roman"/>
          <w:sz w:val="24"/>
          <w:szCs w:val="24"/>
          <w:lang w:eastAsia="lv-LV"/>
        </w:rPr>
        <w:t xml:space="preserve">ir </w:t>
      </w:r>
      <w:r w:rsidR="2FC6B9D4" w:rsidRPr="000F4007">
        <w:rPr>
          <w:rFonts w:eastAsiaTheme="minorEastAsia" w:cs="Times New Roman"/>
          <w:sz w:val="24"/>
          <w:szCs w:val="24"/>
          <w:lang w:eastAsia="lv-LV"/>
        </w:rPr>
        <w:t xml:space="preserve">pieejami būvdarbiem. Precīzs iegūstamo objektu skaits šobrīd vēl nav zināms, jo turpinās projektēšanas darbi, taču provizoriski tie ir vairāk nekā </w:t>
      </w:r>
      <w:r w:rsidR="0094415F">
        <w:rPr>
          <w:rFonts w:eastAsiaTheme="minorEastAsia" w:cs="Times New Roman"/>
          <w:sz w:val="24"/>
          <w:szCs w:val="24"/>
          <w:lang w:eastAsia="lv-LV"/>
        </w:rPr>
        <w:t>2078</w:t>
      </w:r>
      <w:r w:rsidR="0094415F" w:rsidRPr="000F4007">
        <w:rPr>
          <w:rFonts w:eastAsiaTheme="minorEastAsia" w:cs="Times New Roman"/>
          <w:sz w:val="24"/>
          <w:szCs w:val="24"/>
          <w:lang w:eastAsia="lv-LV"/>
        </w:rPr>
        <w:t xml:space="preserve"> </w:t>
      </w:r>
      <w:r w:rsidR="2FC6B9D4" w:rsidRPr="000F4007">
        <w:rPr>
          <w:rFonts w:eastAsiaTheme="minorEastAsia" w:cs="Times New Roman"/>
          <w:sz w:val="24"/>
          <w:szCs w:val="24"/>
          <w:lang w:eastAsia="lv-LV"/>
        </w:rPr>
        <w:t>objektu. 2023</w:t>
      </w:r>
      <w:r w:rsidR="2FC6B9D4" w:rsidRPr="0595A900">
        <w:rPr>
          <w:rFonts w:eastAsiaTheme="minorEastAsia" w:cs="Times New Roman"/>
          <w:sz w:val="24"/>
          <w:szCs w:val="24"/>
          <w:lang w:eastAsia="lv-LV"/>
        </w:rPr>
        <w:t>.</w:t>
      </w:r>
      <w:r w:rsidR="196D4A04" w:rsidRPr="0595A900">
        <w:rPr>
          <w:rFonts w:eastAsiaTheme="minorEastAsia" w:cs="Times New Roman"/>
          <w:sz w:val="24"/>
          <w:szCs w:val="24"/>
          <w:lang w:eastAsia="lv-LV"/>
        </w:rPr>
        <w:t xml:space="preserve"> </w:t>
      </w:r>
      <w:r w:rsidR="2FC6B9D4" w:rsidRPr="0595A900">
        <w:rPr>
          <w:rFonts w:eastAsiaTheme="minorEastAsia" w:cs="Times New Roman"/>
          <w:sz w:val="24"/>
          <w:szCs w:val="24"/>
          <w:lang w:eastAsia="lv-LV"/>
        </w:rPr>
        <w:t>gada vasarā</w:t>
      </w:r>
      <w:r w:rsidR="5FA326FE" w:rsidRPr="0595A900">
        <w:rPr>
          <w:rFonts w:eastAsiaTheme="minorEastAsia" w:cs="Times New Roman"/>
          <w:sz w:val="24"/>
          <w:szCs w:val="24"/>
          <w:lang w:eastAsia="lv-LV"/>
        </w:rPr>
        <w:t xml:space="preserve">, nolūkā atvieglot projekta īstenošanu, </w:t>
      </w:r>
      <w:r w:rsidR="196D4A04" w:rsidRPr="0595A900">
        <w:rPr>
          <w:rFonts w:eastAsiaTheme="minorEastAsia" w:cs="Times New Roman"/>
          <w:sz w:val="24"/>
          <w:szCs w:val="24"/>
          <w:lang w:eastAsia="lv-LV"/>
        </w:rPr>
        <w:t xml:space="preserve">tika </w:t>
      </w:r>
      <w:r w:rsidR="2FC6B9D4" w:rsidRPr="0595A900">
        <w:rPr>
          <w:rFonts w:eastAsiaTheme="minorEastAsia" w:cs="Times New Roman"/>
          <w:sz w:val="24"/>
          <w:szCs w:val="24"/>
          <w:lang w:eastAsia="lv-LV"/>
        </w:rPr>
        <w:t xml:space="preserve">veikti grozījumi Rail Baltica projekta īstenošanas likumā, </w:t>
      </w:r>
      <w:r w:rsidR="196D4A04" w:rsidRPr="0595A900">
        <w:rPr>
          <w:rFonts w:eastAsiaTheme="minorEastAsia" w:cs="Times New Roman"/>
          <w:sz w:val="24"/>
          <w:szCs w:val="24"/>
          <w:lang w:eastAsia="lv-LV"/>
        </w:rPr>
        <w:t xml:space="preserve">paredzot tiesības </w:t>
      </w:r>
      <w:r w:rsidR="2FC6B9D4" w:rsidRPr="0595A900">
        <w:rPr>
          <w:rFonts w:eastAsiaTheme="minorEastAsia" w:cs="Times New Roman"/>
          <w:sz w:val="24"/>
          <w:szCs w:val="24"/>
          <w:lang w:eastAsia="lv-LV"/>
        </w:rPr>
        <w:t xml:space="preserve">uzsākt būvdarbus zemesgabalā, ja tas vēl nav atsavināts. </w:t>
      </w:r>
      <w:r w:rsidR="5FA326FE" w:rsidRPr="0595A900">
        <w:rPr>
          <w:rFonts w:eastAsiaTheme="minorEastAsia" w:cs="Times New Roman"/>
          <w:sz w:val="24"/>
          <w:szCs w:val="24"/>
          <w:lang w:eastAsia="lv-LV"/>
        </w:rPr>
        <w:t xml:space="preserve">Vienlaikus, </w:t>
      </w:r>
      <w:r w:rsidR="2FC6B9D4" w:rsidRPr="0595A900">
        <w:rPr>
          <w:rFonts w:eastAsiaTheme="minorEastAsia" w:cs="Times New Roman"/>
          <w:sz w:val="24"/>
          <w:szCs w:val="24"/>
          <w:lang w:eastAsia="lv-LV"/>
        </w:rPr>
        <w:t>Satiksmes ministrija uzsākusi nepieciešamās darbības atsavināšanas procesa paātrināšanai, rosinot grozījumus normatīvajos aktos, kas paredz atvieglot zemes ierīcības un kadastrālās uzmērīša</w:t>
      </w:r>
      <w:r w:rsidR="0EC5E634" w:rsidRPr="0595A900">
        <w:rPr>
          <w:rFonts w:eastAsiaTheme="minorEastAsia" w:cs="Times New Roman"/>
          <w:sz w:val="24"/>
          <w:szCs w:val="24"/>
          <w:lang w:eastAsia="lv-LV"/>
        </w:rPr>
        <w:t>na</w:t>
      </w:r>
      <w:r w:rsidR="2FC6B9D4" w:rsidRPr="0595A900">
        <w:rPr>
          <w:rFonts w:eastAsiaTheme="minorEastAsia" w:cs="Times New Roman"/>
          <w:sz w:val="24"/>
          <w:szCs w:val="24"/>
          <w:lang w:eastAsia="lv-LV"/>
        </w:rPr>
        <w:t>s procesus, kā arī organizēt atvieglotu nelielu zemesgabalu novērtēšanas procesu.</w:t>
      </w:r>
      <w:r w:rsidR="0EC5E634" w:rsidRPr="0595A900">
        <w:rPr>
          <w:rFonts w:eastAsiaTheme="minorEastAsia" w:cs="Times New Roman"/>
          <w:sz w:val="24"/>
          <w:szCs w:val="24"/>
          <w:lang w:eastAsia="lv-LV"/>
        </w:rPr>
        <w:t xml:space="preserve"> </w:t>
      </w:r>
      <w:r w:rsidR="6BF822ED" w:rsidRPr="0595A900">
        <w:rPr>
          <w:rFonts w:eastAsiaTheme="minorEastAsia" w:cs="Times New Roman"/>
          <w:sz w:val="24"/>
          <w:szCs w:val="24"/>
          <w:lang w:eastAsia="lv-LV"/>
        </w:rPr>
        <w:t xml:space="preserve">Kopumā zemju atsavināšanai plānotais finansējums </w:t>
      </w:r>
      <w:r w:rsidR="620E232D" w:rsidRPr="0595A900">
        <w:rPr>
          <w:rFonts w:eastAsiaTheme="minorEastAsia" w:cs="Times New Roman"/>
          <w:sz w:val="24"/>
          <w:szCs w:val="24"/>
          <w:lang w:eastAsia="lv-LV"/>
        </w:rPr>
        <w:t>veido</w:t>
      </w:r>
      <w:r w:rsidR="6BF822ED" w:rsidRPr="0595A900">
        <w:rPr>
          <w:rFonts w:eastAsiaTheme="minorEastAsia" w:cs="Times New Roman"/>
          <w:sz w:val="24"/>
          <w:szCs w:val="24"/>
          <w:lang w:eastAsia="lv-LV"/>
        </w:rPr>
        <w:t xml:space="preserve"> aptuveni 130 milj. </w:t>
      </w:r>
      <w:r w:rsidR="002C5510" w:rsidRPr="002C5510">
        <w:rPr>
          <w:rFonts w:eastAsiaTheme="minorEastAsia" w:cs="Times New Roman"/>
          <w:i/>
          <w:sz w:val="24"/>
          <w:szCs w:val="24"/>
          <w:lang w:eastAsia="lv-LV"/>
        </w:rPr>
        <w:t>euro</w:t>
      </w:r>
      <w:r w:rsidR="6BF822ED" w:rsidRPr="0595A900">
        <w:rPr>
          <w:rFonts w:eastAsiaTheme="minorEastAsia" w:cs="Times New Roman"/>
          <w:sz w:val="24"/>
          <w:szCs w:val="24"/>
          <w:lang w:eastAsia="lv-LV"/>
        </w:rPr>
        <w:t>.</w:t>
      </w:r>
    </w:p>
    <w:p w14:paraId="7671B056" w14:textId="7740FF9A" w:rsidR="00D96F7D" w:rsidRDefault="0062420B" w:rsidP="0595A900">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EC5E634" w:rsidRPr="00B96D9D">
        <w:rPr>
          <w:rFonts w:eastAsiaTheme="minorEastAsia" w:cs="Times New Roman"/>
          <w:sz w:val="24"/>
          <w:szCs w:val="24"/>
          <w:lang w:eastAsia="lv-LV"/>
        </w:rPr>
        <w:t>Ar detalizētu informāciju par atsavināšanas procesu pa projektēšanas posmiem</w:t>
      </w:r>
      <w:r w:rsidR="006350AB" w:rsidRPr="00B96D9D">
        <w:rPr>
          <w:rFonts w:eastAsiaTheme="minorEastAsia" w:cs="Times New Roman"/>
          <w:sz w:val="24"/>
          <w:szCs w:val="24"/>
          <w:lang w:eastAsia="lv-LV"/>
        </w:rPr>
        <w:t xml:space="preserve"> (dati uz 29.11.2023.)</w:t>
      </w:r>
      <w:r w:rsidR="0EC5E634" w:rsidRPr="00B96D9D">
        <w:rPr>
          <w:rFonts w:eastAsiaTheme="minorEastAsia" w:cs="Times New Roman"/>
          <w:sz w:val="24"/>
          <w:szCs w:val="24"/>
          <w:lang w:eastAsia="lv-LV"/>
        </w:rPr>
        <w:t xml:space="preserve"> aicinām iepazīties zemāk esošajā </w:t>
      </w:r>
      <w:r w:rsidR="0081142B" w:rsidRPr="00B96D9D">
        <w:rPr>
          <w:rFonts w:eastAsiaTheme="minorEastAsia" w:cs="Times New Roman"/>
          <w:sz w:val="24"/>
          <w:szCs w:val="24"/>
          <w:lang w:eastAsia="lv-LV"/>
        </w:rPr>
        <w:t xml:space="preserve">8. </w:t>
      </w:r>
      <w:r w:rsidR="0EC5E634" w:rsidRPr="00B96D9D">
        <w:rPr>
          <w:rFonts w:eastAsiaTheme="minorEastAsia" w:cs="Times New Roman"/>
          <w:sz w:val="24"/>
          <w:szCs w:val="24"/>
          <w:lang w:eastAsia="lv-LV"/>
        </w:rPr>
        <w:t>tabulā</w:t>
      </w:r>
      <w:r w:rsidR="0081142B" w:rsidRPr="00B96D9D">
        <w:rPr>
          <w:rFonts w:eastAsiaTheme="minorEastAsia" w:cs="Times New Roman"/>
          <w:sz w:val="24"/>
          <w:szCs w:val="24"/>
          <w:lang w:eastAsia="lv-LV"/>
        </w:rPr>
        <w:t>:</w:t>
      </w:r>
    </w:p>
    <w:p w14:paraId="00B11927" w14:textId="77777777" w:rsidR="006D0773" w:rsidRDefault="006D0773" w:rsidP="003D1387">
      <w:pPr>
        <w:tabs>
          <w:tab w:val="left" w:pos="567"/>
        </w:tabs>
        <w:spacing w:after="0" w:line="240" w:lineRule="auto"/>
        <w:contextualSpacing/>
        <w:jc w:val="both"/>
        <w:rPr>
          <w:rFonts w:eastAsiaTheme="minorEastAsia" w:cs="Times New Roman"/>
          <w:sz w:val="24"/>
          <w:szCs w:val="24"/>
          <w:lang w:eastAsia="lv-LV"/>
        </w:rPr>
      </w:pPr>
    </w:p>
    <w:p w14:paraId="71428602" w14:textId="77777777" w:rsidR="00A30CDD" w:rsidRPr="00010907" w:rsidRDefault="00A30CDD" w:rsidP="00A30CDD">
      <w:pPr>
        <w:spacing w:after="0" w:line="240" w:lineRule="auto"/>
        <w:ind w:left="357"/>
        <w:jc w:val="right"/>
        <w:rPr>
          <w:b/>
          <w:bCs/>
          <w:sz w:val="24"/>
          <w:szCs w:val="24"/>
          <w:lang w:eastAsia="lv-LV"/>
        </w:rPr>
      </w:pPr>
      <w:r w:rsidRPr="00010907">
        <w:rPr>
          <w:b/>
          <w:bCs/>
          <w:sz w:val="24"/>
          <w:szCs w:val="24"/>
          <w:lang w:eastAsia="lv-LV"/>
        </w:rPr>
        <w:t>Projektam atsavināmo un pārņemamo nekustamo īpašumu uzskaite</w:t>
      </w:r>
    </w:p>
    <w:p w14:paraId="24C33792" w14:textId="05F9B7B8" w:rsidR="006D0773" w:rsidRPr="006D0773" w:rsidRDefault="006D0773" w:rsidP="006D0773">
      <w:pPr>
        <w:tabs>
          <w:tab w:val="left" w:pos="567"/>
        </w:tabs>
        <w:spacing w:after="0" w:line="240" w:lineRule="auto"/>
        <w:ind w:left="357"/>
        <w:jc w:val="right"/>
        <w:rPr>
          <w:rFonts w:eastAsiaTheme="minorEastAsia" w:cs="Times New Roman"/>
          <w:sz w:val="24"/>
          <w:szCs w:val="24"/>
          <w:lang w:eastAsia="lv-LV"/>
        </w:rPr>
      </w:pPr>
      <w:r w:rsidRPr="006D0773">
        <w:rPr>
          <w:rFonts w:eastAsiaTheme="minorEastAsia" w:cs="Times New Roman"/>
          <w:sz w:val="24"/>
          <w:szCs w:val="24"/>
          <w:lang w:eastAsia="lv-LV"/>
        </w:rPr>
        <w:tab/>
        <w:t xml:space="preserve">8. </w:t>
      </w:r>
      <w:r w:rsidR="002D74B3">
        <w:rPr>
          <w:rFonts w:eastAsiaTheme="minorEastAsia" w:cs="Times New Roman"/>
          <w:sz w:val="24"/>
          <w:szCs w:val="24"/>
          <w:lang w:eastAsia="lv-LV"/>
        </w:rPr>
        <w:t>t</w:t>
      </w:r>
      <w:r w:rsidRPr="006D0773">
        <w:rPr>
          <w:rFonts w:eastAsiaTheme="minorEastAsia" w:cs="Times New Roman"/>
          <w:sz w:val="24"/>
          <w:szCs w:val="24"/>
          <w:lang w:eastAsia="lv-LV"/>
        </w:rPr>
        <w:t>abula</w:t>
      </w:r>
    </w:p>
    <w:p w14:paraId="560ADC52" w14:textId="77777777" w:rsidR="004B5FFC" w:rsidRDefault="004B5FFC" w:rsidP="006D0773">
      <w:pPr>
        <w:spacing w:after="0" w:line="240" w:lineRule="auto"/>
        <w:ind w:left="357"/>
        <w:jc w:val="right"/>
        <w:rPr>
          <w:b/>
          <w:bCs/>
          <w:sz w:val="24"/>
          <w:szCs w:val="24"/>
          <w:lang w:eastAsia="lv-LV"/>
        </w:rPr>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3"/>
        <w:gridCol w:w="1720"/>
        <w:gridCol w:w="1720"/>
        <w:gridCol w:w="1240"/>
        <w:gridCol w:w="1080"/>
        <w:gridCol w:w="1480"/>
      </w:tblGrid>
      <w:tr w:rsidR="004B5FFC" w:rsidRPr="00BD440D" w14:paraId="4CFFA7C4" w14:textId="77777777" w:rsidTr="004B5FFC">
        <w:trPr>
          <w:trHeight w:val="945"/>
          <w:jc w:val="center"/>
        </w:trPr>
        <w:tc>
          <w:tcPr>
            <w:tcW w:w="1383" w:type="dxa"/>
            <w:tcMar>
              <w:top w:w="0" w:type="dxa"/>
              <w:left w:w="108" w:type="dxa"/>
              <w:bottom w:w="0" w:type="dxa"/>
              <w:right w:w="108" w:type="dxa"/>
            </w:tcMar>
            <w:vAlign w:val="center"/>
            <w:hideMark/>
          </w:tcPr>
          <w:p w14:paraId="0BEB13AF" w14:textId="77777777" w:rsidR="004B5FFC" w:rsidRPr="00BD440D" w:rsidRDefault="004B5FFC" w:rsidP="00262508">
            <w:pPr>
              <w:spacing w:after="0" w:line="240" w:lineRule="auto"/>
              <w:contextualSpacing/>
              <w:jc w:val="center"/>
              <w:rPr>
                <w:rFonts w:cs="Times New Roman"/>
                <w:b/>
                <w:bCs/>
                <w:sz w:val="20"/>
                <w:szCs w:val="20"/>
                <w14:ligatures w14:val="standardContextual"/>
              </w:rPr>
            </w:pPr>
            <w:r w:rsidRPr="00BD440D">
              <w:rPr>
                <w:rFonts w:cs="Times New Roman"/>
                <w:b/>
                <w:sz w:val="20"/>
                <w:szCs w:val="20"/>
              </w:rPr>
              <w:t>Posms</w:t>
            </w:r>
          </w:p>
        </w:tc>
        <w:tc>
          <w:tcPr>
            <w:tcW w:w="1720" w:type="dxa"/>
            <w:vAlign w:val="center"/>
          </w:tcPr>
          <w:p w14:paraId="545EE37C" w14:textId="77777777" w:rsidR="004B5FFC" w:rsidRPr="00E9162E" w:rsidRDefault="004B5FFC" w:rsidP="00262508">
            <w:pPr>
              <w:spacing w:after="0" w:line="240" w:lineRule="auto"/>
              <w:contextualSpacing/>
              <w:jc w:val="center"/>
              <w:rPr>
                <w:rFonts w:cs="Times New Roman"/>
                <w:b/>
                <w:bCs/>
                <w:sz w:val="20"/>
                <w:szCs w:val="20"/>
                <w14:ligatures w14:val="standardContextual"/>
              </w:rPr>
            </w:pPr>
            <w:r>
              <w:rPr>
                <w:rFonts w:cs="Times New Roman"/>
                <w:b/>
                <w:bCs/>
                <w:sz w:val="20"/>
                <w:szCs w:val="20"/>
                <w14:ligatures w14:val="standardContextual"/>
              </w:rPr>
              <w:t>Projektam nepieciešamo kadastra objektu skaits (indikatīvi)</w:t>
            </w:r>
          </w:p>
        </w:tc>
        <w:tc>
          <w:tcPr>
            <w:tcW w:w="1720" w:type="dxa"/>
            <w:tcMar>
              <w:top w:w="0" w:type="dxa"/>
              <w:left w:w="108" w:type="dxa"/>
              <w:bottom w:w="0" w:type="dxa"/>
              <w:right w:w="108" w:type="dxa"/>
            </w:tcMar>
            <w:vAlign w:val="center"/>
            <w:hideMark/>
          </w:tcPr>
          <w:p w14:paraId="5749EDC1" w14:textId="77777777" w:rsidR="004B5FFC" w:rsidRPr="00BD440D" w:rsidRDefault="004B5FFC" w:rsidP="00262508">
            <w:pPr>
              <w:spacing w:after="0" w:line="240" w:lineRule="auto"/>
              <w:contextualSpacing/>
              <w:jc w:val="center"/>
              <w:rPr>
                <w:rFonts w:cs="Times New Roman"/>
                <w:b/>
                <w:bCs/>
                <w:sz w:val="20"/>
                <w:szCs w:val="20"/>
                <w14:ligatures w14:val="standardContextual"/>
              </w:rPr>
            </w:pPr>
            <w:r w:rsidRPr="00BD440D">
              <w:rPr>
                <w:rFonts w:cs="Times New Roman"/>
                <w:b/>
                <w:bCs/>
                <w:sz w:val="20"/>
                <w:szCs w:val="20"/>
                <w14:ligatures w14:val="standardContextual"/>
              </w:rPr>
              <w:t>Saņemts grafiskais materiāls un cita nepieciešamā informācija procesa uzsākšanai</w:t>
            </w:r>
          </w:p>
        </w:tc>
        <w:tc>
          <w:tcPr>
            <w:tcW w:w="1240" w:type="dxa"/>
            <w:tcMar>
              <w:top w:w="0" w:type="dxa"/>
              <w:left w:w="108" w:type="dxa"/>
              <w:bottom w:w="0" w:type="dxa"/>
              <w:right w:w="108" w:type="dxa"/>
            </w:tcMar>
            <w:vAlign w:val="center"/>
            <w:hideMark/>
          </w:tcPr>
          <w:p w14:paraId="4A32D98F" w14:textId="77777777" w:rsidR="004B5FFC" w:rsidRPr="00BD440D" w:rsidRDefault="004B5FFC" w:rsidP="00262508">
            <w:pPr>
              <w:spacing w:after="0" w:line="240" w:lineRule="auto"/>
              <w:contextualSpacing/>
              <w:jc w:val="center"/>
              <w:rPr>
                <w:rFonts w:cs="Times New Roman"/>
                <w:b/>
                <w:bCs/>
                <w:sz w:val="20"/>
                <w:szCs w:val="20"/>
                <w14:ligatures w14:val="standardContextual"/>
              </w:rPr>
            </w:pPr>
            <w:r w:rsidRPr="00BD440D">
              <w:rPr>
                <w:rFonts w:cs="Times New Roman"/>
                <w:b/>
                <w:bCs/>
                <w:sz w:val="20"/>
                <w:szCs w:val="20"/>
                <w14:ligatures w14:val="standardContextual"/>
              </w:rPr>
              <w:t>Process uzsākts</w:t>
            </w:r>
          </w:p>
        </w:tc>
        <w:tc>
          <w:tcPr>
            <w:tcW w:w="1080" w:type="dxa"/>
            <w:shd w:val="clear" w:color="auto" w:fill="E7E6E6"/>
            <w:tcMar>
              <w:top w:w="0" w:type="dxa"/>
              <w:left w:w="108" w:type="dxa"/>
              <w:bottom w:w="0" w:type="dxa"/>
              <w:right w:w="108" w:type="dxa"/>
            </w:tcMar>
            <w:vAlign w:val="center"/>
            <w:hideMark/>
          </w:tcPr>
          <w:p w14:paraId="1BD111A0" w14:textId="77777777" w:rsidR="004B5FFC" w:rsidRPr="00BD440D" w:rsidRDefault="004B5FFC" w:rsidP="00262508">
            <w:pPr>
              <w:spacing w:after="0" w:line="240" w:lineRule="auto"/>
              <w:contextualSpacing/>
              <w:jc w:val="center"/>
              <w:rPr>
                <w:rFonts w:cs="Times New Roman"/>
                <w:b/>
                <w:bCs/>
                <w:sz w:val="20"/>
                <w:szCs w:val="20"/>
                <w14:ligatures w14:val="standardContextual"/>
              </w:rPr>
            </w:pPr>
            <w:r w:rsidRPr="00BD440D">
              <w:rPr>
                <w:rFonts w:cs="Times New Roman"/>
                <w:b/>
                <w:bCs/>
                <w:sz w:val="20"/>
                <w:szCs w:val="20"/>
                <w14:ligatures w14:val="standardContextual"/>
              </w:rPr>
              <w:t>Iegūtie objekti</w:t>
            </w:r>
          </w:p>
        </w:tc>
        <w:tc>
          <w:tcPr>
            <w:tcW w:w="1480" w:type="dxa"/>
            <w:tcMar>
              <w:top w:w="0" w:type="dxa"/>
              <w:left w:w="108" w:type="dxa"/>
              <w:bottom w:w="0" w:type="dxa"/>
              <w:right w:w="108" w:type="dxa"/>
            </w:tcMar>
            <w:vAlign w:val="center"/>
            <w:hideMark/>
          </w:tcPr>
          <w:p w14:paraId="3E9DF653" w14:textId="77777777" w:rsidR="004B5FFC" w:rsidRPr="00BD440D" w:rsidRDefault="004B5FFC" w:rsidP="00262508">
            <w:pPr>
              <w:spacing w:after="0" w:line="240" w:lineRule="auto"/>
              <w:contextualSpacing/>
              <w:jc w:val="center"/>
              <w:rPr>
                <w:rFonts w:cs="Times New Roman"/>
                <w:b/>
                <w:bCs/>
                <w:sz w:val="20"/>
                <w:szCs w:val="20"/>
                <w14:ligatures w14:val="standardContextual"/>
              </w:rPr>
            </w:pPr>
            <w:r w:rsidRPr="00BD440D">
              <w:rPr>
                <w:rFonts w:cs="Times New Roman"/>
                <w:b/>
                <w:bCs/>
                <w:sz w:val="20"/>
                <w:szCs w:val="20"/>
                <w14:ligatures w14:val="standardContextual"/>
              </w:rPr>
              <w:t>Pieejams būvdarbiem</w:t>
            </w:r>
          </w:p>
        </w:tc>
      </w:tr>
      <w:tr w:rsidR="004B5FFC" w:rsidRPr="00BD440D" w14:paraId="70C909C5" w14:textId="77777777" w:rsidTr="004B5FFC">
        <w:trPr>
          <w:trHeight w:val="420"/>
          <w:jc w:val="center"/>
        </w:trPr>
        <w:tc>
          <w:tcPr>
            <w:tcW w:w="1383" w:type="dxa"/>
            <w:noWrap/>
            <w:tcMar>
              <w:top w:w="0" w:type="dxa"/>
              <w:left w:w="108" w:type="dxa"/>
              <w:bottom w:w="0" w:type="dxa"/>
              <w:right w:w="108" w:type="dxa"/>
            </w:tcMar>
            <w:vAlign w:val="center"/>
            <w:hideMark/>
          </w:tcPr>
          <w:p w14:paraId="06D3ED56"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Rail Baltica savienojums ar starptautisko lidostu “Rīga”</w:t>
            </w:r>
          </w:p>
          <w:p w14:paraId="0B44BBA3"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(RIX)</w:t>
            </w:r>
          </w:p>
        </w:tc>
        <w:tc>
          <w:tcPr>
            <w:tcW w:w="1720" w:type="dxa"/>
            <w:vAlign w:val="center"/>
          </w:tcPr>
          <w:p w14:paraId="66DF02F3"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129</w:t>
            </w:r>
          </w:p>
        </w:tc>
        <w:tc>
          <w:tcPr>
            <w:tcW w:w="1720" w:type="dxa"/>
            <w:noWrap/>
            <w:tcMar>
              <w:top w:w="0" w:type="dxa"/>
              <w:left w:w="108" w:type="dxa"/>
              <w:bottom w:w="0" w:type="dxa"/>
              <w:right w:w="108" w:type="dxa"/>
            </w:tcMar>
            <w:vAlign w:val="center"/>
            <w:hideMark/>
          </w:tcPr>
          <w:p w14:paraId="148120F6"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129</w:t>
            </w:r>
          </w:p>
        </w:tc>
        <w:tc>
          <w:tcPr>
            <w:tcW w:w="1240" w:type="dxa"/>
            <w:noWrap/>
            <w:tcMar>
              <w:top w:w="0" w:type="dxa"/>
              <w:left w:w="108" w:type="dxa"/>
              <w:bottom w:w="0" w:type="dxa"/>
              <w:right w:w="108" w:type="dxa"/>
            </w:tcMar>
            <w:vAlign w:val="center"/>
            <w:hideMark/>
          </w:tcPr>
          <w:p w14:paraId="38DA3A6F"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129</w:t>
            </w:r>
          </w:p>
        </w:tc>
        <w:tc>
          <w:tcPr>
            <w:tcW w:w="1080" w:type="dxa"/>
            <w:shd w:val="clear" w:color="auto" w:fill="E7E6E6"/>
            <w:noWrap/>
            <w:tcMar>
              <w:top w:w="0" w:type="dxa"/>
              <w:left w:w="108" w:type="dxa"/>
              <w:bottom w:w="0" w:type="dxa"/>
              <w:right w:w="108" w:type="dxa"/>
            </w:tcMar>
            <w:vAlign w:val="center"/>
            <w:hideMark/>
          </w:tcPr>
          <w:p w14:paraId="27008F97"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114</w:t>
            </w:r>
          </w:p>
        </w:tc>
        <w:tc>
          <w:tcPr>
            <w:tcW w:w="1480" w:type="dxa"/>
            <w:noWrap/>
            <w:tcMar>
              <w:top w:w="0" w:type="dxa"/>
              <w:left w:w="108" w:type="dxa"/>
              <w:bottom w:w="0" w:type="dxa"/>
              <w:right w:w="108" w:type="dxa"/>
            </w:tcMar>
            <w:vAlign w:val="center"/>
            <w:hideMark/>
          </w:tcPr>
          <w:p w14:paraId="5B915079"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112</w:t>
            </w:r>
          </w:p>
        </w:tc>
      </w:tr>
      <w:tr w:rsidR="004B5FFC" w:rsidRPr="00BD440D" w14:paraId="04AAED9D" w14:textId="77777777" w:rsidTr="004B5FFC">
        <w:trPr>
          <w:trHeight w:val="405"/>
          <w:jc w:val="center"/>
        </w:trPr>
        <w:tc>
          <w:tcPr>
            <w:tcW w:w="1383" w:type="dxa"/>
            <w:noWrap/>
            <w:tcMar>
              <w:top w:w="0" w:type="dxa"/>
              <w:left w:w="108" w:type="dxa"/>
              <w:bottom w:w="0" w:type="dxa"/>
              <w:right w:w="108" w:type="dxa"/>
            </w:tcMar>
            <w:vAlign w:val="center"/>
            <w:hideMark/>
          </w:tcPr>
          <w:p w14:paraId="6B88C645"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Rīgas centrālā multimodālā transporta mezgla sekcija</w:t>
            </w:r>
          </w:p>
          <w:p w14:paraId="792B4112"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(RCS)</w:t>
            </w:r>
          </w:p>
        </w:tc>
        <w:tc>
          <w:tcPr>
            <w:tcW w:w="1720" w:type="dxa"/>
            <w:vAlign w:val="center"/>
          </w:tcPr>
          <w:p w14:paraId="0B6C410F"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84</w:t>
            </w:r>
          </w:p>
        </w:tc>
        <w:tc>
          <w:tcPr>
            <w:tcW w:w="1720" w:type="dxa"/>
            <w:noWrap/>
            <w:tcMar>
              <w:top w:w="0" w:type="dxa"/>
              <w:left w:w="108" w:type="dxa"/>
              <w:bottom w:w="0" w:type="dxa"/>
              <w:right w:w="108" w:type="dxa"/>
            </w:tcMar>
            <w:vAlign w:val="center"/>
            <w:hideMark/>
          </w:tcPr>
          <w:p w14:paraId="5308971E"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84</w:t>
            </w:r>
          </w:p>
        </w:tc>
        <w:tc>
          <w:tcPr>
            <w:tcW w:w="1240" w:type="dxa"/>
            <w:noWrap/>
            <w:tcMar>
              <w:top w:w="0" w:type="dxa"/>
              <w:left w:w="108" w:type="dxa"/>
              <w:bottom w:w="0" w:type="dxa"/>
              <w:right w:w="108" w:type="dxa"/>
            </w:tcMar>
            <w:vAlign w:val="center"/>
            <w:hideMark/>
          </w:tcPr>
          <w:p w14:paraId="0B9A3C5C"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84</w:t>
            </w:r>
          </w:p>
        </w:tc>
        <w:tc>
          <w:tcPr>
            <w:tcW w:w="1080" w:type="dxa"/>
            <w:shd w:val="clear" w:color="auto" w:fill="E7E6E6"/>
            <w:noWrap/>
            <w:tcMar>
              <w:top w:w="0" w:type="dxa"/>
              <w:left w:w="108" w:type="dxa"/>
              <w:bottom w:w="0" w:type="dxa"/>
              <w:right w:w="108" w:type="dxa"/>
            </w:tcMar>
            <w:vAlign w:val="center"/>
            <w:hideMark/>
          </w:tcPr>
          <w:p w14:paraId="370A3C76"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83</w:t>
            </w:r>
          </w:p>
        </w:tc>
        <w:tc>
          <w:tcPr>
            <w:tcW w:w="1480" w:type="dxa"/>
            <w:noWrap/>
            <w:tcMar>
              <w:top w:w="0" w:type="dxa"/>
              <w:left w:w="108" w:type="dxa"/>
              <w:bottom w:w="0" w:type="dxa"/>
              <w:right w:w="108" w:type="dxa"/>
            </w:tcMar>
            <w:vAlign w:val="center"/>
            <w:hideMark/>
          </w:tcPr>
          <w:p w14:paraId="1EBE46B2"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83</w:t>
            </w:r>
          </w:p>
        </w:tc>
      </w:tr>
      <w:tr w:rsidR="004B5FFC" w:rsidRPr="00BD440D" w14:paraId="7A51CC26" w14:textId="77777777" w:rsidTr="004B5FFC">
        <w:trPr>
          <w:trHeight w:val="420"/>
          <w:jc w:val="center"/>
        </w:trPr>
        <w:tc>
          <w:tcPr>
            <w:tcW w:w="1383" w:type="dxa"/>
            <w:noWrap/>
            <w:tcMar>
              <w:top w:w="0" w:type="dxa"/>
              <w:left w:w="108" w:type="dxa"/>
              <w:bottom w:w="0" w:type="dxa"/>
              <w:right w:w="108" w:type="dxa"/>
            </w:tcMar>
            <w:vAlign w:val="center"/>
            <w:hideMark/>
          </w:tcPr>
          <w:p w14:paraId="2C6A566F"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Pamatlīnija caur Rīgu</w:t>
            </w:r>
          </w:p>
          <w:p w14:paraId="0682B539"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(DTD1)</w:t>
            </w:r>
          </w:p>
        </w:tc>
        <w:tc>
          <w:tcPr>
            <w:tcW w:w="1720" w:type="dxa"/>
            <w:vAlign w:val="center"/>
          </w:tcPr>
          <w:p w14:paraId="5F6EF777"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733</w:t>
            </w:r>
          </w:p>
        </w:tc>
        <w:tc>
          <w:tcPr>
            <w:tcW w:w="1720" w:type="dxa"/>
            <w:noWrap/>
            <w:tcMar>
              <w:top w:w="0" w:type="dxa"/>
              <w:left w:w="108" w:type="dxa"/>
              <w:bottom w:w="0" w:type="dxa"/>
              <w:right w:w="108" w:type="dxa"/>
            </w:tcMar>
            <w:vAlign w:val="center"/>
            <w:hideMark/>
          </w:tcPr>
          <w:p w14:paraId="3F186D11"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32</w:t>
            </w:r>
          </w:p>
        </w:tc>
        <w:tc>
          <w:tcPr>
            <w:tcW w:w="1240" w:type="dxa"/>
            <w:noWrap/>
            <w:tcMar>
              <w:top w:w="0" w:type="dxa"/>
              <w:left w:w="108" w:type="dxa"/>
              <w:bottom w:w="0" w:type="dxa"/>
              <w:right w:w="108" w:type="dxa"/>
            </w:tcMar>
            <w:vAlign w:val="center"/>
            <w:hideMark/>
          </w:tcPr>
          <w:p w14:paraId="271D010A"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25</w:t>
            </w:r>
          </w:p>
        </w:tc>
        <w:tc>
          <w:tcPr>
            <w:tcW w:w="1080" w:type="dxa"/>
            <w:shd w:val="clear" w:color="auto" w:fill="E7E6E6"/>
            <w:noWrap/>
            <w:tcMar>
              <w:top w:w="0" w:type="dxa"/>
              <w:left w:w="108" w:type="dxa"/>
              <w:bottom w:w="0" w:type="dxa"/>
              <w:right w:w="108" w:type="dxa"/>
            </w:tcMar>
            <w:vAlign w:val="center"/>
            <w:hideMark/>
          </w:tcPr>
          <w:p w14:paraId="1EBDAAA3"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22</w:t>
            </w:r>
          </w:p>
        </w:tc>
        <w:tc>
          <w:tcPr>
            <w:tcW w:w="1480" w:type="dxa"/>
            <w:noWrap/>
            <w:tcMar>
              <w:top w:w="0" w:type="dxa"/>
              <w:left w:w="108" w:type="dxa"/>
              <w:bottom w:w="0" w:type="dxa"/>
              <w:right w:w="108" w:type="dxa"/>
            </w:tcMar>
            <w:vAlign w:val="center"/>
            <w:hideMark/>
          </w:tcPr>
          <w:p w14:paraId="6D47E60F"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22</w:t>
            </w:r>
          </w:p>
        </w:tc>
      </w:tr>
      <w:tr w:rsidR="004B5FFC" w:rsidRPr="00BD440D" w14:paraId="77F37B92" w14:textId="77777777" w:rsidTr="004B5FFC">
        <w:trPr>
          <w:trHeight w:val="465"/>
          <w:jc w:val="center"/>
        </w:trPr>
        <w:tc>
          <w:tcPr>
            <w:tcW w:w="1383" w:type="dxa"/>
            <w:noWrap/>
            <w:tcMar>
              <w:top w:w="0" w:type="dxa"/>
              <w:left w:w="108" w:type="dxa"/>
              <w:bottom w:w="0" w:type="dxa"/>
              <w:right w:w="108" w:type="dxa"/>
            </w:tcMar>
            <w:vAlign w:val="center"/>
            <w:hideMark/>
          </w:tcPr>
          <w:p w14:paraId="2F11D401"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Vangaži-Salaspils-Misa</w:t>
            </w:r>
          </w:p>
          <w:p w14:paraId="59FEEA20"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lastRenderedPageBreak/>
              <w:t>(DTD2)</w:t>
            </w:r>
          </w:p>
        </w:tc>
        <w:tc>
          <w:tcPr>
            <w:tcW w:w="1720" w:type="dxa"/>
            <w:vAlign w:val="center"/>
          </w:tcPr>
          <w:p w14:paraId="2368BD92"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lastRenderedPageBreak/>
              <w:t>405</w:t>
            </w:r>
          </w:p>
        </w:tc>
        <w:tc>
          <w:tcPr>
            <w:tcW w:w="1720" w:type="dxa"/>
            <w:noWrap/>
            <w:tcMar>
              <w:top w:w="0" w:type="dxa"/>
              <w:left w:w="108" w:type="dxa"/>
              <w:bottom w:w="0" w:type="dxa"/>
              <w:right w:w="108" w:type="dxa"/>
            </w:tcMar>
            <w:vAlign w:val="center"/>
            <w:hideMark/>
          </w:tcPr>
          <w:p w14:paraId="043D4BC1"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145</w:t>
            </w:r>
          </w:p>
        </w:tc>
        <w:tc>
          <w:tcPr>
            <w:tcW w:w="1240" w:type="dxa"/>
            <w:noWrap/>
            <w:tcMar>
              <w:top w:w="0" w:type="dxa"/>
              <w:left w:w="108" w:type="dxa"/>
              <w:bottom w:w="0" w:type="dxa"/>
              <w:right w:w="108" w:type="dxa"/>
            </w:tcMar>
            <w:vAlign w:val="center"/>
            <w:hideMark/>
          </w:tcPr>
          <w:p w14:paraId="3E8FEA0E"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121</w:t>
            </w:r>
          </w:p>
        </w:tc>
        <w:tc>
          <w:tcPr>
            <w:tcW w:w="1080" w:type="dxa"/>
            <w:shd w:val="clear" w:color="auto" w:fill="E7E6E6"/>
            <w:noWrap/>
            <w:tcMar>
              <w:top w:w="0" w:type="dxa"/>
              <w:left w:w="108" w:type="dxa"/>
              <w:bottom w:w="0" w:type="dxa"/>
              <w:right w:w="108" w:type="dxa"/>
            </w:tcMar>
            <w:vAlign w:val="center"/>
            <w:hideMark/>
          </w:tcPr>
          <w:p w14:paraId="3212E4BE"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w:t>
            </w:r>
          </w:p>
        </w:tc>
        <w:tc>
          <w:tcPr>
            <w:tcW w:w="1480" w:type="dxa"/>
            <w:noWrap/>
            <w:tcMar>
              <w:top w:w="0" w:type="dxa"/>
              <w:left w:w="108" w:type="dxa"/>
              <w:bottom w:w="0" w:type="dxa"/>
              <w:right w:w="108" w:type="dxa"/>
            </w:tcMar>
            <w:vAlign w:val="center"/>
            <w:hideMark/>
          </w:tcPr>
          <w:p w14:paraId="19DE15B5"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w:t>
            </w:r>
          </w:p>
        </w:tc>
      </w:tr>
      <w:tr w:rsidR="004B5FFC" w:rsidRPr="00BD440D" w14:paraId="294B9DB8" w14:textId="77777777" w:rsidTr="004B5FFC">
        <w:trPr>
          <w:trHeight w:val="465"/>
          <w:jc w:val="center"/>
        </w:trPr>
        <w:tc>
          <w:tcPr>
            <w:tcW w:w="1383" w:type="dxa"/>
            <w:noWrap/>
            <w:tcMar>
              <w:top w:w="0" w:type="dxa"/>
              <w:left w:w="108" w:type="dxa"/>
              <w:bottom w:w="0" w:type="dxa"/>
              <w:right w:w="108" w:type="dxa"/>
            </w:tcMar>
            <w:vAlign w:val="center"/>
            <w:hideMark/>
          </w:tcPr>
          <w:p w14:paraId="52D8806E"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Vangaži-LV/EE robeža</w:t>
            </w:r>
          </w:p>
          <w:p w14:paraId="56C3E77B"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(DTD3)</w:t>
            </w:r>
          </w:p>
        </w:tc>
        <w:tc>
          <w:tcPr>
            <w:tcW w:w="1720" w:type="dxa"/>
            <w:vAlign w:val="center"/>
          </w:tcPr>
          <w:p w14:paraId="34944CA0"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435</w:t>
            </w:r>
          </w:p>
        </w:tc>
        <w:tc>
          <w:tcPr>
            <w:tcW w:w="1720" w:type="dxa"/>
            <w:noWrap/>
            <w:tcMar>
              <w:top w:w="0" w:type="dxa"/>
              <w:left w:w="108" w:type="dxa"/>
              <w:bottom w:w="0" w:type="dxa"/>
              <w:right w:w="108" w:type="dxa"/>
            </w:tcMar>
            <w:vAlign w:val="center"/>
            <w:hideMark/>
          </w:tcPr>
          <w:p w14:paraId="384C6207"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201</w:t>
            </w:r>
          </w:p>
        </w:tc>
        <w:tc>
          <w:tcPr>
            <w:tcW w:w="1240" w:type="dxa"/>
            <w:noWrap/>
            <w:tcMar>
              <w:top w:w="0" w:type="dxa"/>
              <w:left w:w="108" w:type="dxa"/>
              <w:bottom w:w="0" w:type="dxa"/>
              <w:right w:w="108" w:type="dxa"/>
            </w:tcMar>
            <w:vAlign w:val="center"/>
            <w:hideMark/>
          </w:tcPr>
          <w:p w14:paraId="65598074"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43</w:t>
            </w:r>
          </w:p>
        </w:tc>
        <w:tc>
          <w:tcPr>
            <w:tcW w:w="1080" w:type="dxa"/>
            <w:shd w:val="clear" w:color="auto" w:fill="E7E6E6"/>
            <w:noWrap/>
            <w:tcMar>
              <w:top w:w="0" w:type="dxa"/>
              <w:left w:w="108" w:type="dxa"/>
              <w:bottom w:w="0" w:type="dxa"/>
              <w:right w:w="108" w:type="dxa"/>
            </w:tcMar>
            <w:vAlign w:val="center"/>
            <w:hideMark/>
          </w:tcPr>
          <w:p w14:paraId="35A1E125"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0</w:t>
            </w:r>
          </w:p>
        </w:tc>
        <w:tc>
          <w:tcPr>
            <w:tcW w:w="1480" w:type="dxa"/>
            <w:noWrap/>
            <w:tcMar>
              <w:top w:w="0" w:type="dxa"/>
              <w:left w:w="108" w:type="dxa"/>
              <w:bottom w:w="0" w:type="dxa"/>
              <w:right w:w="108" w:type="dxa"/>
            </w:tcMar>
            <w:vAlign w:val="center"/>
            <w:hideMark/>
          </w:tcPr>
          <w:p w14:paraId="1E471DB6"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0</w:t>
            </w:r>
          </w:p>
        </w:tc>
      </w:tr>
      <w:tr w:rsidR="004B5FFC" w:rsidRPr="00BD440D" w14:paraId="5EED18D5" w14:textId="77777777" w:rsidTr="004B5FFC">
        <w:trPr>
          <w:trHeight w:val="465"/>
          <w:jc w:val="center"/>
        </w:trPr>
        <w:tc>
          <w:tcPr>
            <w:tcW w:w="1383" w:type="dxa"/>
            <w:noWrap/>
            <w:tcMar>
              <w:top w:w="0" w:type="dxa"/>
              <w:left w:w="108" w:type="dxa"/>
              <w:bottom w:w="0" w:type="dxa"/>
              <w:right w:w="108" w:type="dxa"/>
            </w:tcMar>
            <w:vAlign w:val="center"/>
            <w:hideMark/>
          </w:tcPr>
          <w:p w14:paraId="54EE6413"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Misa-LV/LT robeža</w:t>
            </w:r>
          </w:p>
          <w:p w14:paraId="58820AA3"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(DTD4)</w:t>
            </w:r>
          </w:p>
        </w:tc>
        <w:tc>
          <w:tcPr>
            <w:tcW w:w="1720" w:type="dxa"/>
            <w:vAlign w:val="center"/>
          </w:tcPr>
          <w:p w14:paraId="0FDEF1F9"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268</w:t>
            </w:r>
          </w:p>
        </w:tc>
        <w:tc>
          <w:tcPr>
            <w:tcW w:w="1720" w:type="dxa"/>
            <w:noWrap/>
            <w:tcMar>
              <w:top w:w="0" w:type="dxa"/>
              <w:left w:w="108" w:type="dxa"/>
              <w:bottom w:w="0" w:type="dxa"/>
              <w:right w:w="108" w:type="dxa"/>
            </w:tcMar>
            <w:vAlign w:val="center"/>
            <w:hideMark/>
          </w:tcPr>
          <w:p w14:paraId="76F5A05D"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268</w:t>
            </w:r>
          </w:p>
        </w:tc>
        <w:tc>
          <w:tcPr>
            <w:tcW w:w="1240" w:type="dxa"/>
            <w:noWrap/>
            <w:tcMar>
              <w:top w:w="0" w:type="dxa"/>
              <w:left w:w="108" w:type="dxa"/>
              <w:bottom w:w="0" w:type="dxa"/>
              <w:right w:w="108" w:type="dxa"/>
            </w:tcMar>
            <w:vAlign w:val="center"/>
            <w:hideMark/>
          </w:tcPr>
          <w:p w14:paraId="481617DB"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268</w:t>
            </w:r>
          </w:p>
        </w:tc>
        <w:tc>
          <w:tcPr>
            <w:tcW w:w="1080" w:type="dxa"/>
            <w:shd w:val="clear" w:color="auto" w:fill="E7E6E6"/>
            <w:noWrap/>
            <w:tcMar>
              <w:top w:w="0" w:type="dxa"/>
              <w:left w:w="108" w:type="dxa"/>
              <w:bottom w:w="0" w:type="dxa"/>
              <w:right w:w="108" w:type="dxa"/>
            </w:tcMar>
            <w:vAlign w:val="center"/>
            <w:hideMark/>
          </w:tcPr>
          <w:p w14:paraId="129E0102"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54</w:t>
            </w:r>
          </w:p>
        </w:tc>
        <w:tc>
          <w:tcPr>
            <w:tcW w:w="1480" w:type="dxa"/>
            <w:noWrap/>
            <w:tcMar>
              <w:top w:w="0" w:type="dxa"/>
              <w:left w:w="108" w:type="dxa"/>
              <w:bottom w:w="0" w:type="dxa"/>
              <w:right w:w="108" w:type="dxa"/>
            </w:tcMar>
            <w:vAlign w:val="center"/>
            <w:hideMark/>
          </w:tcPr>
          <w:p w14:paraId="5299520A"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24</w:t>
            </w:r>
          </w:p>
        </w:tc>
      </w:tr>
      <w:tr w:rsidR="004B5FFC" w:rsidRPr="00BD440D" w14:paraId="2FA5B43B" w14:textId="77777777" w:rsidTr="004B5FFC">
        <w:trPr>
          <w:trHeight w:val="465"/>
          <w:jc w:val="center"/>
        </w:trPr>
        <w:tc>
          <w:tcPr>
            <w:tcW w:w="1383" w:type="dxa"/>
            <w:noWrap/>
            <w:tcMar>
              <w:top w:w="0" w:type="dxa"/>
              <w:left w:w="108" w:type="dxa"/>
              <w:bottom w:w="0" w:type="dxa"/>
              <w:right w:w="108" w:type="dxa"/>
            </w:tcMar>
            <w:vAlign w:val="center"/>
            <w:hideMark/>
          </w:tcPr>
          <w:p w14:paraId="48DE7CFE"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Intrastruktūras apkopes punkts Iecava</w:t>
            </w:r>
          </w:p>
          <w:p w14:paraId="1A6DFF68"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(IMF Iecava)</w:t>
            </w:r>
          </w:p>
        </w:tc>
        <w:tc>
          <w:tcPr>
            <w:tcW w:w="1720" w:type="dxa"/>
            <w:vAlign w:val="center"/>
          </w:tcPr>
          <w:p w14:paraId="08EBF82D"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4</w:t>
            </w:r>
          </w:p>
        </w:tc>
        <w:tc>
          <w:tcPr>
            <w:tcW w:w="1720" w:type="dxa"/>
            <w:noWrap/>
            <w:tcMar>
              <w:top w:w="0" w:type="dxa"/>
              <w:left w:w="108" w:type="dxa"/>
              <w:bottom w:w="0" w:type="dxa"/>
              <w:right w:w="108" w:type="dxa"/>
            </w:tcMar>
            <w:vAlign w:val="center"/>
            <w:hideMark/>
          </w:tcPr>
          <w:p w14:paraId="5F9C7D16"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4</w:t>
            </w:r>
          </w:p>
        </w:tc>
        <w:tc>
          <w:tcPr>
            <w:tcW w:w="1240" w:type="dxa"/>
            <w:noWrap/>
            <w:tcMar>
              <w:top w:w="0" w:type="dxa"/>
              <w:left w:w="108" w:type="dxa"/>
              <w:bottom w:w="0" w:type="dxa"/>
              <w:right w:w="108" w:type="dxa"/>
            </w:tcMar>
            <w:vAlign w:val="center"/>
            <w:hideMark/>
          </w:tcPr>
          <w:p w14:paraId="11778B50"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4</w:t>
            </w:r>
          </w:p>
        </w:tc>
        <w:tc>
          <w:tcPr>
            <w:tcW w:w="1080" w:type="dxa"/>
            <w:shd w:val="clear" w:color="auto" w:fill="E7E6E6"/>
            <w:noWrap/>
            <w:tcMar>
              <w:top w:w="0" w:type="dxa"/>
              <w:left w:w="108" w:type="dxa"/>
              <w:bottom w:w="0" w:type="dxa"/>
              <w:right w:w="108" w:type="dxa"/>
            </w:tcMar>
            <w:vAlign w:val="center"/>
            <w:hideMark/>
          </w:tcPr>
          <w:p w14:paraId="32283921"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0</w:t>
            </w:r>
          </w:p>
        </w:tc>
        <w:tc>
          <w:tcPr>
            <w:tcW w:w="1480" w:type="dxa"/>
            <w:noWrap/>
            <w:tcMar>
              <w:top w:w="0" w:type="dxa"/>
              <w:left w:w="108" w:type="dxa"/>
              <w:bottom w:w="0" w:type="dxa"/>
              <w:right w:w="108" w:type="dxa"/>
            </w:tcMar>
            <w:vAlign w:val="center"/>
            <w:hideMark/>
          </w:tcPr>
          <w:p w14:paraId="4C248240"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0</w:t>
            </w:r>
          </w:p>
        </w:tc>
      </w:tr>
      <w:tr w:rsidR="004B5FFC" w:rsidRPr="00BD440D" w14:paraId="6F03F965" w14:textId="77777777" w:rsidTr="004B5FFC">
        <w:trPr>
          <w:trHeight w:val="465"/>
          <w:jc w:val="center"/>
        </w:trPr>
        <w:tc>
          <w:tcPr>
            <w:tcW w:w="1383" w:type="dxa"/>
            <w:noWrap/>
            <w:tcMar>
              <w:top w:w="0" w:type="dxa"/>
              <w:left w:w="108" w:type="dxa"/>
              <w:bottom w:w="0" w:type="dxa"/>
              <w:right w:w="108" w:type="dxa"/>
            </w:tcMar>
            <w:vAlign w:val="center"/>
            <w:hideMark/>
          </w:tcPr>
          <w:p w14:paraId="03001341" w14:textId="77777777" w:rsidR="004B5FFC" w:rsidRPr="00BD440D" w:rsidRDefault="004B5FFC" w:rsidP="00262508">
            <w:pPr>
              <w:spacing w:after="0" w:line="240" w:lineRule="auto"/>
              <w:contextualSpacing/>
              <w:jc w:val="center"/>
              <w:rPr>
                <w:rFonts w:cs="Times New Roman"/>
                <w:sz w:val="20"/>
                <w:szCs w:val="20"/>
              </w:rPr>
            </w:pPr>
            <w:r w:rsidRPr="00BD440D">
              <w:rPr>
                <w:rFonts w:cs="Times New Roman"/>
                <w:sz w:val="20"/>
                <w:szCs w:val="20"/>
              </w:rPr>
              <w:t>Salaspils intermodālais loģistikas centrs</w:t>
            </w:r>
          </w:p>
          <w:p w14:paraId="34EF5398"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rPr>
              <w:t>(SILC)</w:t>
            </w:r>
          </w:p>
        </w:tc>
        <w:tc>
          <w:tcPr>
            <w:tcW w:w="1720" w:type="dxa"/>
            <w:vAlign w:val="center"/>
          </w:tcPr>
          <w:p w14:paraId="5C66C3CA" w14:textId="77777777"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20</w:t>
            </w:r>
          </w:p>
        </w:tc>
        <w:tc>
          <w:tcPr>
            <w:tcW w:w="1720" w:type="dxa"/>
            <w:noWrap/>
            <w:tcMar>
              <w:top w:w="0" w:type="dxa"/>
              <w:left w:w="108" w:type="dxa"/>
              <w:bottom w:w="0" w:type="dxa"/>
              <w:right w:w="108" w:type="dxa"/>
            </w:tcMar>
            <w:vAlign w:val="center"/>
            <w:hideMark/>
          </w:tcPr>
          <w:p w14:paraId="6D71F77E"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w:t>
            </w:r>
          </w:p>
        </w:tc>
        <w:tc>
          <w:tcPr>
            <w:tcW w:w="1240" w:type="dxa"/>
            <w:noWrap/>
            <w:tcMar>
              <w:top w:w="0" w:type="dxa"/>
              <w:left w:w="108" w:type="dxa"/>
              <w:bottom w:w="0" w:type="dxa"/>
              <w:right w:w="108" w:type="dxa"/>
            </w:tcMar>
            <w:vAlign w:val="center"/>
            <w:hideMark/>
          </w:tcPr>
          <w:p w14:paraId="4830982E"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1</w:t>
            </w:r>
          </w:p>
        </w:tc>
        <w:tc>
          <w:tcPr>
            <w:tcW w:w="1080" w:type="dxa"/>
            <w:shd w:val="clear" w:color="auto" w:fill="E7E6E6"/>
            <w:noWrap/>
            <w:tcMar>
              <w:top w:w="0" w:type="dxa"/>
              <w:left w:w="108" w:type="dxa"/>
              <w:bottom w:w="0" w:type="dxa"/>
              <w:right w:w="108" w:type="dxa"/>
            </w:tcMar>
            <w:vAlign w:val="center"/>
            <w:hideMark/>
          </w:tcPr>
          <w:p w14:paraId="0B4AFCD9"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0</w:t>
            </w:r>
          </w:p>
        </w:tc>
        <w:tc>
          <w:tcPr>
            <w:tcW w:w="1480" w:type="dxa"/>
            <w:noWrap/>
            <w:tcMar>
              <w:top w:w="0" w:type="dxa"/>
              <w:left w:w="108" w:type="dxa"/>
              <w:bottom w:w="0" w:type="dxa"/>
              <w:right w:w="108" w:type="dxa"/>
            </w:tcMar>
            <w:vAlign w:val="center"/>
            <w:hideMark/>
          </w:tcPr>
          <w:p w14:paraId="56D2C608"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0</w:t>
            </w:r>
          </w:p>
        </w:tc>
      </w:tr>
      <w:tr w:rsidR="004B5FFC" w:rsidRPr="00BD440D" w14:paraId="675C360B" w14:textId="77777777" w:rsidTr="004B5FFC">
        <w:trPr>
          <w:trHeight w:val="300"/>
          <w:jc w:val="center"/>
        </w:trPr>
        <w:tc>
          <w:tcPr>
            <w:tcW w:w="1383" w:type="dxa"/>
            <w:noWrap/>
            <w:tcMar>
              <w:top w:w="0" w:type="dxa"/>
              <w:left w:w="108" w:type="dxa"/>
              <w:bottom w:w="0" w:type="dxa"/>
              <w:right w:w="108" w:type="dxa"/>
            </w:tcMar>
            <w:vAlign w:val="center"/>
            <w:hideMark/>
          </w:tcPr>
          <w:p w14:paraId="06838564"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KOPĀ viss</w:t>
            </w:r>
          </w:p>
        </w:tc>
        <w:tc>
          <w:tcPr>
            <w:tcW w:w="1720" w:type="dxa"/>
            <w:vAlign w:val="center"/>
          </w:tcPr>
          <w:p w14:paraId="7EA0FDCE" w14:textId="35160A12" w:rsidR="004B5FFC" w:rsidRPr="00BD440D" w:rsidRDefault="004B5FFC" w:rsidP="00262508">
            <w:pPr>
              <w:spacing w:after="0" w:line="240" w:lineRule="auto"/>
              <w:contextualSpacing/>
              <w:jc w:val="center"/>
              <w:rPr>
                <w:rFonts w:cs="Times New Roman"/>
                <w:sz w:val="20"/>
                <w:szCs w:val="20"/>
                <w14:ligatures w14:val="standardContextual"/>
              </w:rPr>
            </w:pPr>
            <w:r>
              <w:rPr>
                <w:rFonts w:cs="Times New Roman"/>
                <w:sz w:val="20"/>
                <w:szCs w:val="20"/>
                <w14:ligatures w14:val="standardContextual"/>
              </w:rPr>
              <w:t>2078</w:t>
            </w:r>
            <w:r w:rsidR="00FF2A24">
              <w:rPr>
                <w:rStyle w:val="FootnoteReference"/>
                <w:rFonts w:cs="Times New Roman"/>
                <w:sz w:val="20"/>
                <w:szCs w:val="20"/>
                <w14:ligatures w14:val="standardContextual"/>
              </w:rPr>
              <w:footnoteReference w:id="14"/>
            </w:r>
          </w:p>
        </w:tc>
        <w:tc>
          <w:tcPr>
            <w:tcW w:w="1720" w:type="dxa"/>
            <w:noWrap/>
            <w:tcMar>
              <w:top w:w="0" w:type="dxa"/>
              <w:left w:w="108" w:type="dxa"/>
              <w:bottom w:w="0" w:type="dxa"/>
              <w:right w:w="108" w:type="dxa"/>
            </w:tcMar>
            <w:vAlign w:val="center"/>
            <w:hideMark/>
          </w:tcPr>
          <w:p w14:paraId="0135B5AF"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864</w:t>
            </w:r>
          </w:p>
        </w:tc>
        <w:tc>
          <w:tcPr>
            <w:tcW w:w="1240" w:type="dxa"/>
            <w:noWrap/>
            <w:tcMar>
              <w:top w:w="0" w:type="dxa"/>
              <w:left w:w="108" w:type="dxa"/>
              <w:bottom w:w="0" w:type="dxa"/>
              <w:right w:w="108" w:type="dxa"/>
            </w:tcMar>
            <w:vAlign w:val="center"/>
            <w:hideMark/>
          </w:tcPr>
          <w:p w14:paraId="0487B925"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675</w:t>
            </w:r>
          </w:p>
        </w:tc>
        <w:tc>
          <w:tcPr>
            <w:tcW w:w="1080" w:type="dxa"/>
            <w:shd w:val="clear" w:color="auto" w:fill="E7E6E6"/>
            <w:noWrap/>
            <w:tcMar>
              <w:top w:w="0" w:type="dxa"/>
              <w:left w:w="108" w:type="dxa"/>
              <w:bottom w:w="0" w:type="dxa"/>
              <w:right w:w="108" w:type="dxa"/>
            </w:tcMar>
            <w:vAlign w:val="center"/>
            <w:hideMark/>
          </w:tcPr>
          <w:p w14:paraId="65D66741"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275</w:t>
            </w:r>
          </w:p>
        </w:tc>
        <w:tc>
          <w:tcPr>
            <w:tcW w:w="1480" w:type="dxa"/>
            <w:noWrap/>
            <w:tcMar>
              <w:top w:w="0" w:type="dxa"/>
              <w:left w:w="108" w:type="dxa"/>
              <w:bottom w:w="0" w:type="dxa"/>
              <w:right w:w="108" w:type="dxa"/>
            </w:tcMar>
            <w:vAlign w:val="center"/>
            <w:hideMark/>
          </w:tcPr>
          <w:p w14:paraId="6D441165" w14:textId="77777777" w:rsidR="004B5FFC" w:rsidRPr="00BD440D" w:rsidRDefault="004B5FFC" w:rsidP="00262508">
            <w:pPr>
              <w:spacing w:after="0" w:line="240" w:lineRule="auto"/>
              <w:contextualSpacing/>
              <w:jc w:val="center"/>
              <w:rPr>
                <w:rFonts w:cs="Times New Roman"/>
                <w:sz w:val="20"/>
                <w:szCs w:val="20"/>
                <w14:ligatures w14:val="standardContextual"/>
              </w:rPr>
            </w:pPr>
            <w:r w:rsidRPr="00BD440D">
              <w:rPr>
                <w:rFonts w:cs="Times New Roman"/>
                <w:sz w:val="20"/>
                <w:szCs w:val="20"/>
                <w14:ligatures w14:val="standardContextual"/>
              </w:rPr>
              <w:t>242</w:t>
            </w:r>
          </w:p>
        </w:tc>
      </w:tr>
    </w:tbl>
    <w:p w14:paraId="5011B5DC" w14:textId="77777777" w:rsidR="00803D00" w:rsidRPr="00803D00" w:rsidRDefault="00803D00" w:rsidP="001D5E77">
      <w:pPr>
        <w:spacing w:after="0" w:line="240" w:lineRule="auto"/>
        <w:ind w:left="357"/>
        <w:jc w:val="center"/>
        <w:rPr>
          <w:b/>
          <w:bCs/>
          <w:sz w:val="24"/>
          <w:szCs w:val="24"/>
          <w:lang w:eastAsia="lv-LV"/>
        </w:rPr>
      </w:pPr>
    </w:p>
    <w:p w14:paraId="1868C1A9" w14:textId="0B934347" w:rsidR="00275EF0" w:rsidRPr="001D5E77" w:rsidRDefault="00D32ACB" w:rsidP="001D5E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0275EF0" w:rsidRPr="001D5E77">
        <w:rPr>
          <w:rFonts w:eastAsiaTheme="minorEastAsia" w:cs="Times New Roman"/>
          <w:sz w:val="24"/>
          <w:szCs w:val="24"/>
          <w:lang w:eastAsia="lv-LV"/>
        </w:rPr>
        <w:t>Noslēdzot līgumu ED</w:t>
      </w:r>
      <w:r w:rsidR="00EB7F4A">
        <w:rPr>
          <w:rFonts w:eastAsiaTheme="minorEastAsia" w:cs="Times New Roman"/>
          <w:sz w:val="24"/>
          <w:szCs w:val="24"/>
          <w:lang w:eastAsia="lv-LV"/>
        </w:rPr>
        <w:t>Z</w:t>
      </w:r>
      <w:r w:rsidR="00275EF0" w:rsidRPr="001D5E77">
        <w:rPr>
          <w:rFonts w:eastAsiaTheme="minorEastAsia" w:cs="Times New Roman"/>
          <w:sz w:val="24"/>
          <w:szCs w:val="24"/>
          <w:lang w:eastAsia="lv-LV"/>
        </w:rPr>
        <w:t xml:space="preserve">L ir pēc iespējas ātrākā termiņā, ņemot vērā būvdarbu uzsākšanas priekšnosacījumu </w:t>
      </w:r>
      <w:r w:rsidR="00EB7F4A">
        <w:rPr>
          <w:rFonts w:eastAsiaTheme="minorEastAsia" w:cs="Times New Roman"/>
          <w:sz w:val="24"/>
          <w:szCs w:val="24"/>
          <w:lang w:eastAsia="lv-LV"/>
        </w:rPr>
        <w:t>izpildes kritērijus</w:t>
      </w:r>
      <w:r w:rsidR="00275EF0" w:rsidRPr="001D5E77">
        <w:rPr>
          <w:rFonts w:eastAsiaTheme="minorEastAsia" w:cs="Times New Roman"/>
          <w:sz w:val="24"/>
          <w:szCs w:val="24"/>
          <w:lang w:eastAsia="lv-LV"/>
        </w:rPr>
        <w:t>, jāpasūta (jāaktivizē) CEF</w:t>
      </w:r>
      <w:r w:rsidR="00EB7F4A">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8 un CEF</w:t>
      </w:r>
      <w:r w:rsidR="00EB7F4A">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 xml:space="preserve">9 iekļautie darbi. </w:t>
      </w:r>
      <w:r w:rsidR="00EB7F4A">
        <w:rPr>
          <w:rFonts w:eastAsiaTheme="minorEastAsia" w:cs="Times New Roman"/>
          <w:sz w:val="24"/>
          <w:szCs w:val="24"/>
          <w:lang w:eastAsia="lv-LV"/>
        </w:rPr>
        <w:t>Šo d</w:t>
      </w:r>
      <w:r w:rsidR="00275EF0" w:rsidRPr="001D5E77">
        <w:rPr>
          <w:rFonts w:eastAsiaTheme="minorEastAsia" w:cs="Times New Roman"/>
          <w:sz w:val="24"/>
          <w:szCs w:val="24"/>
          <w:lang w:eastAsia="lv-LV"/>
        </w:rPr>
        <w:t>arbu izpilde</w:t>
      </w:r>
      <w:r w:rsidR="00EB7F4A">
        <w:rPr>
          <w:rFonts w:eastAsiaTheme="minorEastAsia" w:cs="Times New Roman"/>
          <w:sz w:val="24"/>
          <w:szCs w:val="24"/>
          <w:lang w:eastAsia="lv-LV"/>
        </w:rPr>
        <w:t>s termiņš</w:t>
      </w:r>
      <w:r w:rsidR="00275EF0" w:rsidRPr="001D5E77">
        <w:rPr>
          <w:rFonts w:eastAsiaTheme="minorEastAsia" w:cs="Times New Roman"/>
          <w:sz w:val="24"/>
          <w:szCs w:val="24"/>
          <w:lang w:eastAsia="lv-LV"/>
        </w:rPr>
        <w:t xml:space="preserve"> ir </w:t>
      </w:r>
      <w:r w:rsidR="00EB7F4A">
        <w:rPr>
          <w:rFonts w:eastAsiaTheme="minorEastAsia" w:cs="Times New Roman"/>
          <w:sz w:val="24"/>
          <w:szCs w:val="24"/>
          <w:lang w:eastAsia="lv-LV"/>
        </w:rPr>
        <w:t>noteikts</w:t>
      </w:r>
      <w:r w:rsidR="00275EF0" w:rsidRPr="001D5E77">
        <w:rPr>
          <w:rFonts w:eastAsiaTheme="minorEastAsia" w:cs="Times New Roman"/>
          <w:sz w:val="24"/>
          <w:szCs w:val="24"/>
          <w:lang w:eastAsia="lv-LV"/>
        </w:rPr>
        <w:t xml:space="preserve"> 36 mēneš</w:t>
      </w:r>
      <w:r w:rsidR="00EB7F4A">
        <w:rPr>
          <w:rFonts w:eastAsiaTheme="minorEastAsia" w:cs="Times New Roman"/>
          <w:sz w:val="24"/>
          <w:szCs w:val="24"/>
          <w:lang w:eastAsia="lv-LV"/>
        </w:rPr>
        <w:t>i</w:t>
      </w:r>
      <w:r w:rsidR="00275EF0" w:rsidRPr="001D5E77">
        <w:rPr>
          <w:rFonts w:eastAsiaTheme="minorEastAsia" w:cs="Times New Roman"/>
          <w:sz w:val="24"/>
          <w:szCs w:val="24"/>
          <w:lang w:eastAsia="lv-LV"/>
        </w:rPr>
        <w:t>. Gadījumā, ja ED</w:t>
      </w:r>
      <w:r w:rsidR="00EB7F4A">
        <w:rPr>
          <w:rFonts w:eastAsiaTheme="minorEastAsia" w:cs="Times New Roman"/>
          <w:sz w:val="24"/>
          <w:szCs w:val="24"/>
          <w:lang w:eastAsia="lv-LV"/>
        </w:rPr>
        <w:t>Z</w:t>
      </w:r>
      <w:r w:rsidR="00275EF0" w:rsidRPr="001D5E77">
        <w:rPr>
          <w:rFonts w:eastAsiaTheme="minorEastAsia" w:cs="Times New Roman"/>
          <w:sz w:val="24"/>
          <w:szCs w:val="24"/>
          <w:lang w:eastAsia="lv-LV"/>
        </w:rPr>
        <w:t xml:space="preserve">L kādu iemeslu dēļ nevar un neplāno pasūtīt vēl kādus darbus šajā 36 mēnešu periodā, tad iestājas </w:t>
      </w:r>
      <w:r w:rsidR="0042463A">
        <w:rPr>
          <w:rFonts w:eastAsiaTheme="minorEastAsia" w:cs="Times New Roman"/>
          <w:sz w:val="24"/>
          <w:szCs w:val="24"/>
          <w:lang w:eastAsia="lv-LV"/>
        </w:rPr>
        <w:t>nepieciešamība</w:t>
      </w:r>
      <w:r w:rsidR="00275EF0" w:rsidRPr="001D5E77">
        <w:rPr>
          <w:rFonts w:eastAsiaTheme="minorEastAsia" w:cs="Times New Roman"/>
          <w:sz w:val="24"/>
          <w:szCs w:val="24"/>
          <w:lang w:eastAsia="lv-LV"/>
        </w:rPr>
        <w:t xml:space="preserve"> veikt priekšlaicīgu līguma izbeigšanu, kas savukārt, atbilstoši </w:t>
      </w:r>
      <w:r w:rsidR="00BA0B00">
        <w:rPr>
          <w:rFonts w:eastAsiaTheme="minorEastAsia" w:cs="Times New Roman"/>
          <w:sz w:val="24"/>
          <w:szCs w:val="24"/>
          <w:lang w:eastAsia="lv-LV"/>
        </w:rPr>
        <w:t>L</w:t>
      </w:r>
      <w:r w:rsidR="00275EF0" w:rsidRPr="001D5E77">
        <w:rPr>
          <w:rFonts w:eastAsiaTheme="minorEastAsia" w:cs="Times New Roman"/>
          <w:sz w:val="24"/>
          <w:szCs w:val="24"/>
          <w:lang w:eastAsia="lv-LV"/>
        </w:rPr>
        <w:t>īgumam</w:t>
      </w:r>
      <w:r w:rsidR="00ED7203">
        <w:rPr>
          <w:rFonts w:eastAsiaTheme="minorEastAsia" w:cs="Times New Roman"/>
          <w:sz w:val="24"/>
          <w:szCs w:val="24"/>
          <w:lang w:eastAsia="lv-LV"/>
        </w:rPr>
        <w:t>,</w:t>
      </w:r>
      <w:r w:rsidR="007D6DD6">
        <w:rPr>
          <w:rStyle w:val="FootnoteReference"/>
          <w:rFonts w:eastAsiaTheme="minorEastAsia" w:cs="Times New Roman"/>
          <w:sz w:val="24"/>
          <w:szCs w:val="24"/>
          <w:lang w:eastAsia="lv-LV"/>
        </w:rPr>
        <w:footnoteReference w:id="15"/>
      </w:r>
      <w:r w:rsidR="00AA48E2">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 xml:space="preserve">paredz Uzņēmējam </w:t>
      </w:r>
      <w:r w:rsidR="00AA48E2">
        <w:rPr>
          <w:rFonts w:eastAsiaTheme="minorEastAsia" w:cs="Times New Roman"/>
          <w:sz w:val="24"/>
          <w:szCs w:val="24"/>
          <w:lang w:eastAsia="lv-LV"/>
        </w:rPr>
        <w:t>L</w:t>
      </w:r>
      <w:r w:rsidR="00275EF0" w:rsidRPr="001D5E77">
        <w:rPr>
          <w:rFonts w:eastAsiaTheme="minorEastAsia" w:cs="Times New Roman"/>
          <w:sz w:val="24"/>
          <w:szCs w:val="24"/>
          <w:lang w:eastAsia="lv-LV"/>
        </w:rPr>
        <w:t>īguma izbeigšanas gadījumā raduš</w:t>
      </w:r>
      <w:r w:rsidR="00ED7203">
        <w:rPr>
          <w:rFonts w:eastAsiaTheme="minorEastAsia" w:cs="Times New Roman"/>
          <w:sz w:val="24"/>
          <w:szCs w:val="24"/>
          <w:lang w:eastAsia="lv-LV"/>
        </w:rPr>
        <w:t>o</w:t>
      </w:r>
      <w:r w:rsidR="00275EF0" w:rsidRPr="001D5E77">
        <w:rPr>
          <w:rFonts w:eastAsiaTheme="minorEastAsia" w:cs="Times New Roman"/>
          <w:sz w:val="24"/>
          <w:szCs w:val="24"/>
          <w:lang w:eastAsia="lv-LV"/>
        </w:rPr>
        <w:t>s izmaksu segšanu, tādu kā:</w:t>
      </w:r>
    </w:p>
    <w:p w14:paraId="05DA2676" w14:textId="2B88C439" w:rsidR="00275EF0" w:rsidRPr="001D5E77" w:rsidRDefault="00ED7203" w:rsidP="001D5E77">
      <w:pPr>
        <w:numPr>
          <w:ilvl w:val="0"/>
          <w:numId w:val="34"/>
        </w:numPr>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d</w:t>
      </w:r>
      <w:r w:rsidR="00275EF0" w:rsidRPr="001D5E77">
        <w:rPr>
          <w:rFonts w:eastAsiaTheme="minorEastAsia" w:cs="Times New Roman"/>
          <w:sz w:val="24"/>
          <w:szCs w:val="24"/>
          <w:lang w:eastAsia="lv-LV"/>
        </w:rPr>
        <w:t>emobilizācijas izmaksas</w:t>
      </w:r>
      <w:r w:rsidR="005368BA">
        <w:rPr>
          <w:rStyle w:val="FootnoteReference"/>
          <w:rFonts w:eastAsiaTheme="minorEastAsia" w:cs="Times New Roman"/>
          <w:sz w:val="24"/>
          <w:szCs w:val="24"/>
          <w:lang w:eastAsia="lv-LV"/>
        </w:rPr>
        <w:footnoteReference w:id="16"/>
      </w:r>
      <w:r w:rsidR="00275EF0" w:rsidRPr="001D5E77">
        <w:rPr>
          <w:rFonts w:eastAsiaTheme="minorEastAsia" w:cs="Times New Roman"/>
          <w:sz w:val="24"/>
          <w:szCs w:val="24"/>
          <w:lang w:eastAsia="lv-LV"/>
        </w:rPr>
        <w:t xml:space="preserve"> (galvenais ofiss, reģionālie ofisi un posmu ofisi) atbilstoši piedāvājuma formā norādītajam apmēram. CEF</w:t>
      </w:r>
      <w:r>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8 un CEF</w:t>
      </w:r>
      <w:r>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9 pasūtāmo darbu ietvaros līdz  1 000 000 EUR;</w:t>
      </w:r>
    </w:p>
    <w:p w14:paraId="1D021F39" w14:textId="5D505FEA"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Nomas maksa būvlaukuma ofisiem līdz 12 mēnešu apjomā atbilstoši piedāvājuma formā norādītajam apmēram. CEF</w:t>
      </w:r>
      <w:r w:rsidR="00ED7203">
        <w:rPr>
          <w:rFonts w:eastAsiaTheme="minorEastAsia" w:cs="Times New Roman"/>
          <w:sz w:val="24"/>
          <w:szCs w:val="24"/>
          <w:lang w:eastAsia="lv-LV"/>
        </w:rPr>
        <w:t xml:space="preserve"> </w:t>
      </w:r>
      <w:r w:rsidRPr="001D5E77">
        <w:rPr>
          <w:rFonts w:eastAsiaTheme="minorEastAsia" w:cs="Times New Roman"/>
          <w:sz w:val="24"/>
          <w:szCs w:val="24"/>
          <w:lang w:eastAsia="lv-LV"/>
        </w:rPr>
        <w:t>8 un CEF</w:t>
      </w:r>
      <w:r w:rsidR="00ED7203">
        <w:rPr>
          <w:rFonts w:eastAsiaTheme="minorEastAsia" w:cs="Times New Roman"/>
          <w:sz w:val="24"/>
          <w:szCs w:val="24"/>
          <w:lang w:eastAsia="lv-LV"/>
        </w:rPr>
        <w:t xml:space="preserve"> </w:t>
      </w:r>
      <w:r w:rsidRPr="001D5E77">
        <w:rPr>
          <w:rFonts w:eastAsiaTheme="minorEastAsia" w:cs="Times New Roman"/>
          <w:sz w:val="24"/>
          <w:szCs w:val="24"/>
          <w:lang w:eastAsia="lv-LV"/>
        </w:rPr>
        <w:t>9 pasūtāmo darbu ietvaros līdz  250 000 EUR;</w:t>
      </w:r>
    </w:p>
    <w:p w14:paraId="75749F30" w14:textId="50A19594"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Uzņēmēja personāla izmaksu segšana 6 mēnešu apmērā atbilstoši piedāvājuma formā norādītajam apmēram (atbilstoši mobilizētajam sastāvam galvenajā, reģionālajā un posmu komandās). CEF</w:t>
      </w:r>
      <w:r w:rsidR="00ED7203">
        <w:rPr>
          <w:rFonts w:eastAsiaTheme="minorEastAsia" w:cs="Times New Roman"/>
          <w:sz w:val="24"/>
          <w:szCs w:val="24"/>
          <w:lang w:eastAsia="lv-LV"/>
        </w:rPr>
        <w:t xml:space="preserve"> </w:t>
      </w:r>
      <w:r w:rsidRPr="001D5E77">
        <w:rPr>
          <w:rFonts w:eastAsiaTheme="minorEastAsia" w:cs="Times New Roman"/>
          <w:sz w:val="24"/>
          <w:szCs w:val="24"/>
          <w:lang w:eastAsia="lv-LV"/>
        </w:rPr>
        <w:t>8 un CEF</w:t>
      </w:r>
      <w:r w:rsidR="00ED7203">
        <w:rPr>
          <w:rFonts w:eastAsiaTheme="minorEastAsia" w:cs="Times New Roman"/>
          <w:sz w:val="24"/>
          <w:szCs w:val="24"/>
          <w:lang w:eastAsia="lv-LV"/>
        </w:rPr>
        <w:t xml:space="preserve"> </w:t>
      </w:r>
      <w:r w:rsidRPr="001D5E77">
        <w:rPr>
          <w:rFonts w:eastAsiaTheme="minorEastAsia" w:cs="Times New Roman"/>
          <w:sz w:val="24"/>
          <w:szCs w:val="24"/>
          <w:lang w:eastAsia="lv-LV"/>
        </w:rPr>
        <w:t>9 pasūtāmo darbu ietvaros līdz  5 500 000 EUR;</w:t>
      </w:r>
    </w:p>
    <w:p w14:paraId="160BF5F4" w14:textId="3688EAFC"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Izpilddokumentācijas nodrošināšanas izmaksas atbilstoši piedāvājuma formā norādītajam apmēram. CEF</w:t>
      </w:r>
      <w:r w:rsidR="00ED7203">
        <w:rPr>
          <w:rFonts w:eastAsiaTheme="minorEastAsia" w:cs="Times New Roman"/>
          <w:sz w:val="24"/>
          <w:szCs w:val="24"/>
          <w:lang w:eastAsia="lv-LV"/>
        </w:rPr>
        <w:t xml:space="preserve"> </w:t>
      </w:r>
      <w:r w:rsidRPr="001D5E77">
        <w:rPr>
          <w:rFonts w:eastAsiaTheme="minorEastAsia" w:cs="Times New Roman"/>
          <w:sz w:val="24"/>
          <w:szCs w:val="24"/>
          <w:lang w:eastAsia="lv-LV"/>
        </w:rPr>
        <w:t>8 un CEF</w:t>
      </w:r>
      <w:r w:rsidR="00ED7203">
        <w:rPr>
          <w:rFonts w:eastAsiaTheme="minorEastAsia" w:cs="Times New Roman"/>
          <w:sz w:val="24"/>
          <w:szCs w:val="24"/>
          <w:lang w:eastAsia="lv-LV"/>
        </w:rPr>
        <w:t xml:space="preserve"> </w:t>
      </w:r>
      <w:r w:rsidRPr="001D5E77">
        <w:rPr>
          <w:rFonts w:eastAsiaTheme="minorEastAsia" w:cs="Times New Roman"/>
          <w:sz w:val="24"/>
          <w:szCs w:val="24"/>
          <w:lang w:eastAsia="lv-LV"/>
        </w:rPr>
        <w:t>9 pasūtāmo darbu ietvaros līdz  100 000 EUR;</w:t>
      </w:r>
    </w:p>
    <w:p w14:paraId="63E75719" w14:textId="77777777" w:rsidR="00275EF0" w:rsidRPr="001D5E77" w:rsidRDefault="00275EF0" w:rsidP="001D5E77">
      <w:p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Kopā: 6 850 000 EUR</w:t>
      </w:r>
    </w:p>
    <w:p w14:paraId="31F755FB" w14:textId="77777777" w:rsidR="00C1757A" w:rsidRDefault="00C1757A" w:rsidP="00C1757A">
      <w:pPr>
        <w:spacing w:after="0" w:line="240" w:lineRule="auto"/>
        <w:contextualSpacing/>
        <w:jc w:val="both"/>
        <w:rPr>
          <w:rFonts w:eastAsiaTheme="minorEastAsia" w:cs="Times New Roman"/>
          <w:sz w:val="24"/>
          <w:szCs w:val="24"/>
          <w:lang w:eastAsia="lv-LV"/>
        </w:rPr>
      </w:pPr>
    </w:p>
    <w:p w14:paraId="3D054288" w14:textId="784F76FD" w:rsidR="00275EF0" w:rsidRPr="001D5E77" w:rsidRDefault="00D32ACB" w:rsidP="001D5E77">
      <w:pPr>
        <w:tabs>
          <w:tab w:val="left" w:pos="567"/>
        </w:tabs>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ab/>
      </w:r>
      <w:r w:rsidR="00275EF0" w:rsidRPr="001D5E77">
        <w:rPr>
          <w:rFonts w:eastAsiaTheme="minorEastAsia" w:cs="Times New Roman"/>
          <w:sz w:val="24"/>
          <w:szCs w:val="24"/>
          <w:lang w:eastAsia="lv-LV"/>
        </w:rPr>
        <w:t>Papildus Uzņēmējam tiks kompensēt</w:t>
      </w:r>
      <w:r w:rsidR="00D1118F" w:rsidRPr="00963413">
        <w:rPr>
          <w:rFonts w:eastAsiaTheme="minorEastAsia" w:cs="Times New Roman"/>
          <w:sz w:val="24"/>
          <w:szCs w:val="24"/>
          <w:lang w:eastAsia="lv-LV"/>
        </w:rPr>
        <w:t>a</w:t>
      </w:r>
      <w:r w:rsidR="00275EF0" w:rsidRPr="001D5E77">
        <w:rPr>
          <w:rFonts w:eastAsiaTheme="minorEastAsia" w:cs="Times New Roman"/>
          <w:sz w:val="24"/>
          <w:szCs w:val="24"/>
          <w:lang w:eastAsia="lv-LV"/>
        </w:rPr>
        <w:t>s darba, materiālu un personāla izmaksas, kas radušās priekšlaicīgas līguma izbeigšanas gadījumā attiecībā uz pasūtītajiem posmiem (būvatļaujām), tādas kā:</w:t>
      </w:r>
    </w:p>
    <w:p w14:paraId="0DD63D31" w14:textId="77777777"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Būvlaukumā mobilizētā aprīkojuma, tehnikas nomas maksa 15 kalendāro dienu apmērā, kas aprēķināta uz iepriekšējo 3 mēnešu bāzes un pamatojošajiem dokumentiem;</w:t>
      </w:r>
    </w:p>
    <w:p w14:paraId="6EF635D9" w14:textId="38DC98D9"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lastRenderedPageBreak/>
        <w:t>Paveiktie pastāvīgie darbi, kas nav apmaksāti, kā arī materiālu, kas nav iestrādāti, bet piegādāti/izgatavoti būvlaukumā izmaksas</w:t>
      </w:r>
      <w:r w:rsidR="00963413">
        <w:rPr>
          <w:rFonts w:eastAsiaTheme="minorEastAsia" w:cs="Times New Roman"/>
          <w:sz w:val="24"/>
          <w:szCs w:val="24"/>
          <w:lang w:eastAsia="lv-LV"/>
        </w:rPr>
        <w:t xml:space="preserve"> (</w:t>
      </w:r>
      <w:r w:rsidR="00D75740">
        <w:rPr>
          <w:rFonts w:eastAsiaTheme="minorEastAsia" w:cs="Times New Roman"/>
          <w:sz w:val="24"/>
          <w:szCs w:val="24"/>
          <w:lang w:eastAsia="lv-LV"/>
        </w:rPr>
        <w:t xml:space="preserve">materiāli pēc to apmaksas paliek Pasūtītāja </w:t>
      </w:r>
      <w:r w:rsidR="00D8083C">
        <w:rPr>
          <w:rFonts w:eastAsiaTheme="minorEastAsia" w:cs="Times New Roman"/>
          <w:sz w:val="24"/>
          <w:szCs w:val="24"/>
          <w:lang w:eastAsia="lv-LV"/>
        </w:rPr>
        <w:t>rīcībā</w:t>
      </w:r>
      <w:r w:rsidR="00582150">
        <w:rPr>
          <w:rFonts w:eastAsiaTheme="minorEastAsia" w:cs="Times New Roman"/>
          <w:sz w:val="24"/>
          <w:szCs w:val="24"/>
          <w:lang w:eastAsia="lv-LV"/>
        </w:rPr>
        <w:t>);</w:t>
      </w:r>
    </w:p>
    <w:p w14:paraId="767CB6BF" w14:textId="77777777"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Izbūvēto būvju konservācijas darbi, ja nepieciešami;</w:t>
      </w:r>
    </w:p>
    <w:p w14:paraId="297BB367" w14:textId="01E08405"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Nenosegtā izpildes nodrošinājuma, apdrošināšanas izmaksas</w:t>
      </w:r>
      <w:r w:rsidR="00E542DB">
        <w:rPr>
          <w:rStyle w:val="FootnoteReference"/>
          <w:rFonts w:eastAsiaTheme="minorEastAsia" w:cs="Times New Roman"/>
          <w:sz w:val="24"/>
          <w:szCs w:val="24"/>
          <w:lang w:eastAsia="lv-LV"/>
        </w:rPr>
        <w:footnoteReference w:id="17"/>
      </w:r>
      <w:r w:rsidR="001E1396">
        <w:rPr>
          <w:rFonts w:eastAsiaTheme="minorEastAsia" w:cs="Times New Roman"/>
          <w:sz w:val="24"/>
          <w:szCs w:val="24"/>
          <w:lang w:eastAsia="lv-LV"/>
        </w:rPr>
        <w:t>;</w:t>
      </w:r>
    </w:p>
    <w:p w14:paraId="099E2D32" w14:textId="436FFD10"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Kompensācija apakšuzņēmējiem 5% apmērā no noslēgto līgumu apmērā pasūtītajiem posmiem (būvatļaujām)</w:t>
      </w:r>
      <w:r w:rsidR="009D78C8">
        <w:rPr>
          <w:rStyle w:val="FootnoteReference"/>
          <w:rFonts w:eastAsiaTheme="minorEastAsia" w:cs="Times New Roman"/>
          <w:sz w:val="24"/>
          <w:szCs w:val="24"/>
          <w:lang w:eastAsia="lv-LV"/>
        </w:rPr>
        <w:footnoteReference w:id="18"/>
      </w:r>
      <w:r w:rsidRPr="001D5E77">
        <w:rPr>
          <w:rFonts w:eastAsiaTheme="minorEastAsia" w:cs="Times New Roman"/>
          <w:sz w:val="24"/>
          <w:szCs w:val="24"/>
          <w:lang w:eastAsia="lv-LV"/>
        </w:rPr>
        <w:t>;</w:t>
      </w:r>
    </w:p>
    <w:p w14:paraId="1438822D" w14:textId="72FBE681" w:rsidR="00275EF0" w:rsidRPr="001D5E77" w:rsidRDefault="00275EF0" w:rsidP="001D5E77">
      <w:pPr>
        <w:numPr>
          <w:ilvl w:val="0"/>
          <w:numId w:val="34"/>
        </w:numPr>
        <w:spacing w:after="0" w:line="240" w:lineRule="auto"/>
        <w:contextualSpacing/>
        <w:jc w:val="both"/>
        <w:rPr>
          <w:rFonts w:eastAsiaTheme="minorEastAsia" w:cs="Times New Roman"/>
          <w:sz w:val="24"/>
          <w:szCs w:val="24"/>
          <w:lang w:eastAsia="lv-LV"/>
        </w:rPr>
      </w:pPr>
      <w:r w:rsidRPr="001D5E77">
        <w:rPr>
          <w:rFonts w:eastAsiaTheme="minorEastAsia" w:cs="Times New Roman"/>
          <w:sz w:val="24"/>
          <w:szCs w:val="24"/>
          <w:lang w:eastAsia="lv-LV"/>
        </w:rPr>
        <w:t>Fiksēta kompensācija citām izmaksām, kas nav uzskaitītas augstāk 2,5% apmērā no pasūtītajiem darbiem</w:t>
      </w:r>
      <w:r w:rsidR="00AF1C14">
        <w:rPr>
          <w:rStyle w:val="FootnoteReference"/>
          <w:rFonts w:eastAsiaTheme="minorEastAsia" w:cs="Times New Roman"/>
          <w:sz w:val="24"/>
          <w:szCs w:val="24"/>
          <w:lang w:eastAsia="lv-LV"/>
        </w:rPr>
        <w:footnoteReference w:id="19"/>
      </w:r>
      <w:r w:rsidRPr="001D5E77">
        <w:rPr>
          <w:rFonts w:eastAsiaTheme="minorEastAsia" w:cs="Times New Roman"/>
          <w:sz w:val="24"/>
          <w:szCs w:val="24"/>
          <w:lang w:eastAsia="lv-LV"/>
        </w:rPr>
        <w:t>.</w:t>
      </w:r>
    </w:p>
    <w:p w14:paraId="56E6B5DD" w14:textId="7211C598" w:rsidR="00275EF0" w:rsidRPr="001D5E77" w:rsidRDefault="00D32ACB" w:rsidP="001D5E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0275EF0" w:rsidRPr="001D5E77">
        <w:rPr>
          <w:rFonts w:eastAsiaTheme="minorEastAsia" w:cs="Times New Roman"/>
          <w:sz w:val="24"/>
          <w:szCs w:val="24"/>
          <w:lang w:eastAsia="lv-LV"/>
        </w:rPr>
        <w:t>Minētais apjoms var mainīties atkarībā no brīža, kad Pasūtītājs izlemj priekšlaicīgi pārtraukt līgumu: CEF</w:t>
      </w:r>
      <w:r w:rsidR="00E50AA9">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8 un CEF</w:t>
      </w:r>
      <w:r w:rsidR="00E50AA9">
        <w:rPr>
          <w:rFonts w:eastAsiaTheme="minorEastAsia" w:cs="Times New Roman"/>
          <w:sz w:val="24"/>
          <w:szCs w:val="24"/>
          <w:lang w:eastAsia="lv-LV"/>
        </w:rPr>
        <w:t xml:space="preserve"> </w:t>
      </w:r>
      <w:r w:rsidR="00275EF0" w:rsidRPr="001D5E77">
        <w:rPr>
          <w:rFonts w:eastAsiaTheme="minorEastAsia" w:cs="Times New Roman"/>
          <w:sz w:val="24"/>
          <w:szCs w:val="24"/>
          <w:lang w:eastAsia="lv-LV"/>
        </w:rPr>
        <w:t>9 pasūtāmo darbu gadījumā aptuveni 3 000 000 – 8 000 000 EUR.</w:t>
      </w:r>
    </w:p>
    <w:p w14:paraId="6BDBBDFE" w14:textId="1D35565C" w:rsidR="00275EF0" w:rsidRPr="001D5E77" w:rsidRDefault="00E50AA9" w:rsidP="001D5E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0275EF0" w:rsidRPr="001D5E77">
        <w:rPr>
          <w:rFonts w:eastAsiaTheme="minorEastAsia" w:cs="Times New Roman"/>
          <w:sz w:val="24"/>
          <w:szCs w:val="24"/>
          <w:lang w:eastAsia="lv-LV"/>
        </w:rPr>
        <w:t>Jāņem vērā, ka augstāk minētās izmaksas ir atkarīgas no vairākiem faktoriem, piemēram, mobilizētā personāla sastāva, pasūtīto darbu apjoma, kas jāpārtrauc, izbūvēto darbu apjoma, kuriem jāveic konservācijas pasākumi u.c., tāpēc precīzs izmaksu apjoms nav nosakāms. Papildus, konkrēto izmaksu iestāšanos Uzņēmējam būs nepieciešams pierādīt Inženierim un</w:t>
      </w:r>
      <w:r>
        <w:rPr>
          <w:rFonts w:eastAsiaTheme="minorEastAsia" w:cs="Times New Roman"/>
          <w:sz w:val="24"/>
          <w:szCs w:val="24"/>
          <w:lang w:eastAsia="lv-LV"/>
        </w:rPr>
        <w:t>,</w:t>
      </w:r>
      <w:r w:rsidR="00275EF0" w:rsidRPr="001D5E77">
        <w:rPr>
          <w:rFonts w:eastAsiaTheme="minorEastAsia" w:cs="Times New Roman"/>
          <w:sz w:val="24"/>
          <w:szCs w:val="24"/>
          <w:lang w:eastAsia="lv-LV"/>
        </w:rPr>
        <w:t xml:space="preserve"> tikai pamatojoties uz Inženiera atzinumu</w:t>
      </w:r>
      <w:r>
        <w:rPr>
          <w:rFonts w:eastAsiaTheme="minorEastAsia" w:cs="Times New Roman"/>
          <w:sz w:val="24"/>
          <w:szCs w:val="24"/>
          <w:lang w:eastAsia="lv-LV"/>
        </w:rPr>
        <w:t>,</w:t>
      </w:r>
      <w:r w:rsidR="00275EF0" w:rsidRPr="001D5E77">
        <w:rPr>
          <w:rFonts w:eastAsiaTheme="minorEastAsia" w:cs="Times New Roman"/>
          <w:sz w:val="24"/>
          <w:szCs w:val="24"/>
          <w:lang w:eastAsia="lv-LV"/>
        </w:rPr>
        <w:t xml:space="preserve"> Pasūtītājs veiks radušos izmaksu kompensāciju. Sedzot šīs izmaksas, tām</w:t>
      </w:r>
      <w:r>
        <w:rPr>
          <w:rFonts w:eastAsiaTheme="minorEastAsia" w:cs="Times New Roman"/>
          <w:sz w:val="24"/>
          <w:szCs w:val="24"/>
          <w:lang w:eastAsia="lv-LV"/>
        </w:rPr>
        <w:t>,</w:t>
      </w:r>
      <w:r w:rsidR="00275EF0" w:rsidRPr="001D5E77">
        <w:rPr>
          <w:rFonts w:eastAsiaTheme="minorEastAsia" w:cs="Times New Roman"/>
          <w:sz w:val="24"/>
          <w:szCs w:val="24"/>
          <w:lang w:eastAsia="lv-LV"/>
        </w:rPr>
        <w:t xml:space="preserve"> atbilstoši </w:t>
      </w:r>
      <w:r>
        <w:rPr>
          <w:rFonts w:eastAsiaTheme="minorEastAsia" w:cs="Times New Roman"/>
          <w:sz w:val="24"/>
          <w:szCs w:val="24"/>
          <w:lang w:eastAsia="lv-LV"/>
        </w:rPr>
        <w:t>L</w:t>
      </w:r>
      <w:r w:rsidR="00275EF0" w:rsidRPr="001D5E77">
        <w:rPr>
          <w:rFonts w:eastAsiaTheme="minorEastAsia" w:cs="Times New Roman"/>
          <w:sz w:val="24"/>
          <w:szCs w:val="24"/>
          <w:lang w:eastAsia="lv-LV"/>
        </w:rPr>
        <w:t>īgumam</w:t>
      </w:r>
      <w:r>
        <w:rPr>
          <w:rFonts w:eastAsiaTheme="minorEastAsia" w:cs="Times New Roman"/>
          <w:sz w:val="24"/>
          <w:szCs w:val="24"/>
          <w:lang w:eastAsia="lv-LV"/>
        </w:rPr>
        <w:t>,</w:t>
      </w:r>
      <w:r w:rsidR="00275EF0" w:rsidRPr="001D5E77">
        <w:rPr>
          <w:rFonts w:eastAsiaTheme="minorEastAsia" w:cs="Times New Roman"/>
          <w:sz w:val="24"/>
          <w:szCs w:val="24"/>
          <w:lang w:eastAsia="lv-LV"/>
        </w:rPr>
        <w:t xml:space="preserve"> nav jāpiemēro virsizdevumu un peļņas procenti.</w:t>
      </w:r>
    </w:p>
    <w:p w14:paraId="49C43EEF" w14:textId="19502F7F" w:rsidR="05E7C965" w:rsidRPr="00010907" w:rsidRDefault="00010907" w:rsidP="001D5E77">
      <w:pPr>
        <w:tabs>
          <w:tab w:val="left" w:pos="567"/>
        </w:tabs>
        <w:spacing w:after="0" w:line="240" w:lineRule="auto"/>
        <w:contextualSpacing/>
        <w:jc w:val="both"/>
        <w:rPr>
          <w:rFonts w:eastAsia="Times New Roman" w:cs="Times New Roman"/>
          <w:sz w:val="24"/>
          <w:szCs w:val="24"/>
        </w:rPr>
      </w:pPr>
      <w:r>
        <w:rPr>
          <w:rFonts w:eastAsiaTheme="minorEastAsia" w:cs="Times New Roman"/>
          <w:sz w:val="24"/>
          <w:szCs w:val="24"/>
          <w:lang w:eastAsia="lv-LV"/>
        </w:rPr>
        <w:tab/>
        <w:t>P</w:t>
      </w:r>
      <w:r w:rsidR="05E7C965" w:rsidRPr="00010907">
        <w:rPr>
          <w:rFonts w:eastAsia="Times New Roman" w:cs="Times New Roman"/>
          <w:sz w:val="24"/>
          <w:szCs w:val="24"/>
        </w:rPr>
        <w:t xml:space="preserve">ie </w:t>
      </w:r>
      <w:r>
        <w:rPr>
          <w:rFonts w:eastAsia="Times New Roman" w:cs="Times New Roman"/>
          <w:sz w:val="24"/>
          <w:szCs w:val="24"/>
        </w:rPr>
        <w:t>L</w:t>
      </w:r>
      <w:r w:rsidR="05E7C965" w:rsidRPr="00010907">
        <w:rPr>
          <w:rFonts w:eastAsia="Times New Roman" w:cs="Times New Roman"/>
          <w:sz w:val="24"/>
          <w:szCs w:val="24"/>
        </w:rPr>
        <w:t xml:space="preserve">īguma izpildes pilnā apjomā (šeit domāts arī pasūtīto darba posmu apmērs), kur </w:t>
      </w:r>
      <w:r>
        <w:rPr>
          <w:rFonts w:eastAsia="Times New Roman" w:cs="Times New Roman"/>
          <w:sz w:val="24"/>
          <w:szCs w:val="24"/>
        </w:rPr>
        <w:t>L</w:t>
      </w:r>
      <w:r w:rsidR="05E7C965" w:rsidRPr="00010907">
        <w:rPr>
          <w:rFonts w:eastAsia="Times New Roman" w:cs="Times New Roman"/>
          <w:sz w:val="24"/>
          <w:szCs w:val="24"/>
        </w:rPr>
        <w:t>īgums netika priekšlaicīgi izbeigts, notiek Uzņēmēja personāla demobilizācija “normālā” ceļā, kas ietilpst Līguma cenā, tādēļ ir attiecināmas no CEF līdzekļiem, tāpat kā citas būvdarbu līguma cenā ietilpstošas pozīcijas.</w:t>
      </w:r>
    </w:p>
    <w:p w14:paraId="7BC669F7" w14:textId="1CD59163" w:rsidR="00275EF0" w:rsidRDefault="00C2478A" w:rsidP="001D5E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00275EF0" w:rsidRPr="001D5E77">
        <w:rPr>
          <w:rFonts w:eastAsiaTheme="minorEastAsia" w:cs="Times New Roman"/>
          <w:sz w:val="24"/>
          <w:szCs w:val="24"/>
          <w:lang w:eastAsia="lv-LV"/>
        </w:rPr>
        <w:t xml:space="preserve">Augstāk minētā precīzā un detalizētā pieeja ir tipiska FIDIC līgumu gadījumā un tajā uzskaitītās izmaksas ir minimālā, bet taisnīgā apmērā, kuras tiesvedības ietvaros tiktu atzītas kā kompensējamas. Šī pieeja ir iekļauta arī RCS un RIX būvdarbu līgumos, tādā veidā skaidri definējot visas priekšlaicīgas </w:t>
      </w:r>
      <w:r>
        <w:rPr>
          <w:rFonts w:eastAsiaTheme="minorEastAsia" w:cs="Times New Roman"/>
          <w:sz w:val="24"/>
          <w:szCs w:val="24"/>
          <w:lang w:eastAsia="lv-LV"/>
        </w:rPr>
        <w:t>L</w:t>
      </w:r>
      <w:r w:rsidR="00275EF0" w:rsidRPr="001D5E77">
        <w:rPr>
          <w:rFonts w:eastAsiaTheme="minorEastAsia" w:cs="Times New Roman"/>
          <w:sz w:val="24"/>
          <w:szCs w:val="24"/>
          <w:lang w:eastAsia="lv-LV"/>
        </w:rPr>
        <w:t>īguma izbeigšanas gadījumā radušās izmaksas un samazinot tiesvedības riskus</w:t>
      </w:r>
      <w:r>
        <w:rPr>
          <w:rFonts w:eastAsiaTheme="minorEastAsia" w:cs="Times New Roman"/>
          <w:sz w:val="24"/>
          <w:szCs w:val="24"/>
          <w:lang w:eastAsia="lv-LV"/>
        </w:rPr>
        <w:t>.</w:t>
      </w:r>
    </w:p>
    <w:p w14:paraId="48790334" w14:textId="3149319A" w:rsidR="00275EF0" w:rsidRPr="001D5E77" w:rsidRDefault="00C2478A" w:rsidP="001D5E77">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lastRenderedPageBreak/>
        <w:tab/>
      </w:r>
      <w:r w:rsidR="00275EF0">
        <w:rPr>
          <w:rFonts w:eastAsiaTheme="minorEastAsia" w:cs="Times New Roman"/>
          <w:sz w:val="24"/>
          <w:szCs w:val="24"/>
          <w:lang w:eastAsia="lv-LV"/>
        </w:rPr>
        <w:t xml:space="preserve">Gadījumā, ja būs nepieciešams veikt priekšlaicīgu </w:t>
      </w:r>
      <w:r>
        <w:rPr>
          <w:rFonts w:eastAsiaTheme="minorEastAsia" w:cs="Times New Roman"/>
          <w:sz w:val="24"/>
          <w:szCs w:val="24"/>
          <w:lang w:eastAsia="lv-LV"/>
        </w:rPr>
        <w:t>L</w:t>
      </w:r>
      <w:r w:rsidR="00275EF0">
        <w:rPr>
          <w:rFonts w:eastAsiaTheme="minorEastAsia" w:cs="Times New Roman"/>
          <w:sz w:val="24"/>
          <w:szCs w:val="24"/>
          <w:lang w:eastAsia="lv-LV"/>
        </w:rPr>
        <w:t xml:space="preserve">īguma izbeigšanu, tad </w:t>
      </w:r>
      <w:r w:rsidR="00B82733">
        <w:rPr>
          <w:rFonts w:eastAsiaTheme="minorEastAsia" w:cs="Times New Roman"/>
          <w:sz w:val="24"/>
          <w:szCs w:val="24"/>
          <w:lang w:eastAsia="lv-LV"/>
        </w:rPr>
        <w:t>Satiksmes m</w:t>
      </w:r>
      <w:r w:rsidR="00275EF0">
        <w:rPr>
          <w:rFonts w:eastAsiaTheme="minorEastAsia" w:cs="Times New Roman"/>
          <w:sz w:val="24"/>
          <w:szCs w:val="24"/>
          <w:lang w:eastAsia="lv-LV"/>
        </w:rPr>
        <w:t>inistrija iesniegs M</w:t>
      </w:r>
      <w:r w:rsidR="00B82733">
        <w:rPr>
          <w:rFonts w:eastAsiaTheme="minorEastAsia" w:cs="Times New Roman"/>
          <w:sz w:val="24"/>
          <w:szCs w:val="24"/>
          <w:lang w:eastAsia="lv-LV"/>
        </w:rPr>
        <w:t>inistru kabinetā</w:t>
      </w:r>
      <w:r w:rsidR="00275EF0">
        <w:rPr>
          <w:rFonts w:eastAsiaTheme="minorEastAsia" w:cs="Times New Roman"/>
          <w:sz w:val="24"/>
          <w:szCs w:val="24"/>
          <w:lang w:eastAsia="lv-LV"/>
        </w:rPr>
        <w:t xml:space="preserve"> ziņojumu, piedāvājot risinājumus finansējuma nodrošināšanā.</w:t>
      </w:r>
    </w:p>
    <w:p w14:paraId="7951AE05" w14:textId="2D117DEA" w:rsidR="00351D56" w:rsidRPr="00660EB3" w:rsidRDefault="002C5510" w:rsidP="00C1757A">
      <w:pPr>
        <w:tabs>
          <w:tab w:val="left" w:pos="567"/>
        </w:tabs>
        <w:spacing w:after="0" w:line="240" w:lineRule="auto"/>
        <w:contextualSpacing/>
        <w:jc w:val="both"/>
        <w:rPr>
          <w:rFonts w:eastAsiaTheme="minorEastAsia" w:cs="Times New Roman"/>
          <w:sz w:val="24"/>
          <w:szCs w:val="24"/>
          <w:lang w:eastAsia="lv-LV"/>
        </w:rPr>
      </w:pPr>
      <w:r w:rsidRPr="002C5510">
        <w:rPr>
          <w:rFonts w:eastAsiaTheme="minorEastAsia" w:cs="Times New Roman"/>
          <w:i/>
          <w:sz w:val="24"/>
          <w:szCs w:val="24"/>
          <w:lang w:eastAsia="lv-LV"/>
        </w:rPr>
        <w:t>euro</w:t>
      </w:r>
      <w:r w:rsidR="00351D56" w:rsidRPr="00660EB3">
        <w:rPr>
          <w:rFonts w:eastAsiaTheme="minorEastAsia" w:cs="Times New Roman"/>
          <w:sz w:val="24"/>
          <w:szCs w:val="24"/>
          <w:lang w:eastAsia="lv-LV"/>
        </w:rPr>
        <w:tab/>
        <w:t xml:space="preserve">Katras būvatļaujas (posma) aktivēšanas noteikumos ir pievērsta īpaša uzmanība plānošanas principiem, piemēram, tiek paredzētas būvdarbu aktivēšanas plānošanas sanāksmes ar Uzņēmēju un Inženieri, kas tiek organizētas reizi divos mēnešos, kuru laikā tiek analizēta aktuālā situācija saistībā ar būvprojektu apstiprinājumiem un to pieejamību, ar zemju pieejamību, kā arī tiek izvērtēta finanšu pieejamība vai to plānotā pieejamība, kā arī pušu kopīga CEF uzsaukumos piesakāmā finansējuma apjoma noteikšana, lai nodrošinātu finansējuma pietiekamību un ievērojami samazinātu finansējuma nepietiekamības risku, kas varētu rezultēties papildus sloga veidā uz valsts budžetu. Papildus līdz katra gada 30.jūnijam tiek izstrādāts aktivēšanas plāns, kurā tiek norādītas potenciāli pasūtāmās būvatļaujas (posmi). </w:t>
      </w:r>
    </w:p>
    <w:p w14:paraId="6AD18289" w14:textId="13183A13" w:rsidR="000D5895" w:rsidRDefault="00351D56" w:rsidP="00C1757A">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sz w:val="24"/>
          <w:szCs w:val="24"/>
          <w:lang w:eastAsia="lv-LV"/>
        </w:rPr>
        <w:tab/>
      </w:r>
      <w:r w:rsidR="66DB60E3" w:rsidRPr="0595A900">
        <w:rPr>
          <w:rFonts w:eastAsiaTheme="minorEastAsia" w:cs="Times New Roman"/>
          <w:sz w:val="24"/>
          <w:szCs w:val="24"/>
          <w:lang w:eastAsia="lv-LV"/>
        </w:rPr>
        <w:t xml:space="preserve">Jāņem vērā, ka tikai pirmajām </w:t>
      </w:r>
      <w:r w:rsidR="00C808BD">
        <w:rPr>
          <w:rFonts w:eastAsiaTheme="minorEastAsia" w:cs="Times New Roman"/>
          <w:sz w:val="24"/>
          <w:szCs w:val="24"/>
          <w:lang w:eastAsia="lv-LV"/>
        </w:rPr>
        <w:t>piecām</w:t>
      </w:r>
      <w:r w:rsidR="66DB60E3" w:rsidRPr="0595A900">
        <w:rPr>
          <w:rFonts w:eastAsiaTheme="minorEastAsia" w:cs="Times New Roman"/>
          <w:sz w:val="24"/>
          <w:szCs w:val="24"/>
          <w:lang w:eastAsia="lv-LV"/>
        </w:rPr>
        <w:t xml:space="preserve"> no 67 paredzētajām būvatļaujām (posmiem) (13 no 230 km, tātad 5,7% no kopējā kapitālizmaksu apjoma) plānotais nepieciešamais finansējums tika pieteikts pirms būvprojekti bija gatavi un vēl netika saņemti Uzņēmēja finanšu piedāvājumi un visi turpmākie 94,3% finansējuma pieteikumi tiks sagatavoti sadarbībā ar Uzņēmēju, tādējādi samazinot finansējuma nepietiekamības riskus un ietekmi uz valsts budžetu, ja šī finansējuma nepietiekamība būtu jākompensē no valsts budžeta.</w:t>
      </w:r>
    </w:p>
    <w:p w14:paraId="09F7EB57" w14:textId="77777777" w:rsidR="00351D56" w:rsidRPr="00660EB3" w:rsidRDefault="00351D56" w:rsidP="00911792">
      <w:pPr>
        <w:pStyle w:val="ListParagraph"/>
        <w:numPr>
          <w:ilvl w:val="0"/>
          <w:numId w:val="25"/>
        </w:numPr>
        <w:tabs>
          <w:tab w:val="left" w:pos="284"/>
        </w:tabs>
        <w:spacing w:before="120" w:after="120"/>
        <w:ind w:left="357" w:hanging="357"/>
        <w:contextualSpacing w:val="0"/>
        <w:jc w:val="center"/>
        <w:rPr>
          <w:rFonts w:eastAsiaTheme="minorEastAsia" w:cs="Times New Roman"/>
          <w:b/>
          <w:szCs w:val="24"/>
          <w:lang w:eastAsia="lv-LV"/>
        </w:rPr>
      </w:pPr>
      <w:r w:rsidRPr="00660EB3">
        <w:rPr>
          <w:rFonts w:eastAsiaTheme="minorEastAsia" w:cs="Times New Roman"/>
          <w:b/>
          <w:szCs w:val="24"/>
          <w:lang w:eastAsia="lv-LV"/>
        </w:rPr>
        <w:t>Iespējamie līguma grozījumi</w:t>
      </w:r>
    </w:p>
    <w:p w14:paraId="070C0DC6" w14:textId="1F5E1693" w:rsidR="00351D56" w:rsidRPr="00660EB3" w:rsidRDefault="00351D56" w:rsidP="00056AFE">
      <w:pPr>
        <w:tabs>
          <w:tab w:val="left" w:pos="567"/>
        </w:tabs>
        <w:spacing w:after="0" w:line="240" w:lineRule="auto"/>
        <w:contextualSpacing/>
        <w:jc w:val="both"/>
        <w:rPr>
          <w:rFonts w:eastAsia="Roboto Condensed Light" w:cs="Times New Roman"/>
          <w:sz w:val="24"/>
          <w:szCs w:val="24"/>
          <w:lang w:eastAsia="lv-LV"/>
        </w:rPr>
      </w:pPr>
      <w:r w:rsidRPr="00660EB3">
        <w:rPr>
          <w:rFonts w:eastAsia="Roboto Condensed Light" w:cs="Times New Roman"/>
          <w:sz w:val="24"/>
          <w:szCs w:val="24"/>
          <w:lang w:eastAsia="lv-LV"/>
        </w:rPr>
        <w:tab/>
        <w:t>Līgumā tiek paredzēta iespēja nepieciešamības gadījumā iekļaut sekojošus darbus, kas nav iekļauti līguma kopējā summā un to iekļaušanas gadījumā līguma summa pieaugs:</w:t>
      </w:r>
    </w:p>
    <w:p w14:paraId="34C5FBB6" w14:textId="3008ABC2" w:rsidR="00362A16" w:rsidRPr="00660EB3" w:rsidRDefault="00362A16" w:rsidP="00911792">
      <w:pPr>
        <w:numPr>
          <w:ilvl w:val="0"/>
          <w:numId w:val="16"/>
        </w:numPr>
        <w:spacing w:after="0" w:line="240" w:lineRule="auto"/>
        <w:contextualSpacing/>
        <w:jc w:val="both"/>
        <w:rPr>
          <w:rFonts w:eastAsia="Roboto Condensed Light" w:cs="Times New Roman"/>
          <w:sz w:val="24"/>
          <w:szCs w:val="24"/>
          <w:lang w:eastAsia="lv-LV"/>
        </w:rPr>
      </w:pPr>
      <w:r>
        <w:rPr>
          <w:rFonts w:eastAsia="Roboto Condensed Light" w:cs="Times New Roman"/>
          <w:sz w:val="24"/>
          <w:szCs w:val="24"/>
          <w:lang w:eastAsia="lv-LV"/>
        </w:rPr>
        <w:t>būvprojektu izstrāde – konkrētie grozījumi paredz iespēju būvdarbu veicējam pabeigt iesāktos būvprojektus, ja ir radušies tādi apstākļi, kuros pamattrases projektētājs nevar pabeigt būvprojektu esošā līguma ietvaros. Potenciālās projektēšanas darbu izmaksas būvdarbu veicējs iesniedz pasūtītājam pēc konkrētā projektēšanas darbu veikšanas pieprasījuma noteiktajā līguma termiņā.</w:t>
      </w:r>
    </w:p>
    <w:p w14:paraId="2D21F19C" w14:textId="3C629D20" w:rsidR="008B7797" w:rsidRPr="00660EB3" w:rsidRDefault="5B6ADDAA" w:rsidP="0595A900">
      <w:pPr>
        <w:numPr>
          <w:ilvl w:val="0"/>
          <w:numId w:val="16"/>
        </w:numPr>
        <w:spacing w:after="0" w:line="240" w:lineRule="auto"/>
        <w:contextualSpacing/>
        <w:jc w:val="both"/>
        <w:rPr>
          <w:rFonts w:eastAsia="Roboto Condensed Light" w:cs="Times New Roman"/>
          <w:sz w:val="24"/>
          <w:szCs w:val="24"/>
          <w:lang w:eastAsia="lv-LV"/>
        </w:rPr>
      </w:pPr>
      <w:r w:rsidRPr="00660EB3">
        <w:rPr>
          <w:rFonts w:eastAsia="Roboto Condensed Light" w:cs="Times New Roman"/>
          <w:sz w:val="24"/>
          <w:szCs w:val="24"/>
          <w:lang w:eastAsia="lv-LV"/>
        </w:rPr>
        <w:t xml:space="preserve">Minēto būvdarbu izmaksas veidosies no Uzņēmējam izmaksājamās summas par darbiem, kas ir paveikti un kuru apjomi ir noteikti saskaņā ar Līgumu un norādītajām vienības cenu izmaksām, un kurus aprēķina un kontrolē piesaistot Inženieri (standarta FIDIC </w:t>
      </w:r>
      <w:r w:rsidRPr="0595A900">
        <w:rPr>
          <w:rFonts w:eastAsia="Roboto Condensed Light" w:cs="Times New Roman"/>
          <w:i/>
          <w:iCs/>
          <w:sz w:val="24"/>
          <w:szCs w:val="24"/>
          <w:lang w:eastAsia="lv-LV"/>
        </w:rPr>
        <w:t>re-measurement</w:t>
      </w:r>
      <w:r w:rsidRPr="00660EB3">
        <w:rPr>
          <w:rFonts w:eastAsia="Roboto Condensed Light" w:cs="Times New Roman"/>
          <w:sz w:val="24"/>
          <w:szCs w:val="24"/>
          <w:lang w:eastAsia="lv-LV"/>
        </w:rPr>
        <w:t xml:space="preserve"> līgums, kas tiek pielietots vairumā publiskās infrastruktūras izbūves līgumos).</w:t>
      </w:r>
    </w:p>
    <w:p w14:paraId="50DC6AD0" w14:textId="52788DA4" w:rsidR="00351D56" w:rsidRPr="00660EB3" w:rsidRDefault="00D40E99" w:rsidP="00911792">
      <w:pPr>
        <w:pStyle w:val="ListParagraph"/>
        <w:numPr>
          <w:ilvl w:val="0"/>
          <w:numId w:val="25"/>
        </w:numPr>
        <w:spacing w:before="120" w:after="120"/>
        <w:ind w:left="357" w:hanging="357"/>
        <w:contextualSpacing w:val="0"/>
        <w:jc w:val="center"/>
        <w:rPr>
          <w:rFonts w:eastAsiaTheme="minorEastAsia" w:cs="Times New Roman"/>
          <w:b/>
          <w:szCs w:val="24"/>
          <w:lang w:eastAsia="lv-LV"/>
        </w:rPr>
      </w:pPr>
      <w:r>
        <w:rPr>
          <w:rFonts w:eastAsiaTheme="minorEastAsia" w:cs="Times New Roman"/>
          <w:b/>
          <w:szCs w:val="24"/>
          <w:lang w:eastAsia="lv-LV"/>
        </w:rPr>
        <w:t>Projekta uzraudzība un r</w:t>
      </w:r>
      <w:r w:rsidR="00351D56" w:rsidRPr="00660EB3">
        <w:rPr>
          <w:rFonts w:eastAsiaTheme="minorEastAsia" w:cs="Times New Roman"/>
          <w:b/>
          <w:szCs w:val="24"/>
          <w:lang w:eastAsia="lv-LV"/>
        </w:rPr>
        <w:t>isku vadība</w:t>
      </w:r>
    </w:p>
    <w:p w14:paraId="5A089727" w14:textId="7754AABB" w:rsidR="006E555D" w:rsidRDefault="00351D56" w:rsidP="00056AFE">
      <w:pPr>
        <w:tabs>
          <w:tab w:val="left" w:pos="567"/>
        </w:tabs>
        <w:spacing w:after="0" w:line="240" w:lineRule="auto"/>
        <w:contextualSpacing/>
        <w:jc w:val="both"/>
        <w:rPr>
          <w:rFonts w:eastAsiaTheme="minorEastAsia" w:cs="Times New Roman"/>
          <w:sz w:val="24"/>
          <w:szCs w:val="24"/>
          <w:lang w:eastAsia="lv-LV"/>
        </w:rPr>
      </w:pPr>
      <w:r w:rsidRPr="00660EB3">
        <w:rPr>
          <w:rFonts w:eastAsiaTheme="minorEastAsia" w:cs="Times New Roman"/>
          <w:b/>
          <w:bCs/>
          <w:sz w:val="24"/>
          <w:szCs w:val="24"/>
          <w:lang w:eastAsia="lv-LV"/>
        </w:rPr>
        <w:tab/>
      </w:r>
      <w:r w:rsidRPr="00660EB3">
        <w:rPr>
          <w:rFonts w:eastAsiaTheme="minorEastAsia" w:cs="Times New Roman"/>
          <w:sz w:val="24"/>
          <w:szCs w:val="24"/>
          <w:lang w:eastAsia="lv-LV"/>
        </w:rPr>
        <w:t>Līgumā ir iekļauta</w:t>
      </w:r>
      <w:r w:rsidR="002D734F" w:rsidRPr="00660EB3">
        <w:rPr>
          <w:rFonts w:eastAsiaTheme="minorEastAsia" w:cs="Times New Roman"/>
          <w:sz w:val="24"/>
          <w:szCs w:val="24"/>
          <w:lang w:eastAsia="lv-LV"/>
        </w:rPr>
        <w:t>s</w:t>
      </w:r>
      <w:r w:rsidRPr="00660EB3">
        <w:rPr>
          <w:rFonts w:eastAsiaTheme="minorEastAsia" w:cs="Times New Roman"/>
          <w:sz w:val="24"/>
          <w:szCs w:val="24"/>
          <w:lang w:eastAsia="lv-LV"/>
        </w:rPr>
        <w:t xml:space="preserve"> visaptverošas prasības attiecībā uz risku vadību, kā arī ziņošanas kārtība, kas ir daļa no administratīvās dokumentācijas un ir sagatavota saskaņā ar </w:t>
      </w:r>
      <w:r w:rsidR="00911D8D">
        <w:rPr>
          <w:rFonts w:eastAsiaTheme="minorEastAsia" w:cs="Times New Roman"/>
          <w:sz w:val="24"/>
          <w:szCs w:val="24"/>
          <w:lang w:eastAsia="lv-LV"/>
        </w:rPr>
        <w:t>RBR</w:t>
      </w:r>
      <w:r w:rsidRPr="00660EB3">
        <w:rPr>
          <w:rFonts w:eastAsiaTheme="minorEastAsia" w:cs="Times New Roman"/>
          <w:sz w:val="24"/>
          <w:szCs w:val="24"/>
          <w:lang w:eastAsia="lv-LV"/>
        </w:rPr>
        <w:t xml:space="preserve"> standartu. Uzņēmējam reizi mēnesī nepieciešams apkopot visus riskus </w:t>
      </w:r>
      <w:r w:rsidR="003330A6" w:rsidRPr="00660EB3">
        <w:rPr>
          <w:rFonts w:eastAsiaTheme="minorEastAsia" w:cs="Times New Roman"/>
          <w:sz w:val="24"/>
          <w:szCs w:val="24"/>
          <w:lang w:eastAsia="lv-LV"/>
        </w:rPr>
        <w:t>R</w:t>
      </w:r>
      <w:r w:rsidRPr="00660EB3">
        <w:rPr>
          <w:rFonts w:eastAsiaTheme="minorEastAsia" w:cs="Times New Roman"/>
          <w:sz w:val="24"/>
          <w:szCs w:val="24"/>
          <w:lang w:eastAsia="lv-LV"/>
        </w:rPr>
        <w:t xml:space="preserve">isku reģistrā, kurā ietverta </w:t>
      </w:r>
      <w:r w:rsidR="003330A6" w:rsidRPr="00660EB3">
        <w:rPr>
          <w:rFonts w:eastAsiaTheme="minorEastAsia" w:cs="Times New Roman"/>
          <w:sz w:val="24"/>
          <w:szCs w:val="24"/>
          <w:lang w:eastAsia="lv-LV"/>
        </w:rPr>
        <w:t>šāda</w:t>
      </w:r>
      <w:r w:rsidRPr="00660EB3">
        <w:rPr>
          <w:rFonts w:eastAsiaTheme="minorEastAsia" w:cs="Times New Roman"/>
          <w:sz w:val="24"/>
          <w:szCs w:val="24"/>
          <w:lang w:eastAsia="lv-LV"/>
        </w:rPr>
        <w:t xml:space="preserve"> informācija par riskiem – </w:t>
      </w:r>
      <w:r w:rsidR="003330A6" w:rsidRPr="00660EB3">
        <w:rPr>
          <w:rFonts w:eastAsiaTheme="minorEastAsia" w:cs="Times New Roman"/>
          <w:sz w:val="24"/>
          <w:szCs w:val="24"/>
          <w:lang w:eastAsia="lv-LV"/>
        </w:rPr>
        <w:t xml:space="preserve">to </w:t>
      </w:r>
      <w:r w:rsidRPr="00660EB3">
        <w:rPr>
          <w:rFonts w:eastAsiaTheme="minorEastAsia" w:cs="Times New Roman"/>
          <w:sz w:val="24"/>
          <w:szCs w:val="24"/>
          <w:lang w:eastAsia="lv-LV"/>
        </w:rPr>
        <w:t xml:space="preserve">apraksti, rašanās iemesli, konstatēšanas datumi, statusi, tipi, klasifikācija, ietekme un atbildīgās personas, kā arī definētas darbības risku mazināšanā vai novēršanā. Inženierim ir pienākums veikt </w:t>
      </w:r>
      <w:r w:rsidR="003330A6" w:rsidRPr="00660EB3">
        <w:rPr>
          <w:rFonts w:eastAsiaTheme="minorEastAsia" w:cs="Times New Roman"/>
          <w:sz w:val="24"/>
          <w:szCs w:val="24"/>
          <w:lang w:eastAsia="lv-LV"/>
        </w:rPr>
        <w:t>R</w:t>
      </w:r>
      <w:r w:rsidRPr="00660EB3">
        <w:rPr>
          <w:rFonts w:eastAsiaTheme="minorEastAsia" w:cs="Times New Roman"/>
          <w:sz w:val="24"/>
          <w:szCs w:val="24"/>
          <w:lang w:eastAsia="lv-LV"/>
        </w:rPr>
        <w:t xml:space="preserve">isku reģistra pārbaudi, apstiprināšanu un laicīgi informēt </w:t>
      </w:r>
      <w:r w:rsidR="0074220C">
        <w:rPr>
          <w:rFonts w:eastAsiaTheme="minorEastAsia" w:cs="Times New Roman"/>
          <w:sz w:val="24"/>
          <w:szCs w:val="24"/>
          <w:lang w:eastAsia="lv-LV"/>
        </w:rPr>
        <w:t>EDZL</w:t>
      </w:r>
      <w:r w:rsidRPr="00660EB3">
        <w:rPr>
          <w:rFonts w:eastAsiaTheme="minorEastAsia" w:cs="Times New Roman"/>
          <w:sz w:val="24"/>
          <w:szCs w:val="24"/>
          <w:lang w:eastAsia="lv-LV"/>
        </w:rPr>
        <w:t xml:space="preserve">. </w:t>
      </w:r>
    </w:p>
    <w:p w14:paraId="32FA95A4" w14:textId="167D139F" w:rsidR="00351D56" w:rsidRPr="00660EB3" w:rsidRDefault="006E555D" w:rsidP="0595A900">
      <w:pPr>
        <w:tabs>
          <w:tab w:val="left" w:pos="567"/>
        </w:tabs>
        <w:spacing w:after="0" w:line="240" w:lineRule="auto"/>
        <w:contextualSpacing/>
        <w:jc w:val="both"/>
        <w:rPr>
          <w:rFonts w:eastAsiaTheme="minorEastAsia" w:cs="Times New Roman"/>
          <w:sz w:val="24"/>
          <w:szCs w:val="24"/>
          <w:lang w:eastAsia="lv-LV"/>
        </w:rPr>
      </w:pPr>
      <w:r>
        <w:rPr>
          <w:rFonts w:eastAsiaTheme="minorEastAsia" w:cs="Times New Roman"/>
          <w:sz w:val="24"/>
          <w:szCs w:val="24"/>
          <w:lang w:eastAsia="lv-LV"/>
        </w:rPr>
        <w:tab/>
      </w:r>
      <w:r w:rsidR="57CA982A" w:rsidRPr="0595A900">
        <w:rPr>
          <w:rFonts w:eastAsiaTheme="minorEastAsia" w:cs="Times New Roman"/>
          <w:sz w:val="24"/>
          <w:szCs w:val="24"/>
          <w:lang w:eastAsia="lv-LV"/>
        </w:rPr>
        <w:t xml:space="preserve">Līguma ietvaros ir definētas risku uzraudzības, ziņošanas un novēršanas procedūras gan būvuzņēmējam, gan FIDIC inženierim, savukārt </w:t>
      </w:r>
      <w:r w:rsidR="17D246D0" w:rsidRPr="0595A900">
        <w:rPr>
          <w:rFonts w:eastAsiaTheme="minorEastAsia" w:cs="Times New Roman"/>
          <w:sz w:val="24"/>
          <w:szCs w:val="24"/>
          <w:lang w:eastAsia="lv-LV"/>
        </w:rPr>
        <w:t>EDZL</w:t>
      </w:r>
      <w:r w:rsidR="57CA982A" w:rsidRPr="0595A900">
        <w:rPr>
          <w:rFonts w:eastAsiaTheme="minorEastAsia" w:cs="Times New Roman"/>
          <w:sz w:val="24"/>
          <w:szCs w:val="24"/>
          <w:lang w:eastAsia="lv-LV"/>
        </w:rPr>
        <w:t xml:space="preserve"> </w:t>
      </w:r>
      <w:r w:rsidR="0FEBD481" w:rsidRPr="0595A900">
        <w:rPr>
          <w:rFonts w:eastAsiaTheme="minorEastAsia" w:cs="Times New Roman"/>
          <w:sz w:val="24"/>
          <w:szCs w:val="24"/>
          <w:lang w:eastAsia="lv-LV"/>
        </w:rPr>
        <w:t xml:space="preserve">ir </w:t>
      </w:r>
      <w:r w:rsidR="57CA982A" w:rsidRPr="0595A900">
        <w:rPr>
          <w:rFonts w:eastAsiaTheme="minorEastAsia" w:cs="Times New Roman"/>
          <w:sz w:val="24"/>
          <w:szCs w:val="24"/>
          <w:lang w:eastAsia="lv-LV"/>
        </w:rPr>
        <w:t>apstiprināta</w:t>
      </w:r>
      <w:r w:rsidR="0FEBD481" w:rsidRPr="0595A900">
        <w:rPr>
          <w:rFonts w:eastAsiaTheme="minorEastAsia" w:cs="Times New Roman"/>
          <w:sz w:val="24"/>
          <w:szCs w:val="24"/>
          <w:lang w:eastAsia="lv-LV"/>
        </w:rPr>
        <w:t xml:space="preserve"> iekšējā</w:t>
      </w:r>
      <w:r w:rsidR="57CA982A" w:rsidRPr="0595A900">
        <w:rPr>
          <w:rFonts w:eastAsiaTheme="minorEastAsia" w:cs="Times New Roman"/>
          <w:sz w:val="24"/>
          <w:szCs w:val="24"/>
          <w:lang w:eastAsia="lv-LV"/>
        </w:rPr>
        <w:t xml:space="preserve"> risku vadības procedūra gan katr</w:t>
      </w:r>
      <w:r w:rsidR="0FEBD481" w:rsidRPr="0595A900">
        <w:rPr>
          <w:rFonts w:eastAsiaTheme="minorEastAsia" w:cs="Times New Roman"/>
          <w:sz w:val="24"/>
          <w:szCs w:val="24"/>
          <w:lang w:eastAsia="lv-LV"/>
        </w:rPr>
        <w:t>ā</w:t>
      </w:r>
      <w:r w:rsidR="57CA982A" w:rsidRPr="0595A900">
        <w:rPr>
          <w:rFonts w:eastAsiaTheme="minorEastAsia" w:cs="Times New Roman"/>
          <w:sz w:val="24"/>
          <w:szCs w:val="24"/>
          <w:lang w:eastAsia="lv-LV"/>
        </w:rPr>
        <w:t xml:space="preserve"> atsevišķā projekt</w:t>
      </w:r>
      <w:r w:rsidR="0FEBD481" w:rsidRPr="0595A900">
        <w:rPr>
          <w:rFonts w:eastAsiaTheme="minorEastAsia" w:cs="Times New Roman"/>
          <w:sz w:val="24"/>
          <w:szCs w:val="24"/>
          <w:lang w:eastAsia="lv-LV"/>
        </w:rPr>
        <w:t>ā</w:t>
      </w:r>
      <w:r w:rsidR="57CA982A" w:rsidRPr="0595A900">
        <w:rPr>
          <w:rFonts w:eastAsiaTheme="minorEastAsia" w:cs="Times New Roman"/>
          <w:sz w:val="24"/>
          <w:szCs w:val="24"/>
          <w:lang w:eastAsia="lv-LV"/>
        </w:rPr>
        <w:t>, gan uzņēmum</w:t>
      </w:r>
      <w:r w:rsidR="0FEBD481" w:rsidRPr="0595A900">
        <w:rPr>
          <w:rFonts w:eastAsiaTheme="minorEastAsia" w:cs="Times New Roman"/>
          <w:sz w:val="24"/>
          <w:szCs w:val="24"/>
          <w:lang w:eastAsia="lv-LV"/>
        </w:rPr>
        <w:t>ā kopumā</w:t>
      </w:r>
      <w:r w:rsidR="57CA982A" w:rsidRPr="0595A900">
        <w:rPr>
          <w:rFonts w:eastAsiaTheme="minorEastAsia" w:cs="Times New Roman"/>
          <w:sz w:val="24"/>
          <w:szCs w:val="24"/>
          <w:lang w:eastAsia="lv-LV"/>
        </w:rPr>
        <w:t>. Riski tiek regulāri apkopoti un par tiem tiek informēta uzņēmuma vadība ikmēneša regularitātē, kā arī tiek uzturēts un atjaunots risku reģistrs, nosakot nepieciešamās darbības un atbildīgās personas risku mazināšanai.</w:t>
      </w:r>
    </w:p>
    <w:p w14:paraId="524B7384" w14:textId="51D943A5" w:rsidR="00351D56" w:rsidRDefault="00351D56" w:rsidP="00056AFE">
      <w:pPr>
        <w:tabs>
          <w:tab w:val="left" w:pos="567"/>
        </w:tabs>
        <w:spacing w:after="0" w:line="240" w:lineRule="auto"/>
        <w:contextualSpacing/>
        <w:jc w:val="both"/>
        <w:rPr>
          <w:rFonts w:eastAsiaTheme="minorEastAsia" w:cs="Times New Roman"/>
          <w:color w:val="000000"/>
          <w:sz w:val="24"/>
          <w:szCs w:val="24"/>
          <w:lang w:eastAsia="lv-LV"/>
        </w:rPr>
      </w:pPr>
      <w:r w:rsidRPr="00660EB3">
        <w:rPr>
          <w:rFonts w:eastAsiaTheme="minorEastAsia" w:cs="Times New Roman"/>
          <w:color w:val="000000"/>
          <w:sz w:val="24"/>
          <w:szCs w:val="24"/>
          <w:lang w:eastAsia="lv-LV"/>
        </w:rPr>
        <w:tab/>
        <w:t xml:space="preserve">Papildus galvenie </w:t>
      </w:r>
      <w:r w:rsidR="0074220C">
        <w:rPr>
          <w:rFonts w:eastAsiaTheme="minorEastAsia" w:cs="Times New Roman"/>
          <w:sz w:val="24"/>
          <w:szCs w:val="24"/>
          <w:lang w:eastAsia="lv-LV"/>
        </w:rPr>
        <w:t>EDZL</w:t>
      </w:r>
      <w:r w:rsidRPr="00660EB3">
        <w:rPr>
          <w:rFonts w:eastAsiaTheme="minorEastAsia" w:cs="Times New Roman"/>
          <w:color w:val="000000"/>
          <w:sz w:val="24"/>
          <w:szCs w:val="24"/>
          <w:lang w:eastAsia="lv-LV"/>
        </w:rPr>
        <w:t xml:space="preserve"> identificētie un uz 2023.gada oktobri </w:t>
      </w:r>
      <w:r w:rsidR="00F26B4F" w:rsidRPr="00660EB3">
        <w:rPr>
          <w:rFonts w:eastAsiaTheme="minorEastAsia" w:cs="Times New Roman"/>
          <w:color w:val="000000"/>
          <w:sz w:val="24"/>
          <w:szCs w:val="24"/>
          <w:lang w:eastAsia="lv-LV"/>
        </w:rPr>
        <w:t>R</w:t>
      </w:r>
      <w:r w:rsidRPr="00660EB3">
        <w:rPr>
          <w:rFonts w:eastAsiaTheme="minorEastAsia" w:cs="Times New Roman"/>
          <w:color w:val="000000"/>
          <w:sz w:val="24"/>
          <w:szCs w:val="24"/>
          <w:lang w:eastAsia="lv-LV"/>
        </w:rPr>
        <w:t xml:space="preserve">isku reģistrā iekļautie stratēģiskie, projekta vadības un finanšu riski un to mazināšanas vai novēršanas metodes, t.sk., līgumā ietvertie mehānismi šo risku mazināšanai vai novēršanai atspoguļoti </w:t>
      </w:r>
      <w:r w:rsidR="00E20B58" w:rsidRPr="00660EB3">
        <w:rPr>
          <w:rFonts w:eastAsiaTheme="minorEastAsia" w:cs="Times New Roman"/>
          <w:color w:val="000000"/>
          <w:sz w:val="24"/>
          <w:szCs w:val="24"/>
          <w:lang w:eastAsia="lv-LV"/>
        </w:rPr>
        <w:t>tabulā Nr.</w:t>
      </w:r>
      <w:r w:rsidR="00B635D9">
        <w:rPr>
          <w:rFonts w:eastAsiaTheme="minorEastAsia" w:cs="Times New Roman"/>
          <w:color w:val="000000"/>
          <w:sz w:val="24"/>
          <w:szCs w:val="24"/>
          <w:lang w:eastAsia="lv-LV"/>
        </w:rPr>
        <w:t>9</w:t>
      </w:r>
      <w:r w:rsidR="00E20B58" w:rsidRPr="00660EB3">
        <w:rPr>
          <w:rFonts w:eastAsiaTheme="minorEastAsia" w:cs="Times New Roman"/>
          <w:color w:val="000000"/>
          <w:sz w:val="24"/>
          <w:szCs w:val="24"/>
          <w:lang w:eastAsia="lv-LV"/>
        </w:rPr>
        <w:t>.</w:t>
      </w:r>
    </w:p>
    <w:p w14:paraId="3ED4187B" w14:textId="0290E32F" w:rsidR="00980478" w:rsidRPr="006F127B" w:rsidRDefault="00AF11B7" w:rsidP="001D5E77">
      <w:pPr>
        <w:tabs>
          <w:tab w:val="left" w:pos="567"/>
        </w:tabs>
        <w:spacing w:after="0" w:line="240" w:lineRule="auto"/>
        <w:contextualSpacing/>
        <w:jc w:val="both"/>
        <w:rPr>
          <w:rFonts w:eastAsiaTheme="minorEastAsia" w:cs="Times New Roman"/>
          <w:color w:val="000000" w:themeColor="text1"/>
          <w:sz w:val="24"/>
          <w:szCs w:val="24"/>
          <w:lang w:eastAsia="lv-LV"/>
        </w:rPr>
      </w:pPr>
      <w:r>
        <w:rPr>
          <w:rFonts w:eastAsiaTheme="minorEastAsia" w:cs="Times New Roman"/>
          <w:color w:val="000000" w:themeColor="text1"/>
          <w:sz w:val="24"/>
          <w:szCs w:val="24"/>
          <w:lang w:eastAsia="lv-LV"/>
        </w:rPr>
        <w:lastRenderedPageBreak/>
        <w:tab/>
      </w:r>
      <w:r w:rsidR="3B49D491" w:rsidRPr="795D1DF8">
        <w:rPr>
          <w:rFonts w:eastAsiaTheme="minorEastAsia" w:cs="Times New Roman"/>
          <w:color w:val="000000" w:themeColor="text1"/>
          <w:sz w:val="24"/>
          <w:szCs w:val="24"/>
          <w:lang w:eastAsia="lv-LV"/>
        </w:rPr>
        <w:t>L</w:t>
      </w:r>
      <w:r w:rsidR="346544CF" w:rsidRPr="795D1DF8">
        <w:rPr>
          <w:rFonts w:eastAsiaTheme="minorEastAsia" w:cs="Times New Roman"/>
          <w:color w:val="000000" w:themeColor="text1"/>
          <w:sz w:val="24"/>
          <w:szCs w:val="24"/>
          <w:lang w:eastAsia="lv-LV"/>
        </w:rPr>
        <w:t xml:space="preserve">īguma savlaicīgas nenoslēgšanas un būvdarbu neuzsākšanas līdz 2023. gada 20. decembrim gadījumā pastāv būtisks turpmāka CEF finansējuma neiegūšanas risks, jo, atbilstoši Eiropas Parlamenta un Padomes Regulas (ES) 2021/1153 (2021. gada 7. jūlijs), ar ko izveido Eiropas infrastruktūras savienošanas instrumentu un atceļ Regulas (ES) Nr. 1316/2013 un (ES) Nr. 283/2014 14. panta 1. punkta f) apakšpunktam, viens no CEF finansējuma piešķiršanas vērtēšanas kritērijiem ir projekta aktivitātes darbības gatavība (no angļu val. – </w:t>
      </w:r>
      <w:r w:rsidR="346544CF" w:rsidRPr="795D1DF8">
        <w:rPr>
          <w:rFonts w:eastAsiaTheme="minorEastAsia" w:cs="Times New Roman"/>
          <w:i/>
          <w:color w:val="000000" w:themeColor="text1"/>
          <w:sz w:val="24"/>
          <w:szCs w:val="24"/>
          <w:lang w:eastAsia="lv-LV"/>
        </w:rPr>
        <w:t>maturity</w:t>
      </w:r>
      <w:r w:rsidR="346544CF" w:rsidRPr="795D1DF8">
        <w:rPr>
          <w:rFonts w:eastAsiaTheme="minorEastAsia" w:cs="Times New Roman"/>
          <w:color w:val="000000" w:themeColor="text1"/>
          <w:sz w:val="24"/>
          <w:szCs w:val="24"/>
          <w:lang w:eastAsia="lv-LV"/>
        </w:rPr>
        <w:t>), ņemot vērā projekta izstrādi. Konkrētajā gadījumā aktivitātes darbības gatavība tiktu vērtēta pēc noslēgta būvniecības līguma esamības un gatavības nekavējoties uzsākt būvdarbus. Vienlaikus jāvērš uzmanība, ka arī jau piešķirtā CEF finansējuma būvniecības aktivitāšu uzsākšanai ir noteikti termiņi un CEF 8 finansēšanas līguma ietvarā būvniecībai ārpus Rīgas piešķirtā finansējuma apguve ir uzsākama 2023.</w:t>
      </w:r>
      <w:r w:rsidR="3704D1C4" w:rsidRPr="795D1DF8">
        <w:rPr>
          <w:rFonts w:eastAsiaTheme="minorEastAsia" w:cs="Times New Roman"/>
          <w:color w:val="000000" w:themeColor="text1"/>
          <w:sz w:val="24"/>
          <w:szCs w:val="24"/>
          <w:lang w:eastAsia="lv-LV"/>
        </w:rPr>
        <w:t xml:space="preserve"> </w:t>
      </w:r>
      <w:r w:rsidR="346544CF" w:rsidRPr="795D1DF8">
        <w:rPr>
          <w:rFonts w:eastAsiaTheme="minorEastAsia" w:cs="Times New Roman"/>
          <w:color w:val="000000" w:themeColor="text1"/>
          <w:sz w:val="24"/>
          <w:szCs w:val="24"/>
          <w:lang w:eastAsia="lv-LV"/>
        </w:rPr>
        <w:t xml:space="preserve">gadā, jo līguma nosacījumi nosaka, ka, ja aktivitāte netiek uzsākta divu gadu laikā kopš tai piešķirtā finansējuma datuma, tai piešķirtais finansējums tiek anulēts. Gadījumā, ja finansēšanas līgumos noteiktie mērķi netiek sasniegti vai tiek sasniegti nepilnīgi, līdz šim no CEF piešķirtais finansējums </w:t>
      </w:r>
      <w:r w:rsidR="77A31FE2" w:rsidRPr="795D1DF8">
        <w:rPr>
          <w:rFonts w:eastAsiaTheme="minorEastAsia" w:cs="Times New Roman"/>
          <w:color w:val="000000" w:themeColor="text1"/>
          <w:sz w:val="24"/>
          <w:szCs w:val="24"/>
          <w:lang w:eastAsia="lv-LV"/>
        </w:rPr>
        <w:t xml:space="preserve">var tikt atzīts par atmaksājamu </w:t>
      </w:r>
      <w:r w:rsidR="346544CF" w:rsidRPr="795D1DF8">
        <w:rPr>
          <w:rFonts w:eastAsiaTheme="minorEastAsia" w:cs="Times New Roman"/>
          <w:color w:val="000000" w:themeColor="text1"/>
          <w:sz w:val="24"/>
          <w:szCs w:val="24"/>
          <w:lang w:eastAsia="lv-LV"/>
        </w:rPr>
        <w:t xml:space="preserve">(ja mērķi netiek sasniegti) vai daļēji </w:t>
      </w:r>
      <w:r w:rsidR="77A31FE2" w:rsidRPr="795D1DF8">
        <w:rPr>
          <w:rFonts w:eastAsiaTheme="minorEastAsia" w:cs="Times New Roman"/>
          <w:color w:val="000000" w:themeColor="text1"/>
          <w:sz w:val="24"/>
          <w:szCs w:val="24"/>
          <w:lang w:eastAsia="lv-LV"/>
        </w:rPr>
        <w:t xml:space="preserve">atmaksājamu </w:t>
      </w:r>
      <w:r w:rsidR="346544CF" w:rsidRPr="795D1DF8">
        <w:rPr>
          <w:rFonts w:eastAsiaTheme="minorEastAsia" w:cs="Times New Roman"/>
          <w:color w:val="000000" w:themeColor="text1"/>
          <w:sz w:val="24"/>
          <w:szCs w:val="24"/>
          <w:lang w:eastAsia="lv-LV"/>
        </w:rPr>
        <w:t xml:space="preserve">(ja mērķi tiek sasniegti nepilnīgi) Eiropas Komisijai no valsts budžeta līdzekļiem, tādējādi radot būtiskus zaudējumus valstij. </w:t>
      </w:r>
      <w:r w:rsidR="2F4080DC" w:rsidRPr="795D1DF8">
        <w:rPr>
          <w:rFonts w:eastAsiaTheme="minorEastAsia" w:cs="Times New Roman"/>
          <w:color w:val="000000" w:themeColor="text1"/>
          <w:sz w:val="24"/>
          <w:szCs w:val="24"/>
          <w:lang w:eastAsia="lv-LV"/>
        </w:rPr>
        <w:t xml:space="preserve">Vienlaikus, </w:t>
      </w:r>
      <w:r w:rsidR="346544CF" w:rsidRPr="795D1DF8">
        <w:rPr>
          <w:rFonts w:eastAsiaTheme="minorEastAsia" w:cs="Times New Roman"/>
          <w:color w:val="000000" w:themeColor="text1"/>
          <w:sz w:val="24"/>
          <w:szCs w:val="24"/>
          <w:lang w:eastAsia="lv-LV"/>
        </w:rPr>
        <w:t>ja netiek noslēgts līgums ar iepirkuma uzvarētāju un tiek organizēts cits iepirkums, kura izsludināšana ir iespējama tikai pēc tiesvedības, kas ierosināta uz pieteicēja pieteikuma pamata, izbeigšanās, provizoriski varētu notikt 2026. gadā (pieņemot arī tiesvedību kasācijas instancē), netiktu iegūts CEF 10, CEF 11 un CEF 12 finansējums un tiktu  zaudēts CEF 8 un CEF 9 piešķirtais finansējums, ņemot vērā, ka darbi nevarētu tikt paveikti finanšu attiecināmības perioda ietvaros, kā arī pat neliela ekspluatācijā nododama dzelzceļa posma ieviešana Rail Baltica projekta ietvaros nebūtu iespējama līdz 2030. gada beigām. Papildus, CEF 10, CEF 11 un CEF 12  finanšu pieteikumi, kas iesniedzami Eiropas Komisijai līdz katra gada janvārī būtu jāsagatavo bez iepirkuma rezultāta un līdz ar to arī bez iepirkuma uzvarētāja kā būvnieka iesaistes, kas radītu papildu riskus valsts budžetam un potenciāli samazinātu iespējas saņemt turpmāku finansējumu.</w:t>
      </w:r>
      <w:r w:rsidR="00141846" w:rsidRPr="795D1DF8">
        <w:rPr>
          <w:rFonts w:eastAsiaTheme="minorEastAsia" w:cs="Times New Roman"/>
          <w:color w:val="000000" w:themeColor="text1"/>
          <w:sz w:val="24"/>
          <w:szCs w:val="24"/>
          <w:lang w:eastAsia="lv-LV"/>
        </w:rPr>
        <w:t xml:space="preserve"> </w:t>
      </w:r>
      <w:r w:rsidR="7F994D5C" w:rsidRPr="795D1DF8">
        <w:rPr>
          <w:rFonts w:eastAsiaTheme="minorEastAsia" w:cs="Times New Roman"/>
          <w:color w:val="000000" w:themeColor="text1"/>
          <w:sz w:val="24"/>
          <w:szCs w:val="24"/>
          <w:lang w:eastAsia="lv-LV"/>
        </w:rPr>
        <w:t xml:space="preserve">Tāpat jāņem vērā, ka </w:t>
      </w:r>
      <w:r w:rsidR="164AD124" w:rsidRPr="795D1DF8">
        <w:rPr>
          <w:rFonts w:eastAsiaTheme="minorEastAsia" w:cs="Times New Roman"/>
          <w:color w:val="000000" w:themeColor="text1"/>
          <w:sz w:val="24"/>
          <w:szCs w:val="24"/>
          <w:lang w:eastAsia="lv-LV"/>
        </w:rPr>
        <w:t>L</w:t>
      </w:r>
      <w:r w:rsidR="7F994D5C" w:rsidRPr="795D1DF8">
        <w:rPr>
          <w:rFonts w:eastAsiaTheme="minorEastAsia" w:cs="Times New Roman"/>
          <w:color w:val="000000" w:themeColor="text1"/>
          <w:sz w:val="24"/>
          <w:szCs w:val="24"/>
          <w:lang w:eastAsia="lv-LV"/>
        </w:rPr>
        <w:t xml:space="preserve">īguma nenoslēgšanas gadījumā </w:t>
      </w:r>
      <w:r w:rsidR="10AB4658" w:rsidRPr="795D1DF8">
        <w:rPr>
          <w:rFonts w:eastAsiaTheme="minorEastAsia" w:cs="Times New Roman"/>
          <w:color w:val="000000" w:themeColor="text1"/>
          <w:sz w:val="24"/>
          <w:szCs w:val="24"/>
          <w:lang w:eastAsia="lv-LV"/>
        </w:rPr>
        <w:t xml:space="preserve">nevar izslēgt, ka </w:t>
      </w:r>
      <w:r w:rsidR="7F994D5C" w:rsidRPr="795D1DF8">
        <w:rPr>
          <w:rFonts w:eastAsiaTheme="minorEastAsia" w:cs="Times New Roman"/>
          <w:color w:val="000000" w:themeColor="text1"/>
          <w:sz w:val="24"/>
          <w:szCs w:val="24"/>
          <w:lang w:eastAsia="lv-LV"/>
        </w:rPr>
        <w:t>Uzņēmējs un Inženieris</w:t>
      </w:r>
      <w:r w:rsidR="7217D44C" w:rsidRPr="795D1DF8">
        <w:rPr>
          <w:rFonts w:eastAsiaTheme="minorEastAsia" w:cs="Times New Roman"/>
          <w:color w:val="000000" w:themeColor="text1"/>
          <w:sz w:val="24"/>
          <w:szCs w:val="24"/>
          <w:lang w:eastAsia="lv-LV"/>
        </w:rPr>
        <w:t>,</w:t>
      </w:r>
      <w:r w:rsidR="7F994D5C" w:rsidRPr="795D1DF8">
        <w:rPr>
          <w:rFonts w:eastAsiaTheme="minorEastAsia" w:cs="Times New Roman"/>
          <w:color w:val="000000" w:themeColor="text1"/>
          <w:sz w:val="24"/>
          <w:szCs w:val="24"/>
          <w:lang w:eastAsia="lv-LV"/>
        </w:rPr>
        <w:t xml:space="preserve"> </w:t>
      </w:r>
      <w:r w:rsidR="7217D44C" w:rsidRPr="795D1DF8">
        <w:rPr>
          <w:rFonts w:eastAsiaTheme="minorEastAsia" w:cs="Times New Roman"/>
          <w:color w:val="000000" w:themeColor="text1"/>
          <w:sz w:val="24"/>
          <w:szCs w:val="24"/>
          <w:lang w:eastAsia="lv-LV"/>
        </w:rPr>
        <w:t>pamatojoties</w:t>
      </w:r>
      <w:r w:rsidR="10AB4658" w:rsidRPr="795D1DF8">
        <w:rPr>
          <w:rFonts w:eastAsiaTheme="minorEastAsia" w:cs="Times New Roman"/>
          <w:color w:val="000000" w:themeColor="text1"/>
          <w:sz w:val="24"/>
          <w:szCs w:val="24"/>
          <w:lang w:eastAsia="lv-LV"/>
        </w:rPr>
        <w:t>, piemēram</w:t>
      </w:r>
      <w:r w:rsidR="7217D44C" w:rsidRPr="795D1DF8">
        <w:rPr>
          <w:rFonts w:eastAsiaTheme="minorEastAsia" w:cs="Times New Roman"/>
          <w:color w:val="000000" w:themeColor="text1"/>
          <w:sz w:val="24"/>
          <w:szCs w:val="24"/>
          <w:lang w:eastAsia="lv-LV"/>
        </w:rPr>
        <w:t xml:space="preserve"> uz Publisko iepirkumu likuma 76.pantu un tiesu praksi,</w:t>
      </w:r>
      <w:r w:rsidR="63938EB3" w:rsidRPr="795D1DF8">
        <w:rPr>
          <w:rFonts w:eastAsiaTheme="minorEastAsia" w:cs="Times New Roman"/>
          <w:color w:val="000000" w:themeColor="text1"/>
          <w:sz w:val="24"/>
          <w:szCs w:val="24"/>
          <w:lang w:eastAsia="lv-LV"/>
        </w:rPr>
        <w:t xml:space="preserve"> </w:t>
      </w:r>
      <w:r w:rsidR="10AB4658" w:rsidRPr="795D1DF8">
        <w:rPr>
          <w:rFonts w:eastAsiaTheme="minorEastAsia" w:cs="Times New Roman"/>
          <w:color w:val="000000" w:themeColor="text1"/>
          <w:sz w:val="24"/>
          <w:szCs w:val="24"/>
          <w:lang w:eastAsia="lv-LV"/>
        </w:rPr>
        <w:t>mēģinās izmantot iespēju no</w:t>
      </w:r>
      <w:r w:rsidR="63938EB3" w:rsidRPr="795D1DF8">
        <w:rPr>
          <w:rFonts w:eastAsiaTheme="minorEastAsia" w:cs="Times New Roman"/>
          <w:color w:val="000000" w:themeColor="text1"/>
          <w:sz w:val="24"/>
          <w:szCs w:val="24"/>
          <w:lang w:eastAsia="lv-LV"/>
        </w:rPr>
        <w:t xml:space="preserve"> EDZL pieprasīt</w:t>
      </w:r>
      <w:r w:rsidR="5BD5EB2A" w:rsidRPr="795D1DF8">
        <w:rPr>
          <w:rFonts w:eastAsiaTheme="minorEastAsia" w:cs="Times New Roman"/>
          <w:color w:val="000000" w:themeColor="text1"/>
          <w:sz w:val="24"/>
          <w:szCs w:val="24"/>
          <w:lang w:eastAsia="lv-LV"/>
        </w:rPr>
        <w:t xml:space="preserve"> negūtās peļņas un pieteikuma sagatavošanas izmaksu atlīdzināšanu.</w:t>
      </w:r>
    </w:p>
    <w:p w14:paraId="1C8E154F" w14:textId="5D6B5AB4" w:rsidR="00DA1481" w:rsidRPr="00DA1481" w:rsidRDefault="2A604125" w:rsidP="00DA1481">
      <w:pPr>
        <w:spacing w:after="0" w:line="240" w:lineRule="auto"/>
        <w:ind w:firstLine="720"/>
        <w:contextualSpacing/>
        <w:jc w:val="both"/>
        <w:rPr>
          <w:rFonts w:eastAsia="Times New Roman" w:cs="Times New Roman"/>
          <w:color w:val="000000" w:themeColor="text1"/>
          <w:sz w:val="24"/>
          <w:szCs w:val="24"/>
          <w:lang w:val="lv"/>
        </w:rPr>
      </w:pPr>
      <w:r>
        <w:rPr>
          <w:rFonts w:eastAsia="Times New Roman" w:cs="Times New Roman"/>
          <w:color w:val="000000" w:themeColor="text1"/>
          <w:sz w:val="24"/>
          <w:szCs w:val="24"/>
          <w:lang w:val="lv"/>
        </w:rPr>
        <w:t>Līguma noslēgšanas gadījumā svarīgi ņemt arī tālākos tiesvedības riskus, ņemot</w:t>
      </w:r>
      <w:r w:rsidR="2F7342CA">
        <w:rPr>
          <w:rFonts w:eastAsia="Times New Roman" w:cs="Times New Roman"/>
          <w:color w:val="000000" w:themeColor="text1"/>
          <w:sz w:val="24"/>
          <w:szCs w:val="24"/>
          <w:lang w:val="lv"/>
        </w:rPr>
        <w:t xml:space="preserve"> </w:t>
      </w:r>
      <w:r w:rsidR="02C01A04">
        <w:rPr>
          <w:rFonts w:eastAsia="Times New Roman" w:cs="Times New Roman"/>
          <w:color w:val="000000" w:themeColor="text1"/>
          <w:sz w:val="24"/>
          <w:szCs w:val="24"/>
          <w:lang w:val="lv"/>
        </w:rPr>
        <w:t xml:space="preserve">vērā </w:t>
      </w:r>
      <w:r w:rsidR="7177425A">
        <w:rPr>
          <w:rFonts w:eastAsia="Times New Roman" w:cs="Times New Roman"/>
          <w:color w:val="000000" w:themeColor="text1"/>
          <w:sz w:val="24"/>
          <w:szCs w:val="24"/>
          <w:lang w:val="lv"/>
        </w:rPr>
        <w:t xml:space="preserve">no Iepirkuma izslēgtā pretendenta </w:t>
      </w:r>
      <w:r w:rsidR="7177425A" w:rsidRPr="6075987E">
        <w:rPr>
          <w:rFonts w:eastAsia="Times New Roman" w:cs="Times New Roman"/>
          <w:color w:val="000000" w:themeColor="text1"/>
          <w:sz w:val="24"/>
          <w:szCs w:val="24"/>
          <w:lang w:val="lv"/>
        </w:rPr>
        <w:t>ICTAS – DOGUS</w:t>
      </w:r>
      <w:r w:rsidR="7177425A">
        <w:rPr>
          <w:rFonts w:eastAsia="Times New Roman" w:cs="Times New Roman"/>
          <w:color w:val="000000" w:themeColor="text1"/>
          <w:sz w:val="24"/>
          <w:szCs w:val="24"/>
          <w:lang w:val="lv"/>
        </w:rPr>
        <w:t xml:space="preserve"> iesniegto prasību Administratīvajā rajona tiesā</w:t>
      </w:r>
      <w:r w:rsidR="09D06635">
        <w:rPr>
          <w:rFonts w:eastAsia="Times New Roman" w:cs="Times New Roman"/>
          <w:color w:val="000000" w:themeColor="text1"/>
          <w:sz w:val="24"/>
          <w:szCs w:val="24"/>
          <w:lang w:val="lv"/>
        </w:rPr>
        <w:t>. Attiecīgi,</w:t>
      </w:r>
      <w:r w:rsidR="4001C963" w:rsidRPr="6075987E">
        <w:rPr>
          <w:rFonts w:eastAsia="Times New Roman" w:cs="Times New Roman"/>
          <w:color w:val="000000" w:themeColor="text1"/>
          <w:sz w:val="24"/>
          <w:szCs w:val="24"/>
          <w:lang w:val="lv"/>
        </w:rPr>
        <w:t xml:space="preserve"> </w:t>
      </w:r>
      <w:r w:rsidR="09D06635">
        <w:rPr>
          <w:rFonts w:eastAsia="Times New Roman" w:cs="Times New Roman"/>
          <w:color w:val="000000" w:themeColor="text1"/>
          <w:sz w:val="24"/>
          <w:szCs w:val="24"/>
          <w:lang w:val="lv"/>
        </w:rPr>
        <w:t>l</w:t>
      </w:r>
      <w:r w:rsidR="4001C963" w:rsidRPr="6075987E">
        <w:rPr>
          <w:rFonts w:eastAsia="Times New Roman" w:cs="Times New Roman"/>
          <w:color w:val="000000" w:themeColor="text1"/>
          <w:sz w:val="24"/>
          <w:szCs w:val="24"/>
          <w:lang w:val="lv"/>
        </w:rPr>
        <w:t>īguma noslēgšanas gadījumā</w:t>
      </w:r>
      <w:r w:rsidR="05DB1B40">
        <w:rPr>
          <w:rFonts w:eastAsia="Times New Roman" w:cs="Times New Roman"/>
          <w:color w:val="000000" w:themeColor="text1"/>
          <w:sz w:val="24"/>
          <w:szCs w:val="24"/>
          <w:lang w:val="lv"/>
        </w:rPr>
        <w:t xml:space="preserve"> </w:t>
      </w:r>
      <w:r w:rsidR="7E899317">
        <w:rPr>
          <w:rFonts w:eastAsia="Times New Roman" w:cs="Times New Roman"/>
          <w:color w:val="000000" w:themeColor="text1"/>
          <w:sz w:val="24"/>
          <w:szCs w:val="24"/>
          <w:lang w:val="lv"/>
        </w:rPr>
        <w:t xml:space="preserve">pastāv </w:t>
      </w:r>
      <w:r w:rsidR="4001C963" w:rsidRPr="6075987E">
        <w:rPr>
          <w:rFonts w:eastAsia="Times New Roman" w:cs="Times New Roman"/>
          <w:color w:val="000000" w:themeColor="text1"/>
          <w:sz w:val="24"/>
          <w:szCs w:val="24"/>
          <w:lang w:val="lv"/>
        </w:rPr>
        <w:t>riski par neiegūtās peļņas (kurā ietilpst piedāvājuma sagatavošanas izmaksas) piedziņu</w:t>
      </w:r>
      <w:r w:rsidR="0863E99F">
        <w:rPr>
          <w:rFonts w:eastAsia="Times New Roman" w:cs="Times New Roman"/>
          <w:color w:val="000000" w:themeColor="text1"/>
          <w:sz w:val="24"/>
          <w:szCs w:val="24"/>
          <w:lang w:val="lv"/>
        </w:rPr>
        <w:t xml:space="preserve"> </w:t>
      </w:r>
      <w:r w:rsidR="025134C2">
        <w:rPr>
          <w:rFonts w:eastAsia="Times New Roman" w:cs="Times New Roman"/>
          <w:color w:val="000000" w:themeColor="text1"/>
          <w:sz w:val="24"/>
          <w:szCs w:val="24"/>
          <w:lang w:val="lv"/>
        </w:rPr>
        <w:t xml:space="preserve">gadījumā, ja tiesa </w:t>
      </w:r>
      <w:r w:rsidR="0B161849">
        <w:rPr>
          <w:rFonts w:eastAsia="Times New Roman" w:cs="Times New Roman"/>
          <w:color w:val="000000" w:themeColor="text1"/>
          <w:sz w:val="24"/>
          <w:szCs w:val="24"/>
          <w:lang w:val="lv"/>
        </w:rPr>
        <w:t>atzītu pretendenta izslēgšanu</w:t>
      </w:r>
      <w:r w:rsidR="68619A46">
        <w:rPr>
          <w:rFonts w:eastAsia="Times New Roman" w:cs="Times New Roman"/>
          <w:color w:val="000000" w:themeColor="text1"/>
          <w:sz w:val="24"/>
          <w:szCs w:val="24"/>
          <w:lang w:val="lv"/>
        </w:rPr>
        <w:t xml:space="preserve"> no Iepirkuma</w:t>
      </w:r>
      <w:r w:rsidR="0B161849">
        <w:rPr>
          <w:rFonts w:eastAsia="Times New Roman" w:cs="Times New Roman"/>
          <w:color w:val="000000" w:themeColor="text1"/>
          <w:sz w:val="24"/>
          <w:szCs w:val="24"/>
          <w:lang w:val="lv"/>
        </w:rPr>
        <w:t xml:space="preserve"> par nepamatotu.</w:t>
      </w:r>
      <w:r w:rsidR="7E899317">
        <w:rPr>
          <w:rFonts w:eastAsia="Times New Roman" w:cs="Times New Roman"/>
          <w:color w:val="000000" w:themeColor="text1"/>
          <w:sz w:val="24"/>
          <w:szCs w:val="24"/>
          <w:lang w:val="lv"/>
        </w:rPr>
        <w:t xml:space="preserve"> </w:t>
      </w:r>
      <w:r w:rsidR="0863E99F">
        <w:rPr>
          <w:rFonts w:eastAsia="Times New Roman" w:cs="Times New Roman"/>
          <w:color w:val="000000" w:themeColor="text1"/>
          <w:sz w:val="24"/>
          <w:szCs w:val="24"/>
          <w:lang w:val="lv"/>
        </w:rPr>
        <w:t xml:space="preserve">Šādi riski vērtējami kā </w:t>
      </w:r>
      <w:r w:rsidR="4001C963" w:rsidRPr="6075987E">
        <w:rPr>
          <w:rFonts w:eastAsia="Times New Roman" w:cs="Times New Roman"/>
          <w:color w:val="000000" w:themeColor="text1"/>
          <w:sz w:val="24"/>
          <w:szCs w:val="24"/>
          <w:lang w:val="lv"/>
        </w:rPr>
        <w:t>zemāki, jo neiegūtās peļņas piedziņai ICTAS – DOGUS tiesā būtu jāpierāda, ka neesot pārkāpumam publiskā iepirkuma procedūrā, tam vajadzēja saņemt publiskā iepirkuma līguma slēgšanas (izpildījuma) tiesības un viņam tiktu šādas tiesības piešķirtas</w:t>
      </w:r>
      <w:r w:rsidR="30E8E632">
        <w:rPr>
          <w:rFonts w:eastAsia="Times New Roman" w:cs="Times New Roman"/>
          <w:color w:val="000000" w:themeColor="text1"/>
          <w:sz w:val="24"/>
          <w:szCs w:val="24"/>
          <w:lang w:val="lv"/>
        </w:rPr>
        <w:t>.</w:t>
      </w:r>
      <w:r w:rsidR="00DA1481">
        <w:rPr>
          <w:rStyle w:val="FootnoteReference"/>
          <w:rFonts w:eastAsia="Times New Roman" w:cs="Times New Roman"/>
          <w:color w:val="000000" w:themeColor="text1"/>
          <w:sz w:val="24"/>
          <w:szCs w:val="24"/>
          <w:lang w:val="lv"/>
        </w:rPr>
        <w:footnoteReference w:id="20"/>
      </w:r>
      <w:r w:rsidR="3421D44C">
        <w:rPr>
          <w:rFonts w:eastAsia="Times New Roman" w:cs="Times New Roman"/>
          <w:color w:val="000000" w:themeColor="text1"/>
          <w:sz w:val="24"/>
          <w:szCs w:val="24"/>
          <w:lang w:val="lv"/>
        </w:rPr>
        <w:t xml:space="preserve"> </w:t>
      </w:r>
      <w:r w:rsidR="1E7563AB">
        <w:rPr>
          <w:rFonts w:eastAsia="Times New Roman" w:cs="Times New Roman"/>
          <w:color w:val="000000" w:themeColor="text1"/>
          <w:sz w:val="24"/>
          <w:szCs w:val="24"/>
          <w:lang w:val="lv"/>
        </w:rPr>
        <w:t>Plašāks skaidrojums par</w:t>
      </w:r>
      <w:r w:rsidR="24B52998">
        <w:rPr>
          <w:rFonts w:eastAsia="Times New Roman" w:cs="Times New Roman"/>
          <w:color w:val="000000" w:themeColor="text1"/>
          <w:sz w:val="24"/>
          <w:szCs w:val="24"/>
          <w:lang w:val="lv"/>
        </w:rPr>
        <w:t xml:space="preserve"> šiem</w:t>
      </w:r>
      <w:r w:rsidR="1E7563AB">
        <w:rPr>
          <w:rFonts w:eastAsia="Times New Roman" w:cs="Times New Roman"/>
          <w:color w:val="000000" w:themeColor="text1"/>
          <w:sz w:val="24"/>
          <w:szCs w:val="24"/>
          <w:lang w:val="lv"/>
        </w:rPr>
        <w:t xml:space="preserve"> </w:t>
      </w:r>
      <w:r w:rsidR="215EF557">
        <w:rPr>
          <w:rFonts w:eastAsia="Times New Roman" w:cs="Times New Roman"/>
          <w:color w:val="000000" w:themeColor="text1"/>
          <w:sz w:val="24"/>
          <w:szCs w:val="24"/>
          <w:lang w:val="lv"/>
        </w:rPr>
        <w:t>risk</w:t>
      </w:r>
      <w:r w:rsidR="24B52998">
        <w:rPr>
          <w:rFonts w:eastAsia="Times New Roman" w:cs="Times New Roman"/>
          <w:color w:val="000000" w:themeColor="text1"/>
          <w:sz w:val="24"/>
          <w:szCs w:val="24"/>
          <w:lang w:val="lv"/>
        </w:rPr>
        <w:t xml:space="preserve">iem </w:t>
      </w:r>
      <w:r w:rsidR="215EF557">
        <w:rPr>
          <w:rFonts w:eastAsia="Times New Roman" w:cs="Times New Roman"/>
          <w:color w:val="000000" w:themeColor="text1"/>
          <w:sz w:val="24"/>
          <w:szCs w:val="24"/>
          <w:lang w:val="lv"/>
        </w:rPr>
        <w:t>pieejams</w:t>
      </w:r>
      <w:r w:rsidR="24B52998">
        <w:rPr>
          <w:rFonts w:eastAsia="Times New Roman" w:cs="Times New Roman"/>
          <w:color w:val="000000" w:themeColor="text1"/>
          <w:sz w:val="24"/>
          <w:szCs w:val="24"/>
          <w:lang w:val="lv"/>
        </w:rPr>
        <w:t xml:space="preserve"> </w:t>
      </w:r>
      <w:r w:rsidR="76552D68" w:rsidRPr="638FD9FE">
        <w:rPr>
          <w:rFonts w:eastAsia="Times New Roman" w:cs="Times New Roman"/>
          <w:color w:val="000000" w:themeColor="text1"/>
          <w:sz w:val="24"/>
          <w:szCs w:val="24"/>
          <w:lang w:val="lv"/>
        </w:rPr>
        <w:t xml:space="preserve">6. </w:t>
      </w:r>
      <w:r w:rsidR="6C361203">
        <w:rPr>
          <w:rFonts w:eastAsia="Times New Roman" w:cs="Times New Roman"/>
          <w:color w:val="000000" w:themeColor="text1"/>
          <w:sz w:val="24"/>
          <w:szCs w:val="24"/>
          <w:lang w:val="lv"/>
        </w:rPr>
        <w:t>pielikumā.</w:t>
      </w:r>
    </w:p>
    <w:p w14:paraId="4F97CE02" w14:textId="42829E57" w:rsidR="00FB081D" w:rsidRDefault="00803D00" w:rsidP="00803D00">
      <w:pPr>
        <w:tabs>
          <w:tab w:val="left" w:pos="567"/>
        </w:tabs>
        <w:spacing w:after="0" w:line="240" w:lineRule="auto"/>
        <w:contextualSpacing/>
        <w:jc w:val="both"/>
        <w:rPr>
          <w:rFonts w:eastAsiaTheme="minorEastAsia" w:cs="Times New Roman"/>
          <w:color w:val="000000" w:themeColor="text1"/>
          <w:sz w:val="24"/>
          <w:szCs w:val="24"/>
          <w:lang w:eastAsia="lv-LV"/>
        </w:rPr>
      </w:pPr>
      <w:r>
        <w:rPr>
          <w:rFonts w:eastAsia="Times New Roman" w:cs="Times New Roman"/>
          <w:color w:val="0563C1"/>
          <w:sz w:val="24"/>
          <w:szCs w:val="24"/>
          <w:lang w:val="lv"/>
        </w:rPr>
        <w:tab/>
      </w:r>
      <w:r w:rsidR="6C431B5C" w:rsidRPr="0595A900">
        <w:rPr>
          <w:rFonts w:eastAsiaTheme="minorEastAsia" w:cs="Times New Roman"/>
          <w:color w:val="000000" w:themeColor="text1"/>
          <w:sz w:val="24"/>
          <w:szCs w:val="24"/>
          <w:lang w:eastAsia="lv-LV"/>
        </w:rPr>
        <w:t>Kopumā</w:t>
      </w:r>
      <w:r w:rsidR="1DEA6E6F" w:rsidRPr="0595A900">
        <w:rPr>
          <w:rFonts w:eastAsiaTheme="minorEastAsia" w:cs="Times New Roman"/>
          <w:color w:val="000000" w:themeColor="text1"/>
          <w:sz w:val="24"/>
          <w:szCs w:val="24"/>
          <w:lang w:eastAsia="lv-LV"/>
        </w:rPr>
        <w:t xml:space="preserve">, ņemot vērā augstāk izklāstītos termiņus un </w:t>
      </w:r>
      <w:r w:rsidR="072E1DD2" w:rsidRPr="0595A900">
        <w:rPr>
          <w:rFonts w:eastAsiaTheme="minorEastAsia" w:cs="Times New Roman"/>
          <w:color w:val="000000" w:themeColor="text1"/>
          <w:sz w:val="24"/>
          <w:szCs w:val="24"/>
          <w:lang w:eastAsia="lv-LV"/>
        </w:rPr>
        <w:t>projekta (tostarp neattiecināmības) riskus,</w:t>
      </w:r>
      <w:r w:rsidR="116DE411" w:rsidRPr="0595A900">
        <w:rPr>
          <w:rFonts w:eastAsiaTheme="minorEastAsia" w:cs="Times New Roman"/>
          <w:color w:val="000000" w:themeColor="text1"/>
          <w:sz w:val="24"/>
          <w:szCs w:val="24"/>
          <w:lang w:eastAsia="lv-LV"/>
        </w:rPr>
        <w:t xml:space="preserve"> kritiski vērtējama</w:t>
      </w:r>
      <w:r w:rsidR="072E1DD2" w:rsidRPr="0595A900">
        <w:rPr>
          <w:rFonts w:eastAsiaTheme="minorEastAsia" w:cs="Times New Roman"/>
          <w:color w:val="000000" w:themeColor="text1"/>
          <w:sz w:val="24"/>
          <w:szCs w:val="24"/>
          <w:lang w:eastAsia="lv-LV"/>
        </w:rPr>
        <w:t xml:space="preserve"> EDZL loma</w:t>
      </w:r>
      <w:r w:rsidR="1DEA6E6F" w:rsidRPr="0595A900">
        <w:rPr>
          <w:rFonts w:eastAsiaTheme="minorEastAsia" w:cs="Times New Roman"/>
          <w:color w:val="000000" w:themeColor="text1"/>
          <w:sz w:val="24"/>
          <w:szCs w:val="24"/>
          <w:lang w:eastAsia="lv-LV"/>
        </w:rPr>
        <w:t xml:space="preserve"> pamattrases</w:t>
      </w:r>
      <w:r w:rsidR="072E1DD2" w:rsidRPr="0595A900">
        <w:rPr>
          <w:rFonts w:eastAsiaTheme="minorEastAsia" w:cs="Times New Roman"/>
          <w:color w:val="000000" w:themeColor="text1"/>
          <w:sz w:val="24"/>
          <w:szCs w:val="24"/>
          <w:lang w:eastAsia="lv-LV"/>
        </w:rPr>
        <w:t xml:space="preserve"> būvniecības iepirkuma proces</w:t>
      </w:r>
      <w:r w:rsidR="191A418E" w:rsidRPr="0595A900">
        <w:rPr>
          <w:rFonts w:eastAsiaTheme="minorEastAsia" w:cs="Times New Roman"/>
          <w:color w:val="000000" w:themeColor="text1"/>
          <w:sz w:val="24"/>
          <w:szCs w:val="24"/>
          <w:lang w:eastAsia="lv-LV"/>
        </w:rPr>
        <w:t>a kavējumos</w:t>
      </w:r>
      <w:r w:rsidR="336CB789" w:rsidRPr="0595A900">
        <w:rPr>
          <w:rFonts w:eastAsiaTheme="minorEastAsia" w:cs="Times New Roman"/>
          <w:color w:val="000000" w:themeColor="text1"/>
          <w:sz w:val="24"/>
          <w:szCs w:val="24"/>
          <w:lang w:eastAsia="lv-LV"/>
        </w:rPr>
        <w:t xml:space="preserve">, kas šobrīd rada spiedienu uz lēmuma pieņemšanu un </w:t>
      </w:r>
      <w:r w:rsidR="75AF4E2B" w:rsidRPr="0595A900">
        <w:rPr>
          <w:rFonts w:eastAsiaTheme="minorEastAsia" w:cs="Times New Roman"/>
          <w:color w:val="000000" w:themeColor="text1"/>
          <w:sz w:val="24"/>
          <w:szCs w:val="24"/>
          <w:lang w:eastAsia="lv-LV"/>
        </w:rPr>
        <w:t xml:space="preserve">apgrūtina </w:t>
      </w:r>
      <w:r w:rsidR="01B3B078" w:rsidRPr="0595A900">
        <w:rPr>
          <w:rFonts w:eastAsiaTheme="minorEastAsia" w:cs="Times New Roman"/>
          <w:color w:val="000000" w:themeColor="text1"/>
          <w:sz w:val="24"/>
          <w:szCs w:val="24"/>
          <w:lang w:eastAsia="lv-LV"/>
        </w:rPr>
        <w:t>iespējas pilnvērtīgi uzlabot projekta pārvaldības ietvaru</w:t>
      </w:r>
      <w:r w:rsidR="04AFF123" w:rsidRPr="0595A900">
        <w:rPr>
          <w:rFonts w:eastAsiaTheme="minorEastAsia" w:cs="Times New Roman"/>
          <w:color w:val="000000" w:themeColor="text1"/>
          <w:sz w:val="24"/>
          <w:szCs w:val="24"/>
          <w:lang w:eastAsia="lv-LV"/>
        </w:rPr>
        <w:t xml:space="preserve"> jau pirms līguma noslēgšanas. </w:t>
      </w:r>
      <w:r w:rsidR="13BCBAA7" w:rsidRPr="0595A900">
        <w:rPr>
          <w:rFonts w:eastAsiaTheme="minorEastAsia" w:cs="Times New Roman"/>
          <w:color w:val="000000" w:themeColor="text1"/>
          <w:sz w:val="24"/>
          <w:szCs w:val="24"/>
          <w:lang w:eastAsia="lv-LV"/>
        </w:rPr>
        <w:t>Svarīgi arī konstatēt, ka a</w:t>
      </w:r>
      <w:r w:rsidR="530EF4D6" w:rsidRPr="0595A900">
        <w:rPr>
          <w:rFonts w:eastAsiaTheme="minorEastAsia" w:cs="Times New Roman"/>
          <w:color w:val="000000" w:themeColor="text1"/>
          <w:sz w:val="24"/>
          <w:szCs w:val="24"/>
          <w:lang w:eastAsia="lv-LV"/>
        </w:rPr>
        <w:t xml:space="preserve">ugstāk minētie līguma </w:t>
      </w:r>
      <w:r w:rsidR="053F5BFD" w:rsidRPr="0595A900">
        <w:rPr>
          <w:rFonts w:eastAsiaTheme="minorEastAsia" w:cs="Times New Roman"/>
          <w:color w:val="000000" w:themeColor="text1"/>
          <w:sz w:val="24"/>
          <w:szCs w:val="24"/>
          <w:lang w:eastAsia="lv-LV"/>
        </w:rPr>
        <w:t xml:space="preserve">noslēgšanas </w:t>
      </w:r>
      <w:r w:rsidR="530EF4D6" w:rsidRPr="0595A900">
        <w:rPr>
          <w:rFonts w:eastAsiaTheme="minorEastAsia" w:cs="Times New Roman"/>
          <w:color w:val="000000" w:themeColor="text1"/>
          <w:sz w:val="24"/>
          <w:szCs w:val="24"/>
          <w:lang w:eastAsia="lv-LV"/>
        </w:rPr>
        <w:t xml:space="preserve">termiņu un </w:t>
      </w:r>
      <w:r w:rsidR="18A5CE51" w:rsidRPr="0595A900">
        <w:rPr>
          <w:rFonts w:eastAsiaTheme="minorEastAsia" w:cs="Times New Roman"/>
          <w:color w:val="000000" w:themeColor="text1"/>
          <w:sz w:val="24"/>
          <w:szCs w:val="24"/>
          <w:lang w:eastAsia="lv-LV"/>
        </w:rPr>
        <w:t>izmaksu attiecināmības riski</w:t>
      </w:r>
      <w:r w:rsidR="6009D9A1" w:rsidRPr="0595A900">
        <w:rPr>
          <w:rFonts w:eastAsiaTheme="minorEastAsia" w:cs="Times New Roman"/>
          <w:color w:val="000000" w:themeColor="text1"/>
          <w:sz w:val="24"/>
          <w:szCs w:val="24"/>
          <w:lang w:eastAsia="lv-LV"/>
        </w:rPr>
        <w:t xml:space="preserve"> izriet arī no EDZL lēmuma konsolidēt visu pamattrases būvniecības tvērumu vienā līgumā. </w:t>
      </w:r>
      <w:r w:rsidR="197BE8B0" w:rsidRPr="0595A900">
        <w:rPr>
          <w:rFonts w:eastAsiaTheme="minorEastAsia" w:cs="Times New Roman"/>
          <w:color w:val="000000" w:themeColor="text1"/>
          <w:sz w:val="24"/>
          <w:szCs w:val="24"/>
          <w:lang w:eastAsia="lv-LV"/>
        </w:rPr>
        <w:t>Paredzams, ka šis risks</w:t>
      </w:r>
      <w:r w:rsidR="18A5CE51" w:rsidRPr="0595A900">
        <w:rPr>
          <w:rFonts w:eastAsiaTheme="minorEastAsia" w:cs="Times New Roman"/>
          <w:color w:val="000000" w:themeColor="text1"/>
          <w:sz w:val="24"/>
          <w:szCs w:val="24"/>
          <w:lang w:eastAsia="lv-LV"/>
        </w:rPr>
        <w:t xml:space="preserve"> </w:t>
      </w:r>
      <w:r w:rsidR="197BE8B0" w:rsidRPr="0595A900">
        <w:rPr>
          <w:rFonts w:eastAsiaTheme="minorEastAsia" w:cs="Times New Roman"/>
          <w:color w:val="000000" w:themeColor="text1"/>
          <w:sz w:val="24"/>
          <w:szCs w:val="24"/>
          <w:lang w:eastAsia="lv-LV"/>
        </w:rPr>
        <w:t>saglabāsies līdz pa</w:t>
      </w:r>
      <w:r w:rsidR="08C203AC" w:rsidRPr="0595A900">
        <w:rPr>
          <w:rFonts w:eastAsiaTheme="minorEastAsia" w:cs="Times New Roman"/>
          <w:color w:val="000000" w:themeColor="text1"/>
          <w:sz w:val="24"/>
          <w:szCs w:val="24"/>
          <w:lang w:eastAsia="lv-LV"/>
        </w:rPr>
        <w:t>t</w:t>
      </w:r>
      <w:r w:rsidR="197BE8B0" w:rsidRPr="0595A900">
        <w:rPr>
          <w:rFonts w:eastAsiaTheme="minorEastAsia" w:cs="Times New Roman"/>
          <w:color w:val="000000" w:themeColor="text1"/>
          <w:sz w:val="24"/>
          <w:szCs w:val="24"/>
          <w:lang w:eastAsia="lv-LV"/>
        </w:rPr>
        <w:t xml:space="preserve"> </w:t>
      </w:r>
      <w:r w:rsidR="197BE8B0" w:rsidRPr="0595A900">
        <w:rPr>
          <w:rFonts w:eastAsiaTheme="minorEastAsia" w:cs="Times New Roman"/>
          <w:color w:val="000000" w:themeColor="text1"/>
          <w:sz w:val="24"/>
          <w:szCs w:val="24"/>
          <w:lang w:eastAsia="lv-LV"/>
        </w:rPr>
        <w:lastRenderedPageBreak/>
        <w:t>būvniecības beigām</w:t>
      </w:r>
      <w:r w:rsidR="1CAE11E7" w:rsidRPr="0595A900">
        <w:rPr>
          <w:rFonts w:eastAsiaTheme="minorEastAsia" w:cs="Times New Roman"/>
          <w:color w:val="000000" w:themeColor="text1"/>
          <w:sz w:val="24"/>
          <w:szCs w:val="24"/>
          <w:lang w:eastAsia="lv-LV"/>
        </w:rPr>
        <w:t xml:space="preserve"> un vājinās Latvijas manerva iespējas, reaģējot uz mainīgu situāciju projektā vai attiecībās ar </w:t>
      </w:r>
      <w:r w:rsidR="0864943A" w:rsidRPr="0595A900">
        <w:rPr>
          <w:rFonts w:eastAsiaTheme="minorEastAsia" w:cs="Times New Roman"/>
          <w:color w:val="000000" w:themeColor="text1"/>
          <w:sz w:val="24"/>
          <w:szCs w:val="24"/>
          <w:lang w:eastAsia="lv-LV"/>
        </w:rPr>
        <w:t>Uzņēmēju.</w:t>
      </w:r>
    </w:p>
    <w:p w14:paraId="54EDC970" w14:textId="26D805A7" w:rsidR="00FA1EDB" w:rsidRPr="00FB081D" w:rsidRDefault="00FB081D" w:rsidP="00FB081D">
      <w:pPr>
        <w:rPr>
          <w:rFonts w:eastAsiaTheme="minorEastAsia" w:cs="Times New Roman"/>
          <w:color w:val="000000" w:themeColor="text1"/>
          <w:sz w:val="24"/>
          <w:szCs w:val="24"/>
          <w:lang w:eastAsia="lv-LV"/>
        </w:rPr>
      </w:pPr>
      <w:r>
        <w:rPr>
          <w:rFonts w:eastAsiaTheme="minorEastAsia" w:cs="Times New Roman"/>
          <w:color w:val="000000" w:themeColor="text1"/>
          <w:sz w:val="24"/>
          <w:szCs w:val="24"/>
          <w:lang w:eastAsia="lv-LV"/>
        </w:rPr>
        <w:br w:type="page"/>
      </w:r>
      <w:r w:rsidR="00C32394">
        <w:rPr>
          <w:rFonts w:eastAsiaTheme="minorEastAsia" w:cs="Times New Roman"/>
          <w:color w:val="000000"/>
          <w:sz w:val="24"/>
          <w:szCs w:val="24"/>
          <w:lang w:eastAsia="lv-LV"/>
        </w:rPr>
        <w:lastRenderedPageBreak/>
        <w:t xml:space="preserve"> </w:t>
      </w:r>
      <w:r>
        <w:rPr>
          <w:rFonts w:eastAsiaTheme="minorEastAsia" w:cs="Times New Roman"/>
          <w:color w:val="000000" w:themeColor="text1"/>
          <w:sz w:val="24"/>
          <w:szCs w:val="24"/>
          <w:lang w:eastAsia="lv-LV"/>
        </w:rPr>
        <w:tab/>
      </w:r>
      <w:r w:rsidR="5B6ADDAA" w:rsidRPr="0595A900">
        <w:rPr>
          <w:rFonts w:eastAsiaTheme="minorEastAsia" w:cs="Times New Roman"/>
          <w:b/>
          <w:bCs/>
          <w:sz w:val="24"/>
          <w:szCs w:val="24"/>
          <w:lang w:eastAsia="lv-LV"/>
        </w:rPr>
        <w:t>Galvenie riski un to mazināšanas novēršanas metodes</w:t>
      </w:r>
      <w:r w:rsidR="0D5F98BD" w:rsidRPr="0595A900">
        <w:rPr>
          <w:rFonts w:eastAsiaTheme="minorEastAsia" w:cs="Times New Roman"/>
          <w:b/>
          <w:bCs/>
          <w:sz w:val="24"/>
          <w:szCs w:val="24"/>
          <w:lang w:eastAsia="lv-LV"/>
        </w:rPr>
        <w:t xml:space="preserve"> (</w:t>
      </w:r>
      <w:r w:rsidR="58BB0944" w:rsidRPr="0595A900">
        <w:rPr>
          <w:rFonts w:eastAsiaTheme="minorEastAsia" w:cs="Times New Roman"/>
          <w:b/>
          <w:bCs/>
          <w:sz w:val="24"/>
          <w:szCs w:val="24"/>
          <w:lang w:eastAsia="lv-LV"/>
        </w:rPr>
        <w:t>balstoties uz</w:t>
      </w:r>
      <w:r w:rsidR="0D5F98BD" w:rsidRPr="0595A900">
        <w:rPr>
          <w:rFonts w:eastAsiaTheme="minorEastAsia" w:cs="Times New Roman"/>
          <w:b/>
          <w:bCs/>
          <w:sz w:val="24"/>
          <w:szCs w:val="24"/>
          <w:lang w:eastAsia="lv-LV"/>
        </w:rPr>
        <w:t xml:space="preserve"> EDZL </w:t>
      </w:r>
      <w:r w:rsidR="58BB0944" w:rsidRPr="0595A900">
        <w:rPr>
          <w:rFonts w:eastAsiaTheme="minorEastAsia" w:cs="Times New Roman"/>
          <w:b/>
          <w:bCs/>
          <w:sz w:val="24"/>
          <w:szCs w:val="24"/>
          <w:lang w:eastAsia="lv-LV"/>
        </w:rPr>
        <w:t>analīzi)</w:t>
      </w:r>
    </w:p>
    <w:p w14:paraId="3F1722E6" w14:textId="32A44CD9" w:rsidR="00351D56" w:rsidRPr="00F462E3" w:rsidRDefault="00B635D9" w:rsidP="00056AFE">
      <w:pPr>
        <w:spacing w:after="0" w:line="240" w:lineRule="auto"/>
        <w:contextualSpacing/>
        <w:jc w:val="right"/>
        <w:rPr>
          <w:rFonts w:eastAsiaTheme="minorEastAsia" w:cs="Times New Roman"/>
          <w:sz w:val="24"/>
          <w:szCs w:val="24"/>
          <w:lang w:eastAsia="lv-LV"/>
        </w:rPr>
      </w:pPr>
      <w:r>
        <w:rPr>
          <w:rFonts w:eastAsiaTheme="minorEastAsia" w:cs="Times New Roman"/>
          <w:sz w:val="24"/>
          <w:szCs w:val="24"/>
          <w:lang w:eastAsia="lv-LV"/>
        </w:rPr>
        <w:t>9</w:t>
      </w:r>
      <w:r w:rsidR="00FA1EDB" w:rsidRPr="00F462E3">
        <w:rPr>
          <w:rFonts w:eastAsiaTheme="minorEastAsia" w:cs="Times New Roman"/>
          <w:sz w:val="24"/>
          <w:szCs w:val="24"/>
          <w:lang w:eastAsia="lv-LV"/>
        </w:rPr>
        <w:t>. tabul</w:t>
      </w:r>
      <w:r w:rsidR="00120B11" w:rsidRPr="00F462E3">
        <w:rPr>
          <w:rFonts w:eastAsiaTheme="minorEastAsia" w:cs="Times New Roman"/>
          <w:sz w:val="24"/>
          <w:szCs w:val="24"/>
          <w:lang w:eastAsia="lv-LV"/>
        </w:rPr>
        <w:t>a</w:t>
      </w:r>
    </w:p>
    <w:tbl>
      <w:tblPr>
        <w:tblStyle w:val="TableGrid2"/>
        <w:tblW w:w="9401" w:type="dxa"/>
        <w:tblLook w:val="04A0" w:firstRow="1" w:lastRow="0" w:firstColumn="1" w:lastColumn="0" w:noHBand="0" w:noVBand="1"/>
      </w:tblPr>
      <w:tblGrid>
        <w:gridCol w:w="1611"/>
        <w:gridCol w:w="1397"/>
        <w:gridCol w:w="1046"/>
        <w:gridCol w:w="1867"/>
        <w:gridCol w:w="2239"/>
        <w:gridCol w:w="1241"/>
      </w:tblGrid>
      <w:tr w:rsidR="00CC7962" w:rsidRPr="00D555B7" w14:paraId="03E6B212" w14:textId="2841A1A7" w:rsidTr="638FD9FE">
        <w:trPr>
          <w:trHeight w:val="300"/>
        </w:trPr>
        <w:tc>
          <w:tcPr>
            <w:tcW w:w="1686" w:type="dxa"/>
            <w:vAlign w:val="center"/>
          </w:tcPr>
          <w:p w14:paraId="75A29BA8" w14:textId="77777777" w:rsidR="00CC7962" w:rsidRPr="000E1D11" w:rsidRDefault="00CC7962" w:rsidP="00056AFE">
            <w:pPr>
              <w:contextualSpacing/>
              <w:jc w:val="center"/>
              <w:rPr>
                <w:rFonts w:ascii="Times New Roman" w:hAnsi="Times New Roman" w:cs="Times New Roman"/>
                <w:b/>
                <w:bCs/>
                <w:color w:val="000000"/>
                <w:sz w:val="20"/>
                <w:szCs w:val="20"/>
              </w:rPr>
            </w:pPr>
            <w:r w:rsidRPr="000E1D11">
              <w:rPr>
                <w:rFonts w:ascii="Times New Roman" w:hAnsi="Times New Roman" w:cs="Times New Roman"/>
                <w:b/>
                <w:bCs/>
                <w:color w:val="000000"/>
                <w:sz w:val="20"/>
                <w:szCs w:val="20"/>
              </w:rPr>
              <w:t>Riska nosaukums</w:t>
            </w:r>
          </w:p>
        </w:tc>
        <w:tc>
          <w:tcPr>
            <w:tcW w:w="1239" w:type="dxa"/>
            <w:vAlign w:val="center"/>
          </w:tcPr>
          <w:p w14:paraId="31451AD6" w14:textId="4D288180" w:rsidR="00CC7962" w:rsidRPr="00D555B7" w:rsidRDefault="00CC7962" w:rsidP="00056AFE">
            <w:pPr>
              <w:contextualSpacing/>
              <w:jc w:val="center"/>
              <w:rPr>
                <w:rFonts w:ascii="Times New Roman" w:hAnsi="Times New Roman" w:cs="Times New Roman"/>
                <w:b/>
                <w:bCs/>
                <w:color w:val="000000"/>
                <w:sz w:val="20"/>
                <w:szCs w:val="20"/>
              </w:rPr>
            </w:pPr>
            <w:r w:rsidRPr="000E1D11">
              <w:rPr>
                <w:rFonts w:ascii="Times New Roman" w:hAnsi="Times New Roman" w:cs="Times New Roman"/>
                <w:b/>
                <w:bCs/>
                <w:color w:val="000000"/>
                <w:sz w:val="20"/>
                <w:szCs w:val="20"/>
              </w:rPr>
              <w:t>Riska iespējamība</w:t>
            </w:r>
          </w:p>
        </w:tc>
        <w:tc>
          <w:tcPr>
            <w:tcW w:w="1005" w:type="dxa"/>
            <w:vAlign w:val="center"/>
          </w:tcPr>
          <w:p w14:paraId="4F996FFD" w14:textId="6EEEACF2" w:rsidR="00CC7962" w:rsidRPr="00D555B7" w:rsidRDefault="00CC7962" w:rsidP="00056AFE">
            <w:pPr>
              <w:contextualSpacing/>
              <w:jc w:val="center"/>
              <w:rPr>
                <w:rFonts w:ascii="Times New Roman" w:hAnsi="Times New Roman" w:cs="Times New Roman"/>
                <w:b/>
                <w:bCs/>
                <w:color w:val="000000"/>
                <w:sz w:val="20"/>
                <w:szCs w:val="20"/>
              </w:rPr>
            </w:pPr>
            <w:r w:rsidRPr="000E1D11">
              <w:rPr>
                <w:rFonts w:ascii="Times New Roman" w:hAnsi="Times New Roman" w:cs="Times New Roman"/>
                <w:b/>
                <w:bCs/>
                <w:color w:val="000000"/>
                <w:sz w:val="20"/>
                <w:szCs w:val="20"/>
              </w:rPr>
              <w:t>Riska ietekme</w:t>
            </w:r>
          </w:p>
        </w:tc>
        <w:tc>
          <w:tcPr>
            <w:tcW w:w="2095" w:type="dxa"/>
            <w:vAlign w:val="center"/>
          </w:tcPr>
          <w:p w14:paraId="7A3A6E85" w14:textId="1A3DCACA" w:rsidR="00CC7962" w:rsidRPr="000E1D11" w:rsidRDefault="00CC7962" w:rsidP="00056AFE">
            <w:pPr>
              <w:contextualSpacing/>
              <w:jc w:val="center"/>
              <w:rPr>
                <w:rFonts w:ascii="Times New Roman" w:hAnsi="Times New Roman" w:cs="Times New Roman"/>
                <w:b/>
                <w:bCs/>
                <w:color w:val="000000"/>
                <w:sz w:val="20"/>
                <w:szCs w:val="20"/>
              </w:rPr>
            </w:pPr>
            <w:r w:rsidRPr="000E1D11">
              <w:rPr>
                <w:rFonts w:ascii="Times New Roman" w:hAnsi="Times New Roman" w:cs="Times New Roman"/>
                <w:b/>
                <w:bCs/>
                <w:color w:val="000000"/>
                <w:sz w:val="20"/>
                <w:szCs w:val="20"/>
              </w:rPr>
              <w:t>Riska apraksts un mazināšanas vai novēršanas pasākumi</w:t>
            </w:r>
          </w:p>
        </w:tc>
        <w:tc>
          <w:tcPr>
            <w:tcW w:w="2192" w:type="dxa"/>
            <w:vAlign w:val="center"/>
          </w:tcPr>
          <w:p w14:paraId="2EAED323" w14:textId="77777777" w:rsidR="00CC7962" w:rsidRPr="000E1D11" w:rsidRDefault="00CC7962" w:rsidP="00056AFE">
            <w:pPr>
              <w:contextualSpacing/>
              <w:jc w:val="center"/>
              <w:rPr>
                <w:rFonts w:ascii="Times New Roman" w:hAnsi="Times New Roman" w:cs="Times New Roman"/>
                <w:b/>
                <w:bCs/>
                <w:color w:val="000000"/>
                <w:sz w:val="20"/>
                <w:szCs w:val="20"/>
              </w:rPr>
            </w:pPr>
            <w:r w:rsidRPr="000E1D11">
              <w:rPr>
                <w:rFonts w:ascii="Times New Roman" w:hAnsi="Times New Roman" w:cs="Times New Roman"/>
                <w:b/>
                <w:bCs/>
                <w:color w:val="000000"/>
                <w:sz w:val="20"/>
                <w:szCs w:val="20"/>
              </w:rPr>
              <w:t>Riska mazināšana/novēršanas pasākumi, kas ietverti līgumā vai novēršami noslēdzot līgumu</w:t>
            </w:r>
          </w:p>
        </w:tc>
        <w:tc>
          <w:tcPr>
            <w:tcW w:w="1184" w:type="dxa"/>
            <w:vAlign w:val="center"/>
          </w:tcPr>
          <w:p w14:paraId="78E33904" w14:textId="75D42B2F" w:rsidR="00CC7962" w:rsidRPr="00D555B7" w:rsidRDefault="00CC7962" w:rsidP="00056AFE">
            <w:pPr>
              <w:contextualSpacing/>
              <w:jc w:val="center"/>
              <w:rPr>
                <w:rFonts w:ascii="Times New Roman" w:hAnsi="Times New Roman" w:cs="Times New Roman"/>
                <w:b/>
                <w:bCs/>
                <w:color w:val="000000"/>
                <w:sz w:val="20"/>
                <w:szCs w:val="20"/>
              </w:rPr>
            </w:pPr>
            <w:r w:rsidRPr="00D555B7">
              <w:rPr>
                <w:rFonts w:ascii="Times New Roman" w:hAnsi="Times New Roman" w:cs="Times New Roman"/>
                <w:b/>
                <w:bCs/>
                <w:color w:val="000000"/>
                <w:sz w:val="20"/>
                <w:szCs w:val="20"/>
              </w:rPr>
              <w:t>Riska ietekme</w:t>
            </w:r>
            <w:r w:rsidRPr="000E1D11">
              <w:rPr>
                <w:rFonts w:ascii="Times New Roman" w:hAnsi="Times New Roman" w:cs="Times New Roman"/>
                <w:b/>
                <w:bCs/>
                <w:color w:val="000000"/>
                <w:sz w:val="20"/>
                <w:szCs w:val="20"/>
              </w:rPr>
              <w:t xml:space="preserve"> </w:t>
            </w:r>
            <w:r w:rsidRPr="00D555B7">
              <w:rPr>
                <w:rFonts w:ascii="Times New Roman" w:hAnsi="Times New Roman" w:cs="Times New Roman"/>
                <w:b/>
                <w:bCs/>
                <w:color w:val="000000"/>
                <w:sz w:val="20"/>
                <w:szCs w:val="20"/>
              </w:rPr>
              <w:t>ieviešot minētos pasākumus</w:t>
            </w:r>
          </w:p>
        </w:tc>
      </w:tr>
      <w:tr w:rsidR="00CC7962" w:rsidRPr="00D555B7" w14:paraId="06716536" w14:textId="37A7EC43" w:rsidTr="638FD9FE">
        <w:trPr>
          <w:trHeight w:val="3025"/>
        </w:trPr>
        <w:tc>
          <w:tcPr>
            <w:tcW w:w="1686" w:type="dxa"/>
            <w:vAlign w:val="center"/>
          </w:tcPr>
          <w:p w14:paraId="444A1389" w14:textId="77777777" w:rsidR="00CC7962" w:rsidRPr="000E1D11" w:rsidRDefault="00CC7962"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Būvprojektu nepieejamība</w:t>
            </w:r>
          </w:p>
        </w:tc>
        <w:tc>
          <w:tcPr>
            <w:tcW w:w="1239" w:type="dxa"/>
            <w:vAlign w:val="center"/>
          </w:tcPr>
          <w:p w14:paraId="0318813F" w14:textId="6FD6C2DB" w:rsidR="00CC7962" w:rsidRPr="00D555B7" w:rsidRDefault="00CC7962"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Augsta</w:t>
            </w:r>
          </w:p>
        </w:tc>
        <w:tc>
          <w:tcPr>
            <w:tcW w:w="1005" w:type="dxa"/>
            <w:vAlign w:val="center"/>
          </w:tcPr>
          <w:p w14:paraId="06C33E5E" w14:textId="7CE314C3" w:rsidR="00CC7962" w:rsidRPr="00D555B7" w:rsidRDefault="00CC7962"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Augsta</w:t>
            </w:r>
          </w:p>
        </w:tc>
        <w:tc>
          <w:tcPr>
            <w:tcW w:w="2095" w:type="dxa"/>
            <w:vAlign w:val="center"/>
          </w:tcPr>
          <w:p w14:paraId="68DC550B" w14:textId="088C3B15" w:rsidR="00CC7962" w:rsidRPr="000E1D11" w:rsidRDefault="00CC7962" w:rsidP="00056AFE">
            <w:pPr>
              <w:contextualSpacing/>
              <w:rPr>
                <w:rFonts w:ascii="Times New Roman" w:hAnsi="Times New Roman" w:cs="Times New Roman"/>
                <w:color w:val="000000"/>
                <w:sz w:val="20"/>
                <w:szCs w:val="20"/>
              </w:rPr>
            </w:pPr>
            <w:r w:rsidRPr="000E1D11">
              <w:rPr>
                <w:rFonts w:ascii="Times New Roman" w:hAnsi="Times New Roman" w:cs="Times New Roman"/>
                <w:color w:val="000000"/>
                <w:sz w:val="20"/>
                <w:szCs w:val="20"/>
              </w:rPr>
              <w:t>Gadījumā, ja plānoto darbu būvprojekti nav pieejami, būvdarbi netiek pasūtīti (ietvarlīguma pieeja) vai to izstrāde tiek uzticēta Uzņēmējam līguma grozījumu ietvaros, tādējādi samazinot negatīvo ietekmi uz projekta laika grafiku (potenciālie līguma grozījumi).</w:t>
            </w:r>
          </w:p>
        </w:tc>
        <w:tc>
          <w:tcPr>
            <w:tcW w:w="2192" w:type="dxa"/>
            <w:vAlign w:val="center"/>
          </w:tcPr>
          <w:p w14:paraId="67B784E0" w14:textId="77777777" w:rsidR="00CC7962" w:rsidRPr="000E1D11" w:rsidRDefault="00CC7962" w:rsidP="00056AFE">
            <w:pPr>
              <w:contextualSpacing/>
              <w:jc w:val="both"/>
              <w:rPr>
                <w:rFonts w:ascii="Times New Roman" w:hAnsi="Times New Roman" w:cs="Times New Roman"/>
                <w:color w:val="000000"/>
                <w:sz w:val="20"/>
                <w:szCs w:val="20"/>
              </w:rPr>
            </w:pPr>
            <w:bookmarkStart w:id="3" w:name="_Hlk147906272"/>
            <w:r w:rsidRPr="000E1D11">
              <w:rPr>
                <w:rFonts w:ascii="Times New Roman" w:hAnsi="Times New Roman" w:cs="Times New Roman"/>
                <w:color w:val="000000"/>
                <w:sz w:val="20"/>
                <w:szCs w:val="20"/>
              </w:rPr>
              <w:t>Darbu pasūtīšanas mehānisms, kas iekļauts līgumā definē, kad darbi tiek pasūtīti tikai, kad ir pieejami visi trīs galvenie priekšnosacījumi darbu uzsākšanai – zeme, finansējums un būvprojekts. Papildus, nepieciešamības gadījumā saskaņā ar līgumā ietverto iespējamo līguma grozījumu sadaļu un pamatojoties uz Publisko iepirkumu likuma 61.panta 3.daļas p.1 ir iespējams veikt līguma grozījumus un uzticēt būvprojektu izstrādi/pabeigšanu Uzņēmējam.</w:t>
            </w:r>
            <w:bookmarkEnd w:id="3"/>
          </w:p>
        </w:tc>
        <w:tc>
          <w:tcPr>
            <w:tcW w:w="1184" w:type="dxa"/>
            <w:vAlign w:val="center"/>
          </w:tcPr>
          <w:p w14:paraId="401FA905" w14:textId="7727E650" w:rsidR="00CC7962" w:rsidRPr="00D555B7" w:rsidRDefault="002E0AF0"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Vidēja</w:t>
            </w:r>
          </w:p>
        </w:tc>
      </w:tr>
      <w:tr w:rsidR="00DA0495" w:rsidRPr="00D555B7" w14:paraId="3CD5791F" w14:textId="7F06446C" w:rsidTr="638FD9FE">
        <w:trPr>
          <w:trHeight w:val="3025"/>
        </w:trPr>
        <w:tc>
          <w:tcPr>
            <w:tcW w:w="1686" w:type="dxa"/>
            <w:vAlign w:val="center"/>
          </w:tcPr>
          <w:p w14:paraId="4744884E" w14:textId="77777777" w:rsidR="00DA0495" w:rsidRPr="000E1D11" w:rsidRDefault="37476E9A" w:rsidP="00056AFE">
            <w:pPr>
              <w:contextualSpacing/>
              <w:jc w:val="center"/>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Zema būvprojektu kvalitāte</w:t>
            </w:r>
          </w:p>
        </w:tc>
        <w:tc>
          <w:tcPr>
            <w:tcW w:w="1239" w:type="dxa"/>
            <w:vAlign w:val="center"/>
          </w:tcPr>
          <w:p w14:paraId="039ABA3D" w14:textId="3CDAC0A4" w:rsidR="00DA0495" w:rsidRPr="00D555B7" w:rsidRDefault="37476E9A" w:rsidP="00056AFE">
            <w:pPr>
              <w:contextualSpacing/>
              <w:jc w:val="center"/>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Augsta</w:t>
            </w:r>
          </w:p>
        </w:tc>
        <w:tc>
          <w:tcPr>
            <w:tcW w:w="1005" w:type="dxa"/>
            <w:vAlign w:val="center"/>
          </w:tcPr>
          <w:p w14:paraId="72F7ABC5" w14:textId="2F1D1B83" w:rsidR="00DA0495" w:rsidRPr="00D555B7" w:rsidRDefault="00DA0495"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Augsta</w:t>
            </w:r>
          </w:p>
        </w:tc>
        <w:tc>
          <w:tcPr>
            <w:tcW w:w="2095" w:type="dxa"/>
            <w:vAlign w:val="center"/>
          </w:tcPr>
          <w:p w14:paraId="2B2E0150" w14:textId="6ED409DD" w:rsidR="00DA0495" w:rsidRPr="000E1D11" w:rsidRDefault="00DA0495" w:rsidP="00056AFE">
            <w:pPr>
              <w:contextualSpacing/>
              <w:rPr>
                <w:rFonts w:ascii="Times New Roman" w:hAnsi="Times New Roman" w:cs="Times New Roman"/>
                <w:color w:val="000000"/>
                <w:sz w:val="20"/>
                <w:szCs w:val="20"/>
              </w:rPr>
            </w:pPr>
            <w:r w:rsidRPr="000E1D11">
              <w:rPr>
                <w:rFonts w:ascii="Times New Roman" w:hAnsi="Times New Roman" w:cs="Times New Roman"/>
                <w:color w:val="000000"/>
                <w:sz w:val="20"/>
                <w:szCs w:val="20"/>
              </w:rPr>
              <w:t xml:space="preserve">Lai </w:t>
            </w:r>
            <w:r w:rsidR="004F7109" w:rsidRPr="000E1D11">
              <w:rPr>
                <w:rFonts w:ascii="Times New Roman" w:hAnsi="Times New Roman" w:cs="Times New Roman"/>
                <w:color w:val="000000"/>
                <w:sz w:val="20"/>
                <w:szCs w:val="20"/>
              </w:rPr>
              <w:t>sav</w:t>
            </w:r>
            <w:r w:rsidRPr="000E1D11">
              <w:rPr>
                <w:rFonts w:ascii="Times New Roman" w:hAnsi="Times New Roman" w:cs="Times New Roman"/>
                <w:color w:val="000000"/>
                <w:sz w:val="20"/>
                <w:szCs w:val="20"/>
              </w:rPr>
              <w:t>laicīgi novērstu kļūdas būvprojektos vai neiespējamību tajos iekļautos risinājumus izbūvēt, jāparedz agrīnā būvdarbu veicēja iesaiste, kuras ietvaros tiek sagatavoti būvprojektu pārbaudes un būvējamības ziņojumi.</w:t>
            </w:r>
          </w:p>
        </w:tc>
        <w:tc>
          <w:tcPr>
            <w:tcW w:w="2192" w:type="dxa"/>
            <w:vAlign w:val="center"/>
          </w:tcPr>
          <w:p w14:paraId="1EF51FE6" w14:textId="4A7BF1EA" w:rsidR="00DA0495" w:rsidRPr="000E1D11" w:rsidRDefault="00DA0495"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sz w:val="20"/>
                <w:szCs w:val="20"/>
              </w:rPr>
              <w:t>Agrīnās būvdarbu veicēja iesaistes mehānisms, kas iekļauts līgumā paredz, ka Uzņēmējs veiks pilnīgu būvprojekta izskatīšanu pirks būvdarbiem, tādējādi novēršot risku, ka būvdarbi tiek apturēti vai rodas dīkstāve.</w:t>
            </w:r>
          </w:p>
        </w:tc>
        <w:tc>
          <w:tcPr>
            <w:tcW w:w="1184" w:type="dxa"/>
            <w:vAlign w:val="center"/>
          </w:tcPr>
          <w:p w14:paraId="2E7BDBCC" w14:textId="7A1D9CEA" w:rsidR="00DA0495" w:rsidRPr="00D555B7" w:rsidRDefault="004F7109"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Zema</w:t>
            </w:r>
          </w:p>
        </w:tc>
      </w:tr>
      <w:tr w:rsidR="00C23C8D" w:rsidRPr="00D555B7" w14:paraId="03D4DDD8" w14:textId="5B76A1FF" w:rsidTr="638FD9FE">
        <w:trPr>
          <w:trHeight w:val="300"/>
        </w:trPr>
        <w:tc>
          <w:tcPr>
            <w:tcW w:w="1686" w:type="dxa"/>
            <w:vAlign w:val="center"/>
          </w:tcPr>
          <w:p w14:paraId="64946770" w14:textId="6F8A589C" w:rsidR="00C23C8D" w:rsidRPr="000E1D11" w:rsidRDefault="07296EAE" w:rsidP="00056AFE">
            <w:pPr>
              <w:contextualSpacing/>
              <w:jc w:val="center"/>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Zemju,</w:t>
            </w:r>
            <w:r w:rsidR="5171D448" w:rsidRPr="0595A900">
              <w:rPr>
                <w:rFonts w:ascii="Times New Roman" w:hAnsi="Times New Roman" w:cs="Times New Roman"/>
                <w:color w:val="000000" w:themeColor="text1"/>
                <w:sz w:val="20"/>
                <w:szCs w:val="20"/>
              </w:rPr>
              <w:t xml:space="preserve"> atsavināšanai nepieciešamā</w:t>
            </w:r>
            <w:r w:rsidRPr="0595A900">
              <w:rPr>
                <w:rFonts w:ascii="Times New Roman" w:hAnsi="Times New Roman" w:cs="Times New Roman"/>
                <w:color w:val="000000" w:themeColor="text1"/>
                <w:sz w:val="20"/>
                <w:szCs w:val="20"/>
              </w:rPr>
              <w:t xml:space="preserve"> finansējuma nepieejamība</w:t>
            </w:r>
          </w:p>
        </w:tc>
        <w:tc>
          <w:tcPr>
            <w:tcW w:w="1239" w:type="dxa"/>
            <w:vAlign w:val="center"/>
          </w:tcPr>
          <w:p w14:paraId="4213836A" w14:textId="0E71B231" w:rsidR="00C23C8D" w:rsidRPr="00D555B7" w:rsidRDefault="00C23C8D"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Vidēja</w:t>
            </w:r>
          </w:p>
        </w:tc>
        <w:tc>
          <w:tcPr>
            <w:tcW w:w="1005" w:type="dxa"/>
            <w:vAlign w:val="center"/>
          </w:tcPr>
          <w:p w14:paraId="6AE833D6" w14:textId="3ACDB8B9" w:rsidR="00C23C8D" w:rsidRPr="00D555B7" w:rsidRDefault="00C23C8D"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Vidēja</w:t>
            </w:r>
          </w:p>
        </w:tc>
        <w:tc>
          <w:tcPr>
            <w:tcW w:w="2095" w:type="dxa"/>
            <w:vAlign w:val="center"/>
          </w:tcPr>
          <w:p w14:paraId="2C5110FA" w14:textId="71995696" w:rsidR="00C23C8D" w:rsidRPr="000E1D11" w:rsidRDefault="07296EAE" w:rsidP="00056AFE">
            <w:pPr>
              <w:contextualSpacing/>
              <w:jc w:val="both"/>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Posmos, kuros nav pieejamas zemes vai finanšu resursi, būvdarbi netiek pasūtīti (ietvarlīguma pieeja).</w:t>
            </w:r>
            <w:r w:rsidR="29FE78C6" w:rsidRPr="0595A900">
              <w:rPr>
                <w:rFonts w:ascii="Times New Roman" w:hAnsi="Times New Roman" w:cs="Times New Roman"/>
                <w:color w:val="000000" w:themeColor="text1"/>
                <w:sz w:val="20"/>
                <w:szCs w:val="20"/>
              </w:rPr>
              <w:t xml:space="preserve"> Šobrīd ir atsavināti </w:t>
            </w:r>
            <w:r w:rsidR="7E5C08A4" w:rsidRPr="0595A900">
              <w:rPr>
                <w:rFonts w:ascii="Times New Roman" w:hAnsi="Times New Roman" w:cs="Times New Roman"/>
                <w:color w:val="000000" w:themeColor="text1"/>
                <w:sz w:val="20"/>
                <w:szCs w:val="20"/>
              </w:rPr>
              <w:t xml:space="preserve">271 no aptvueni 1700 </w:t>
            </w:r>
            <w:r w:rsidR="7E5C08A4" w:rsidRPr="0595A900">
              <w:rPr>
                <w:rFonts w:ascii="Times New Roman" w:hAnsi="Times New Roman" w:cs="Times New Roman"/>
                <w:color w:val="000000" w:themeColor="text1"/>
                <w:sz w:val="20"/>
                <w:szCs w:val="20"/>
              </w:rPr>
              <w:lastRenderedPageBreak/>
              <w:t>nepieciešamajiem objektiem.</w:t>
            </w:r>
          </w:p>
        </w:tc>
        <w:tc>
          <w:tcPr>
            <w:tcW w:w="2192" w:type="dxa"/>
            <w:vAlign w:val="center"/>
          </w:tcPr>
          <w:p w14:paraId="3D04FFC4" w14:textId="0B051CE8" w:rsidR="00C23C8D" w:rsidRPr="000E1D11" w:rsidRDefault="00C23C8D"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sz w:val="20"/>
                <w:szCs w:val="20"/>
              </w:rPr>
              <w:lastRenderedPageBreak/>
              <w:t>Darbu pasūtīšanas mehānisms, kas iekļauts līgumā definē, kad darbi tiek pasūtīti tikai, kad ir pieejami visi trīs galvenie priekšnosacījumi darbu uzsākšanai – zeme, finansējums un būvprojekts.</w:t>
            </w:r>
            <w:r w:rsidR="00523CAD">
              <w:rPr>
                <w:rFonts w:ascii="Times New Roman" w:hAnsi="Times New Roman" w:cs="Times New Roman"/>
                <w:color w:val="000000"/>
                <w:sz w:val="20"/>
                <w:szCs w:val="20"/>
              </w:rPr>
              <w:t xml:space="preserve"> Zemju </w:t>
            </w:r>
            <w:r w:rsidR="00523CAD">
              <w:rPr>
                <w:rFonts w:ascii="Times New Roman" w:hAnsi="Times New Roman" w:cs="Times New Roman"/>
                <w:color w:val="000000"/>
                <w:sz w:val="20"/>
                <w:szCs w:val="20"/>
              </w:rPr>
              <w:lastRenderedPageBreak/>
              <w:t>atsavināšana tiek veikta atbilstoši Rail Baltica Delivery Programme 2030 ietvertajam plānam.</w:t>
            </w:r>
          </w:p>
        </w:tc>
        <w:tc>
          <w:tcPr>
            <w:tcW w:w="1184" w:type="dxa"/>
            <w:vAlign w:val="center"/>
          </w:tcPr>
          <w:p w14:paraId="71318DB3" w14:textId="6F719E23" w:rsidR="00C23C8D" w:rsidRPr="00D555B7" w:rsidRDefault="087C603D" w:rsidP="0595A900">
            <w:pPr>
              <w:spacing w:after="200" w:line="276" w:lineRule="auto"/>
              <w:contextualSpacing/>
              <w:jc w:val="center"/>
            </w:pPr>
            <w:r w:rsidRPr="0595A900">
              <w:rPr>
                <w:rFonts w:ascii="Times New Roman" w:hAnsi="Times New Roman" w:cs="Times New Roman"/>
                <w:color w:val="000000" w:themeColor="text1"/>
                <w:sz w:val="20"/>
                <w:szCs w:val="20"/>
              </w:rPr>
              <w:lastRenderedPageBreak/>
              <w:t>Augsta</w:t>
            </w:r>
          </w:p>
        </w:tc>
      </w:tr>
      <w:tr w:rsidR="008B5525" w:rsidRPr="00D555B7" w14:paraId="1398918A" w14:textId="20221F77" w:rsidTr="638FD9FE">
        <w:trPr>
          <w:trHeight w:val="300"/>
        </w:trPr>
        <w:tc>
          <w:tcPr>
            <w:tcW w:w="1686" w:type="dxa"/>
            <w:vAlign w:val="center"/>
          </w:tcPr>
          <w:p w14:paraId="184F6091" w14:textId="7CF6B894" w:rsidR="008B5525" w:rsidRPr="000E1D11" w:rsidRDefault="619FF049" w:rsidP="00056AFE">
            <w:pPr>
              <w:contextualSpacing/>
              <w:jc w:val="center"/>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Līguma izpildei nepieciešamā f</w:t>
            </w:r>
            <w:r w:rsidR="27B5B3FA" w:rsidRPr="0595A900">
              <w:rPr>
                <w:rFonts w:ascii="Times New Roman" w:hAnsi="Times New Roman" w:cs="Times New Roman"/>
                <w:color w:val="000000" w:themeColor="text1"/>
                <w:sz w:val="20"/>
                <w:szCs w:val="20"/>
              </w:rPr>
              <w:t>inansējuma nepietiekamība</w:t>
            </w:r>
          </w:p>
        </w:tc>
        <w:tc>
          <w:tcPr>
            <w:tcW w:w="1239" w:type="dxa"/>
            <w:vAlign w:val="center"/>
          </w:tcPr>
          <w:p w14:paraId="7592903E" w14:textId="3C4CC5C6" w:rsidR="008B5525" w:rsidRPr="00D555B7" w:rsidRDefault="24893115" w:rsidP="0595A900">
            <w:pPr>
              <w:spacing w:after="200" w:line="276" w:lineRule="auto"/>
              <w:contextualSpacing/>
              <w:jc w:val="center"/>
            </w:pPr>
            <w:r w:rsidRPr="0595A900">
              <w:rPr>
                <w:rFonts w:ascii="Times New Roman" w:hAnsi="Times New Roman" w:cs="Times New Roman"/>
                <w:color w:val="000000" w:themeColor="text1"/>
                <w:sz w:val="20"/>
                <w:szCs w:val="20"/>
              </w:rPr>
              <w:t>Augsta</w:t>
            </w:r>
          </w:p>
        </w:tc>
        <w:tc>
          <w:tcPr>
            <w:tcW w:w="1005" w:type="dxa"/>
            <w:vAlign w:val="center"/>
          </w:tcPr>
          <w:p w14:paraId="393D238B" w14:textId="31E89E7F" w:rsidR="008B5525" w:rsidRPr="00D555B7" w:rsidRDefault="008B5525" w:rsidP="00056AFE">
            <w:pPr>
              <w:contextualSpacing/>
              <w:jc w:val="center"/>
              <w:rPr>
                <w:rFonts w:ascii="Times New Roman" w:hAnsi="Times New Roman" w:cs="Times New Roman"/>
                <w:color w:val="000000" w:themeColor="text1"/>
                <w:sz w:val="20"/>
                <w:szCs w:val="20"/>
              </w:rPr>
            </w:pPr>
            <w:r w:rsidRPr="00D555B7">
              <w:rPr>
                <w:rFonts w:ascii="Times New Roman" w:hAnsi="Times New Roman" w:cs="Times New Roman"/>
                <w:color w:val="000000"/>
                <w:sz w:val="20"/>
                <w:szCs w:val="20"/>
              </w:rPr>
              <w:t>Vidēja</w:t>
            </w:r>
          </w:p>
        </w:tc>
        <w:tc>
          <w:tcPr>
            <w:tcW w:w="2095" w:type="dxa"/>
            <w:vAlign w:val="center"/>
          </w:tcPr>
          <w:p w14:paraId="38385DE3" w14:textId="74B0AF2C" w:rsidR="008B5525" w:rsidRPr="000E1D11" w:rsidRDefault="008B5525"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themeColor="text1"/>
                <w:sz w:val="20"/>
                <w:szCs w:val="20"/>
              </w:rPr>
              <w:t>Lai novērstu finansējuma nepietiekamību, nepieciešams noslēgt līgumu pirms CEF finansējuma pieteikšanas, kas ļauj balstīt aprēķinus uz līgumā ietvertajām vienību cenām, nodrošinot precizitāti, kā arī iesaistīt Uzņēmēju.</w:t>
            </w:r>
          </w:p>
        </w:tc>
        <w:tc>
          <w:tcPr>
            <w:tcW w:w="2192" w:type="dxa"/>
            <w:vAlign w:val="center"/>
          </w:tcPr>
          <w:p w14:paraId="6576A4AE" w14:textId="77777777" w:rsidR="008B5525" w:rsidRPr="000E1D11" w:rsidRDefault="008B5525"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sz w:val="20"/>
                <w:szCs w:val="20"/>
              </w:rPr>
              <w:t>Ietvarlīguma pieeja ļauj turpmākajos CEF finansējuma pieteikumos iesaistīt Uzņēmēju, t.sk., noslēdzot līgumu līdz CEF10 pieteikuma sagatavošanai, iespējams samazināt finansējuma nepietiekamības risku būvatļaujām (posmiem), kuri tiek pieteikti konkrētā finansējuma pieteikuma ietvaros.</w:t>
            </w:r>
          </w:p>
        </w:tc>
        <w:tc>
          <w:tcPr>
            <w:tcW w:w="1184" w:type="dxa"/>
            <w:vAlign w:val="center"/>
          </w:tcPr>
          <w:p w14:paraId="581DD54C" w14:textId="7AA0B636" w:rsidR="008B5525" w:rsidRPr="00D555B7" w:rsidRDefault="21C9E49E" w:rsidP="0595A900">
            <w:pPr>
              <w:spacing w:after="200" w:line="276" w:lineRule="auto"/>
              <w:contextualSpacing/>
              <w:jc w:val="cente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Vidēja</w:t>
            </w:r>
          </w:p>
        </w:tc>
      </w:tr>
      <w:tr w:rsidR="00EE70D1" w:rsidRPr="00D555B7" w14:paraId="0E1AFA7E" w14:textId="2595347D" w:rsidTr="638FD9FE">
        <w:trPr>
          <w:trHeight w:val="300"/>
        </w:trPr>
        <w:tc>
          <w:tcPr>
            <w:tcW w:w="1686" w:type="dxa"/>
            <w:vAlign w:val="center"/>
          </w:tcPr>
          <w:p w14:paraId="5F1404F1" w14:textId="77777777" w:rsidR="00EE70D1" w:rsidRPr="000E1D11" w:rsidRDefault="00EE70D1"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Finansējuma zaudēšana</w:t>
            </w:r>
          </w:p>
        </w:tc>
        <w:tc>
          <w:tcPr>
            <w:tcW w:w="1239" w:type="dxa"/>
            <w:vAlign w:val="center"/>
          </w:tcPr>
          <w:p w14:paraId="303C140C" w14:textId="5FB24235" w:rsidR="00EE70D1" w:rsidRPr="00D555B7" w:rsidRDefault="00EE70D1" w:rsidP="00056AFE">
            <w:pPr>
              <w:contextualSpacing/>
              <w:jc w:val="center"/>
              <w:rPr>
                <w:rFonts w:ascii="Times New Roman" w:hAnsi="Times New Roman" w:cs="Times New Roman"/>
                <w:color w:val="000000" w:themeColor="text1"/>
                <w:sz w:val="20"/>
                <w:szCs w:val="20"/>
              </w:rPr>
            </w:pPr>
            <w:r w:rsidRPr="00D555B7">
              <w:rPr>
                <w:rFonts w:ascii="Times New Roman" w:hAnsi="Times New Roman" w:cs="Times New Roman"/>
                <w:color w:val="000000" w:themeColor="text1"/>
                <w:sz w:val="20"/>
                <w:szCs w:val="20"/>
              </w:rPr>
              <w:t>Zema</w:t>
            </w:r>
          </w:p>
        </w:tc>
        <w:tc>
          <w:tcPr>
            <w:tcW w:w="1005" w:type="dxa"/>
            <w:vAlign w:val="center"/>
          </w:tcPr>
          <w:p w14:paraId="73AF8B27" w14:textId="54A2C8D7" w:rsidR="00EE70D1" w:rsidRPr="00D555B7" w:rsidRDefault="00EE70D1" w:rsidP="00056AFE">
            <w:pPr>
              <w:contextualSpacing/>
              <w:jc w:val="center"/>
              <w:rPr>
                <w:rFonts w:ascii="Times New Roman" w:hAnsi="Times New Roman" w:cs="Times New Roman"/>
                <w:color w:val="000000" w:themeColor="text1"/>
                <w:sz w:val="20"/>
                <w:szCs w:val="20"/>
              </w:rPr>
            </w:pPr>
            <w:r w:rsidRPr="00D555B7">
              <w:rPr>
                <w:rFonts w:ascii="Times New Roman" w:hAnsi="Times New Roman" w:cs="Times New Roman"/>
                <w:color w:val="000000"/>
                <w:sz w:val="20"/>
                <w:szCs w:val="20"/>
              </w:rPr>
              <w:t>Augsta</w:t>
            </w:r>
          </w:p>
        </w:tc>
        <w:tc>
          <w:tcPr>
            <w:tcW w:w="2095" w:type="dxa"/>
            <w:vAlign w:val="center"/>
          </w:tcPr>
          <w:p w14:paraId="1E0E7907" w14:textId="5E874511" w:rsidR="00EE70D1" w:rsidRPr="000E1D11" w:rsidRDefault="1F15E9BD" w:rsidP="00056AFE">
            <w:pPr>
              <w:contextualSpacing/>
              <w:jc w:val="both"/>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Gadījumā, ja līgums ar Uzņēmēju netiek noslēgts un tiek organizēts cits iepirkums, tad pastāv augsta iespējamība zaudēt jau CEF8 un CEF9 ietvaros saņemto finansējumu, tādēļ nepieciešams noslēgt līgumu pēc iespējas ātrākā termiņā.</w:t>
            </w:r>
            <w:r w:rsidR="4EEBDE6C" w:rsidRPr="0595A900">
              <w:rPr>
                <w:rFonts w:ascii="Times New Roman" w:hAnsi="Times New Roman" w:cs="Times New Roman"/>
                <w:color w:val="000000" w:themeColor="text1"/>
                <w:sz w:val="20"/>
                <w:szCs w:val="20"/>
              </w:rPr>
              <w:t xml:space="preserve"> Papildus, arī Līguma ieviešanas laikā eksistē riski finansējuma zaudēšanai.</w:t>
            </w:r>
          </w:p>
        </w:tc>
        <w:tc>
          <w:tcPr>
            <w:tcW w:w="2192" w:type="dxa"/>
            <w:vAlign w:val="center"/>
          </w:tcPr>
          <w:p w14:paraId="2C45D577" w14:textId="77777777" w:rsidR="00EE70D1" w:rsidRPr="000E1D11" w:rsidRDefault="00EE70D1"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themeColor="text1"/>
                <w:sz w:val="20"/>
                <w:szCs w:val="20"/>
              </w:rPr>
              <w:t>Noslēdzot ietvarlīgumu, Uzņēmējs var uzsākt sagatavošanās darbus līguma izpildei, tādējādi pēc iespējas ātrāk uzsākt darbus pie CEF8 un CEF9 aktivitātēm, kā arī iesaistīties CEF10 pieteikuma gatavošanā. Tāpat noslēgts līgums demonstrē CINEA ekspertiem papildus gatavību.</w:t>
            </w:r>
          </w:p>
        </w:tc>
        <w:tc>
          <w:tcPr>
            <w:tcW w:w="1184" w:type="dxa"/>
            <w:vAlign w:val="center"/>
          </w:tcPr>
          <w:p w14:paraId="680B5F3F" w14:textId="281FD23A" w:rsidR="00EE70D1" w:rsidRPr="00D555B7" w:rsidRDefault="00B2246F" w:rsidP="00056AFE">
            <w:pPr>
              <w:contextualSpacing/>
              <w:jc w:val="center"/>
              <w:rPr>
                <w:rFonts w:ascii="Times New Roman" w:hAnsi="Times New Roman" w:cs="Times New Roman"/>
                <w:color w:val="000000" w:themeColor="text1"/>
                <w:sz w:val="20"/>
                <w:szCs w:val="20"/>
              </w:rPr>
            </w:pPr>
            <w:r w:rsidRPr="000E1D11">
              <w:rPr>
                <w:rFonts w:ascii="Times New Roman" w:hAnsi="Times New Roman" w:cs="Times New Roman"/>
                <w:color w:val="000000" w:themeColor="text1"/>
                <w:sz w:val="20"/>
                <w:szCs w:val="20"/>
              </w:rPr>
              <w:t>Zema</w:t>
            </w:r>
          </w:p>
        </w:tc>
      </w:tr>
      <w:tr w:rsidR="00FF2477" w:rsidRPr="00D555B7" w14:paraId="4E31611F" w14:textId="4C6FE37D" w:rsidTr="638FD9FE">
        <w:trPr>
          <w:trHeight w:val="558"/>
        </w:trPr>
        <w:tc>
          <w:tcPr>
            <w:tcW w:w="1686" w:type="dxa"/>
            <w:vAlign w:val="center"/>
          </w:tcPr>
          <w:p w14:paraId="3C087975" w14:textId="77777777" w:rsidR="00FF2477" w:rsidRPr="000E1D11" w:rsidRDefault="00FF2477"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Vairāku līgumu pieeja – konsolidētie materiāli</w:t>
            </w:r>
          </w:p>
        </w:tc>
        <w:tc>
          <w:tcPr>
            <w:tcW w:w="1239" w:type="dxa"/>
            <w:vAlign w:val="center"/>
          </w:tcPr>
          <w:p w14:paraId="0D2E0C9C" w14:textId="28BCAC22" w:rsidR="00FF2477" w:rsidRPr="00D555B7" w:rsidRDefault="648BE22C" w:rsidP="00056AFE">
            <w:pPr>
              <w:contextualSpacing/>
              <w:jc w:val="center"/>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Augsta</w:t>
            </w:r>
          </w:p>
        </w:tc>
        <w:tc>
          <w:tcPr>
            <w:tcW w:w="1005" w:type="dxa"/>
            <w:vAlign w:val="center"/>
          </w:tcPr>
          <w:p w14:paraId="7092F52F" w14:textId="69246FFD" w:rsidR="00FF2477" w:rsidRPr="00D555B7" w:rsidRDefault="648BE22C" w:rsidP="00056AFE">
            <w:pPr>
              <w:contextualSpacing/>
              <w:jc w:val="center"/>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Augsta</w:t>
            </w:r>
          </w:p>
        </w:tc>
        <w:tc>
          <w:tcPr>
            <w:tcW w:w="2095" w:type="dxa"/>
            <w:vAlign w:val="center"/>
          </w:tcPr>
          <w:p w14:paraId="2C28547F" w14:textId="4B21F3CE" w:rsidR="00FF2477" w:rsidRPr="000E1D11" w:rsidRDefault="648BE22C" w:rsidP="00056AFE">
            <w:pPr>
              <w:contextualSpacing/>
              <w:jc w:val="both"/>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Līgumā jāietver procedūra, kas skaidro līgumu mijiedarbību, kā arī iespēja nepieciešamības gadījumā Uzņēmējam uzticēt materiālu iegādi.</w:t>
            </w:r>
          </w:p>
        </w:tc>
        <w:tc>
          <w:tcPr>
            <w:tcW w:w="2192" w:type="dxa"/>
            <w:vAlign w:val="center"/>
          </w:tcPr>
          <w:p w14:paraId="223E618F" w14:textId="77777777" w:rsidR="00FF2477" w:rsidRPr="000E1D11" w:rsidRDefault="00FF2477"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sz w:val="20"/>
                <w:szCs w:val="20"/>
              </w:rPr>
              <w:t>Līgumā ietverta detalizēta procedūra (administratīvais dokuments ML-EXT-01), kas regulē būvdarbu un konsolidēto materiālu līgumu mijiedarbību un atbildības.</w:t>
            </w:r>
          </w:p>
        </w:tc>
        <w:tc>
          <w:tcPr>
            <w:tcW w:w="1184" w:type="dxa"/>
            <w:vAlign w:val="center"/>
          </w:tcPr>
          <w:p w14:paraId="7B771EE7" w14:textId="06BDCB6E" w:rsidR="00FF2477" w:rsidRPr="00D555B7" w:rsidRDefault="00087374"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Zema</w:t>
            </w:r>
          </w:p>
        </w:tc>
      </w:tr>
      <w:tr w:rsidR="00FA2243" w:rsidRPr="00D555B7" w14:paraId="7E5E89F7" w14:textId="0F0F5B37" w:rsidTr="638FD9FE">
        <w:trPr>
          <w:trHeight w:val="300"/>
        </w:trPr>
        <w:tc>
          <w:tcPr>
            <w:tcW w:w="1686" w:type="dxa"/>
            <w:vAlign w:val="center"/>
          </w:tcPr>
          <w:p w14:paraId="5767C89D" w14:textId="77777777" w:rsidR="00FA2243" w:rsidRPr="000E1D11" w:rsidRDefault="00FA2243"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Vairāku līgumu pieeja – ENE/CCS inženiersistēmas</w:t>
            </w:r>
          </w:p>
        </w:tc>
        <w:tc>
          <w:tcPr>
            <w:tcW w:w="1239" w:type="dxa"/>
            <w:vAlign w:val="center"/>
          </w:tcPr>
          <w:p w14:paraId="7B12F094" w14:textId="7E142A4C" w:rsidR="00FA2243" w:rsidRPr="00D555B7" w:rsidRDefault="00FA2243"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Vidēja</w:t>
            </w:r>
          </w:p>
        </w:tc>
        <w:tc>
          <w:tcPr>
            <w:tcW w:w="1005" w:type="dxa"/>
            <w:vAlign w:val="center"/>
          </w:tcPr>
          <w:p w14:paraId="6DECB20E" w14:textId="66A78F55" w:rsidR="00FA2243" w:rsidRPr="00D555B7" w:rsidRDefault="00FA2243"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Augsta</w:t>
            </w:r>
          </w:p>
        </w:tc>
        <w:tc>
          <w:tcPr>
            <w:tcW w:w="2095" w:type="dxa"/>
            <w:vAlign w:val="center"/>
          </w:tcPr>
          <w:p w14:paraId="43880D85" w14:textId="6AAC4555" w:rsidR="00FA2243" w:rsidRPr="000E1D11" w:rsidRDefault="6CD635C8" w:rsidP="00056AFE">
            <w:pPr>
              <w:contextualSpacing/>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Ņemot vērā vairāku līgumu pieeju un šīs pieejas specifiku, ka būvlaukumā atrodas vairāki būvdarbu veicēji un par būvlaukumu atbildību</w:t>
            </w:r>
            <w:r w:rsidRPr="0595A900">
              <w:rPr>
                <w:rFonts w:ascii="Times New Roman" w:hAnsi="Times New Roman" w:cs="Times New Roman"/>
                <w:sz w:val="20"/>
                <w:szCs w:val="20"/>
              </w:rPr>
              <w:t xml:space="preserve"> </w:t>
            </w:r>
            <w:r w:rsidRPr="0595A900">
              <w:rPr>
                <w:rFonts w:ascii="Times New Roman" w:hAnsi="Times New Roman" w:cs="Times New Roman"/>
                <w:color w:val="000000" w:themeColor="text1"/>
                <w:sz w:val="20"/>
                <w:szCs w:val="20"/>
              </w:rPr>
              <w:t xml:space="preserve">un no šīs pieejas izrietošos riskus uzņemas Uzņēmējs, līgumā </w:t>
            </w:r>
            <w:r w:rsidRPr="0595A900">
              <w:rPr>
                <w:rFonts w:ascii="Times New Roman" w:hAnsi="Times New Roman" w:cs="Times New Roman"/>
                <w:color w:val="000000" w:themeColor="text1"/>
                <w:sz w:val="20"/>
                <w:szCs w:val="20"/>
              </w:rPr>
              <w:lastRenderedPageBreak/>
              <w:t>jāparedz pusēm saprotama un skaidri definēta pieeja.</w:t>
            </w:r>
          </w:p>
        </w:tc>
        <w:tc>
          <w:tcPr>
            <w:tcW w:w="2192" w:type="dxa"/>
            <w:vAlign w:val="center"/>
          </w:tcPr>
          <w:p w14:paraId="557B8307" w14:textId="77777777" w:rsidR="00FA2243" w:rsidRPr="000E1D11" w:rsidRDefault="00FA2243"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themeColor="text1"/>
                <w:sz w:val="20"/>
                <w:szCs w:val="20"/>
              </w:rPr>
              <w:lastRenderedPageBreak/>
              <w:t>Līgumā ietverta detalizēta procedūra (administratīvais dokuments ML-EXT-10-ENE CCS), kas regulē būvdarbu un ENE/CCS līgumu mijiedarbību un atbildības.</w:t>
            </w:r>
          </w:p>
        </w:tc>
        <w:tc>
          <w:tcPr>
            <w:tcW w:w="1184" w:type="dxa"/>
            <w:vAlign w:val="center"/>
          </w:tcPr>
          <w:p w14:paraId="5B2AF3B8" w14:textId="23202EB1" w:rsidR="00FA2243" w:rsidRPr="00D555B7" w:rsidRDefault="00D86A19" w:rsidP="00056AFE">
            <w:pPr>
              <w:contextualSpacing/>
              <w:jc w:val="center"/>
              <w:rPr>
                <w:rFonts w:ascii="Times New Roman" w:hAnsi="Times New Roman" w:cs="Times New Roman"/>
                <w:color w:val="000000" w:themeColor="text1"/>
                <w:sz w:val="20"/>
                <w:szCs w:val="20"/>
              </w:rPr>
            </w:pPr>
            <w:r w:rsidRPr="000E1D11">
              <w:rPr>
                <w:rFonts w:ascii="Times New Roman" w:hAnsi="Times New Roman" w:cs="Times New Roman"/>
                <w:color w:val="000000" w:themeColor="text1"/>
                <w:sz w:val="20"/>
                <w:szCs w:val="20"/>
              </w:rPr>
              <w:t>Vidēja</w:t>
            </w:r>
          </w:p>
        </w:tc>
      </w:tr>
      <w:tr w:rsidR="0046679D" w:rsidRPr="00D555B7" w14:paraId="1345437B" w14:textId="6221636A" w:rsidTr="638FD9FE">
        <w:trPr>
          <w:trHeight w:val="300"/>
        </w:trPr>
        <w:tc>
          <w:tcPr>
            <w:tcW w:w="1686" w:type="dxa"/>
            <w:vAlign w:val="center"/>
          </w:tcPr>
          <w:p w14:paraId="0BDFD48D" w14:textId="77777777" w:rsidR="0046679D" w:rsidRPr="000E1D11" w:rsidRDefault="0046679D"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Iepirkuma riski</w:t>
            </w:r>
          </w:p>
        </w:tc>
        <w:tc>
          <w:tcPr>
            <w:tcW w:w="1239" w:type="dxa"/>
            <w:vAlign w:val="center"/>
          </w:tcPr>
          <w:p w14:paraId="1BEC56E0" w14:textId="3D6EB2DE" w:rsidR="0046679D" w:rsidRPr="00D555B7" w:rsidRDefault="62F91E77" w:rsidP="0595A900">
            <w:pPr>
              <w:spacing w:after="200" w:line="276" w:lineRule="auto"/>
              <w:contextualSpacing/>
              <w:jc w:val="center"/>
            </w:pPr>
            <w:r w:rsidRPr="0595A900">
              <w:rPr>
                <w:rFonts w:ascii="Times New Roman" w:hAnsi="Times New Roman" w:cs="Times New Roman"/>
                <w:color w:val="000000" w:themeColor="text1"/>
                <w:sz w:val="20"/>
                <w:szCs w:val="20"/>
              </w:rPr>
              <w:t>Augsta</w:t>
            </w:r>
          </w:p>
        </w:tc>
        <w:tc>
          <w:tcPr>
            <w:tcW w:w="1005" w:type="dxa"/>
            <w:vAlign w:val="center"/>
          </w:tcPr>
          <w:p w14:paraId="3BB85CD7" w14:textId="6A906D99" w:rsidR="0046679D" w:rsidRPr="00D555B7" w:rsidRDefault="0046679D"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Augsta</w:t>
            </w:r>
          </w:p>
        </w:tc>
        <w:tc>
          <w:tcPr>
            <w:tcW w:w="2095" w:type="dxa"/>
            <w:vAlign w:val="center"/>
          </w:tcPr>
          <w:p w14:paraId="24E9D69A" w14:textId="029F7E2E" w:rsidR="0046679D" w:rsidRPr="000E1D11" w:rsidRDefault="0046679D" w:rsidP="00056AFE">
            <w:pPr>
              <w:contextualSpacing/>
              <w:rPr>
                <w:rFonts w:ascii="Times New Roman" w:hAnsi="Times New Roman" w:cs="Times New Roman"/>
                <w:color w:val="000000"/>
                <w:sz w:val="20"/>
                <w:szCs w:val="20"/>
              </w:rPr>
            </w:pPr>
            <w:r w:rsidRPr="000E1D11">
              <w:rPr>
                <w:rFonts w:ascii="Times New Roman" w:hAnsi="Times New Roman" w:cs="Times New Roman"/>
                <w:color w:val="000000"/>
                <w:sz w:val="20"/>
                <w:szCs w:val="20"/>
              </w:rPr>
              <w:t>Iepirkumu procesa laikā jāņem vērā no tā izrietošie riski, piemēram, potenciālās sūdzības, procesa laikietilpīgums utt., kas var radīt negatīvu ietekmi uz projektu, piemēram, finansējuma zaudēšana u.c.</w:t>
            </w:r>
          </w:p>
        </w:tc>
        <w:tc>
          <w:tcPr>
            <w:tcW w:w="2192" w:type="dxa"/>
            <w:vAlign w:val="center"/>
          </w:tcPr>
          <w:p w14:paraId="39DAA052" w14:textId="4AC537D1" w:rsidR="0046679D" w:rsidRPr="000E1D11" w:rsidRDefault="01D2204B" w:rsidP="00056AFE">
            <w:pPr>
              <w:contextualSpacing/>
              <w:jc w:val="both"/>
              <w:rPr>
                <w:rFonts w:ascii="Times New Roman" w:hAnsi="Times New Roman" w:cs="Times New Roman"/>
                <w:color w:val="000000"/>
                <w:sz w:val="20"/>
                <w:szCs w:val="20"/>
              </w:rPr>
            </w:pPr>
            <w:r w:rsidRPr="0595A900">
              <w:rPr>
                <w:rFonts w:ascii="Times New Roman" w:hAnsi="Times New Roman" w:cs="Times New Roman"/>
                <w:color w:val="000000" w:themeColor="text1"/>
                <w:sz w:val="20"/>
                <w:szCs w:val="20"/>
              </w:rPr>
              <w:t xml:space="preserve">Ietvarlīguma noslēgšana ar Uzņēmēju </w:t>
            </w:r>
            <w:r w:rsidR="381A556B" w:rsidRPr="0595A900">
              <w:rPr>
                <w:rFonts w:ascii="Times New Roman" w:hAnsi="Times New Roman" w:cs="Times New Roman"/>
                <w:color w:val="000000" w:themeColor="text1"/>
                <w:sz w:val="20"/>
                <w:szCs w:val="20"/>
              </w:rPr>
              <w:t>mazina</w:t>
            </w:r>
            <w:r w:rsidRPr="0595A900">
              <w:rPr>
                <w:rFonts w:ascii="Times New Roman" w:hAnsi="Times New Roman" w:cs="Times New Roman"/>
                <w:color w:val="000000" w:themeColor="text1"/>
                <w:sz w:val="20"/>
                <w:szCs w:val="20"/>
              </w:rPr>
              <w:t xml:space="preserve"> jauna iepirkuma riskus, kas var rezultēties sūdzībās, kā arī negatīvā ietekmē uz laika grafiku un līguma summas pieaugumā, ņemot vērā indeksācijas ietekmi.</w:t>
            </w:r>
          </w:p>
        </w:tc>
        <w:tc>
          <w:tcPr>
            <w:tcW w:w="1184" w:type="dxa"/>
            <w:vAlign w:val="center"/>
          </w:tcPr>
          <w:p w14:paraId="35EFBC7D" w14:textId="1A5D0852" w:rsidR="0046679D" w:rsidRPr="00D555B7" w:rsidRDefault="5172B421" w:rsidP="0595A900">
            <w:pPr>
              <w:spacing w:after="200" w:line="276" w:lineRule="auto"/>
              <w:contextualSpacing/>
              <w:jc w:val="center"/>
            </w:pPr>
            <w:r w:rsidRPr="0595A900">
              <w:rPr>
                <w:rFonts w:ascii="Times New Roman" w:hAnsi="Times New Roman" w:cs="Times New Roman"/>
                <w:color w:val="000000" w:themeColor="text1"/>
                <w:sz w:val="20"/>
                <w:szCs w:val="20"/>
              </w:rPr>
              <w:t>Vidēja</w:t>
            </w:r>
          </w:p>
        </w:tc>
      </w:tr>
      <w:tr w:rsidR="00064239" w:rsidRPr="00615A72" w14:paraId="09749D68" w14:textId="38B27D14" w:rsidTr="638FD9FE">
        <w:trPr>
          <w:trHeight w:val="300"/>
        </w:trPr>
        <w:tc>
          <w:tcPr>
            <w:tcW w:w="1686" w:type="dxa"/>
            <w:vAlign w:val="center"/>
          </w:tcPr>
          <w:p w14:paraId="633A896B" w14:textId="77777777" w:rsidR="00064239" w:rsidRPr="000E1D11" w:rsidRDefault="00064239"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Līguma izpildes neiespējamība izmaksu pieauguma rezultātā, kas radusies ārēju apstākļu rezultātā</w:t>
            </w:r>
          </w:p>
        </w:tc>
        <w:tc>
          <w:tcPr>
            <w:tcW w:w="1239" w:type="dxa"/>
            <w:vAlign w:val="center"/>
          </w:tcPr>
          <w:p w14:paraId="7C274E98" w14:textId="132662A8" w:rsidR="00064239" w:rsidRPr="00D555B7" w:rsidRDefault="00064239"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Zema</w:t>
            </w:r>
          </w:p>
        </w:tc>
        <w:tc>
          <w:tcPr>
            <w:tcW w:w="1005" w:type="dxa"/>
            <w:vAlign w:val="center"/>
          </w:tcPr>
          <w:p w14:paraId="34E05BAE" w14:textId="42A37DCE" w:rsidR="00064239" w:rsidRPr="00D555B7" w:rsidRDefault="00064239" w:rsidP="00056AFE">
            <w:pPr>
              <w:contextualSpacing/>
              <w:jc w:val="center"/>
              <w:rPr>
                <w:rFonts w:ascii="Times New Roman" w:hAnsi="Times New Roman" w:cs="Times New Roman"/>
                <w:color w:val="000000"/>
                <w:sz w:val="20"/>
                <w:szCs w:val="20"/>
              </w:rPr>
            </w:pPr>
            <w:r w:rsidRPr="00D555B7">
              <w:rPr>
                <w:rFonts w:ascii="Times New Roman" w:hAnsi="Times New Roman" w:cs="Times New Roman"/>
                <w:color w:val="000000"/>
                <w:sz w:val="20"/>
                <w:szCs w:val="20"/>
              </w:rPr>
              <w:t>Augsta</w:t>
            </w:r>
          </w:p>
        </w:tc>
        <w:tc>
          <w:tcPr>
            <w:tcW w:w="2095" w:type="dxa"/>
            <w:vAlign w:val="center"/>
          </w:tcPr>
          <w:p w14:paraId="57B6AF80" w14:textId="246640BA" w:rsidR="00064239" w:rsidRPr="000E1D11" w:rsidRDefault="27ECC7D3" w:rsidP="00056AFE">
            <w:pPr>
              <w:contextualSpacing/>
              <w:rPr>
                <w:rFonts w:ascii="Times New Roman" w:hAnsi="Times New Roman" w:cs="Times New Roman"/>
                <w:color w:val="000000"/>
                <w:sz w:val="20"/>
                <w:szCs w:val="20"/>
              </w:rPr>
            </w:pPr>
            <w:r w:rsidRPr="6075987E">
              <w:rPr>
                <w:rFonts w:ascii="Times New Roman" w:hAnsi="Times New Roman" w:cs="Times New Roman"/>
                <w:color w:val="000000" w:themeColor="text1"/>
                <w:sz w:val="20"/>
                <w:szCs w:val="20"/>
              </w:rPr>
              <w:t>Līgumā jāiekļauj detalizēts indeksācijas mehānisms, kas ļaus precīzi noteikt izmaksu pieaugumu.</w:t>
            </w:r>
          </w:p>
        </w:tc>
        <w:tc>
          <w:tcPr>
            <w:tcW w:w="2192" w:type="dxa"/>
            <w:vAlign w:val="center"/>
          </w:tcPr>
          <w:p w14:paraId="1677B558" w14:textId="77777777" w:rsidR="00064239" w:rsidRPr="000E1D11" w:rsidRDefault="00064239" w:rsidP="00056AFE">
            <w:pPr>
              <w:contextualSpacing/>
              <w:jc w:val="both"/>
              <w:rPr>
                <w:rFonts w:ascii="Times New Roman" w:hAnsi="Times New Roman" w:cs="Times New Roman"/>
                <w:color w:val="000000"/>
                <w:sz w:val="20"/>
                <w:szCs w:val="20"/>
              </w:rPr>
            </w:pPr>
            <w:r w:rsidRPr="000E1D11">
              <w:rPr>
                <w:rFonts w:ascii="Times New Roman" w:hAnsi="Times New Roman" w:cs="Times New Roman"/>
                <w:color w:val="000000"/>
                <w:sz w:val="20"/>
                <w:szCs w:val="20"/>
              </w:rPr>
              <w:t>Līgums ietver ļoti precīzu un neapstrīdamu indeksācijas mehānismu, kas sagatavots atbilstoši augstākajiem starptautiskajiem standartiem.</w:t>
            </w:r>
          </w:p>
        </w:tc>
        <w:tc>
          <w:tcPr>
            <w:tcW w:w="1184" w:type="dxa"/>
            <w:vAlign w:val="center"/>
          </w:tcPr>
          <w:p w14:paraId="32752C60" w14:textId="39D6FE75" w:rsidR="00064239" w:rsidRPr="00D555B7" w:rsidRDefault="006851AF" w:rsidP="00056AFE">
            <w:pPr>
              <w:contextualSpacing/>
              <w:jc w:val="center"/>
              <w:rPr>
                <w:rFonts w:ascii="Times New Roman" w:hAnsi="Times New Roman" w:cs="Times New Roman"/>
                <w:color w:val="000000"/>
                <w:sz w:val="20"/>
                <w:szCs w:val="20"/>
              </w:rPr>
            </w:pPr>
            <w:r w:rsidRPr="000E1D11">
              <w:rPr>
                <w:rFonts w:ascii="Times New Roman" w:hAnsi="Times New Roman" w:cs="Times New Roman"/>
                <w:color w:val="000000"/>
                <w:sz w:val="20"/>
                <w:szCs w:val="20"/>
              </w:rPr>
              <w:t>Zema</w:t>
            </w:r>
          </w:p>
        </w:tc>
      </w:tr>
      <w:tr w:rsidR="6DA4D5AC" w14:paraId="0B2A1759" w14:textId="77777777" w:rsidTr="638FD9FE">
        <w:trPr>
          <w:trHeight w:val="300"/>
        </w:trPr>
        <w:tc>
          <w:tcPr>
            <w:tcW w:w="1686" w:type="dxa"/>
            <w:vAlign w:val="center"/>
          </w:tcPr>
          <w:p w14:paraId="56538EC0" w14:textId="10EB7AC5" w:rsidR="3F340F54" w:rsidRDefault="75247D5F" w:rsidP="6DA4D5AC">
            <w:pPr>
              <w:jc w:val="cente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Pārrobežu posmu izbūve</w:t>
            </w:r>
          </w:p>
        </w:tc>
        <w:tc>
          <w:tcPr>
            <w:tcW w:w="1239" w:type="dxa"/>
            <w:vAlign w:val="center"/>
          </w:tcPr>
          <w:p w14:paraId="3934E641" w14:textId="38360784" w:rsidR="1B86AD09" w:rsidRDefault="51A20692" w:rsidP="6DA4D5AC">
            <w:pPr>
              <w:jc w:val="cente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Zema</w:t>
            </w:r>
          </w:p>
        </w:tc>
        <w:tc>
          <w:tcPr>
            <w:tcW w:w="1005" w:type="dxa"/>
            <w:vAlign w:val="center"/>
          </w:tcPr>
          <w:p w14:paraId="125E0887" w14:textId="4C228377" w:rsidR="1B86AD09" w:rsidRDefault="51A20692" w:rsidP="6DA4D5AC">
            <w:pPr>
              <w:jc w:val="cente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Vidēja</w:t>
            </w:r>
          </w:p>
        </w:tc>
        <w:tc>
          <w:tcPr>
            <w:tcW w:w="2095" w:type="dxa"/>
            <w:vAlign w:val="center"/>
          </w:tcPr>
          <w:p w14:paraId="0655DCA1" w14:textId="6A01E95A" w:rsidR="564641D0" w:rsidRDefault="41E5466C" w:rsidP="6DA4D5AC">
            <w:pP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Līgumā nepieciešams atrunāt mehānismu, kā tiek koordinēta infrastruktūras savstarpējā salāgošana robežpunktos</w:t>
            </w:r>
          </w:p>
        </w:tc>
        <w:tc>
          <w:tcPr>
            <w:tcW w:w="2192" w:type="dxa"/>
            <w:vAlign w:val="center"/>
          </w:tcPr>
          <w:p w14:paraId="3598E651" w14:textId="6C21F342" w:rsidR="4D25D6CB" w:rsidRDefault="5CBD5CC4" w:rsidP="0595A900">
            <w:pPr>
              <w:spacing w:after="200" w:line="276" w:lineRule="auto"/>
              <w:jc w:val="both"/>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 xml:space="preserve">RBR ir atbildīgs par operacionālās gatavības aktivitāšu koordinēšanu, t.sk. </w:t>
            </w:r>
            <w:r w:rsidR="4BFECE61" w:rsidRPr="0595A900">
              <w:rPr>
                <w:rFonts w:ascii="Times New Roman" w:hAnsi="Times New Roman" w:cs="Times New Roman"/>
                <w:color w:val="000000" w:themeColor="text1"/>
                <w:sz w:val="20"/>
                <w:szCs w:val="20"/>
              </w:rPr>
              <w:t>pārrobežu posmu izbūves koordinēšanu</w:t>
            </w:r>
          </w:p>
        </w:tc>
        <w:tc>
          <w:tcPr>
            <w:tcW w:w="1184" w:type="dxa"/>
            <w:vAlign w:val="center"/>
          </w:tcPr>
          <w:p w14:paraId="6987F727" w14:textId="37E64E59" w:rsidR="4FDFAB6C" w:rsidRDefault="040426B1" w:rsidP="6DA4D5AC">
            <w:pPr>
              <w:jc w:val="cente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Zema</w:t>
            </w:r>
          </w:p>
        </w:tc>
      </w:tr>
      <w:tr w:rsidR="6DA4D5AC" w14:paraId="5CC73E92" w14:textId="77777777" w:rsidTr="638FD9FE">
        <w:trPr>
          <w:trHeight w:val="300"/>
        </w:trPr>
        <w:tc>
          <w:tcPr>
            <w:tcW w:w="1686" w:type="dxa"/>
            <w:vAlign w:val="center"/>
          </w:tcPr>
          <w:p w14:paraId="5012565B" w14:textId="47F95D83" w:rsidR="74A1F3F4" w:rsidRDefault="4AB3D014" w:rsidP="6DA4D5AC">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Korupcijas riski</w:t>
            </w:r>
          </w:p>
        </w:tc>
        <w:tc>
          <w:tcPr>
            <w:tcW w:w="1239" w:type="dxa"/>
            <w:vAlign w:val="center"/>
          </w:tcPr>
          <w:p w14:paraId="70DE2CEE" w14:textId="6D72A973" w:rsidR="74A1F3F4" w:rsidRDefault="72DE5B1C" w:rsidP="0595A900">
            <w:pPr>
              <w:spacing w:after="200" w:line="276" w:lineRule="auto"/>
              <w:jc w:val="center"/>
            </w:pPr>
            <w:r w:rsidRPr="0595A900">
              <w:rPr>
                <w:rFonts w:ascii="Times New Roman" w:hAnsi="Times New Roman" w:cs="Times New Roman"/>
                <w:color w:val="000000" w:themeColor="text1"/>
                <w:sz w:val="20"/>
                <w:szCs w:val="20"/>
              </w:rPr>
              <w:t>Augsta</w:t>
            </w:r>
          </w:p>
        </w:tc>
        <w:tc>
          <w:tcPr>
            <w:tcW w:w="1005" w:type="dxa"/>
            <w:vAlign w:val="center"/>
          </w:tcPr>
          <w:p w14:paraId="44ECCC9C" w14:textId="7CC4D414" w:rsidR="74A1F3F4" w:rsidRDefault="2F84E140" w:rsidP="6DA4D5AC">
            <w:pPr>
              <w:jc w:val="cente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Augsta</w:t>
            </w:r>
          </w:p>
        </w:tc>
        <w:tc>
          <w:tcPr>
            <w:tcW w:w="2095" w:type="dxa"/>
            <w:vAlign w:val="center"/>
          </w:tcPr>
          <w:p w14:paraId="58C3C7F7" w14:textId="02F55E0D" w:rsidR="74A1F3F4" w:rsidRDefault="2F84E140" w:rsidP="6DA4D5AC">
            <w:pPr>
              <w:rPr>
                <w:rFonts w:ascii="Times New Roman" w:hAnsi="Times New Roman" w:cs="Times New Roman"/>
                <w:color w:val="000000" w:themeColor="text1"/>
                <w:sz w:val="20"/>
                <w:szCs w:val="20"/>
              </w:rPr>
            </w:pPr>
            <w:r w:rsidRPr="0595A900">
              <w:rPr>
                <w:rFonts w:ascii="Times New Roman" w:hAnsi="Times New Roman" w:cs="Times New Roman"/>
                <w:color w:val="000000" w:themeColor="text1"/>
                <w:sz w:val="20"/>
                <w:szCs w:val="20"/>
              </w:rPr>
              <w:t>Ņemot vērā līguma kopējo summu un projekta sarežģītību,</w:t>
            </w:r>
            <w:r w:rsidR="08DB0002" w:rsidRPr="0595A900">
              <w:rPr>
                <w:rFonts w:ascii="Times New Roman" w:hAnsi="Times New Roman" w:cs="Times New Roman"/>
                <w:color w:val="000000" w:themeColor="text1"/>
                <w:sz w:val="20"/>
                <w:szCs w:val="20"/>
              </w:rPr>
              <w:t xml:space="preserve"> Līguma izpildes laikā</w:t>
            </w:r>
            <w:r w:rsidRPr="0595A900">
              <w:rPr>
                <w:rFonts w:ascii="Times New Roman" w:hAnsi="Times New Roman" w:cs="Times New Roman"/>
                <w:color w:val="000000" w:themeColor="text1"/>
                <w:sz w:val="20"/>
                <w:szCs w:val="20"/>
              </w:rPr>
              <w:t xml:space="preserve"> </w:t>
            </w:r>
            <w:r w:rsidR="34CBB11D" w:rsidRPr="0595A900">
              <w:rPr>
                <w:rFonts w:ascii="Times New Roman" w:hAnsi="Times New Roman" w:cs="Times New Roman"/>
                <w:color w:val="000000" w:themeColor="text1"/>
                <w:sz w:val="20"/>
                <w:szCs w:val="20"/>
              </w:rPr>
              <w:t>pastiprināta uzmanība jāpievērš  iespējamiem korupcijas riskiem</w:t>
            </w:r>
          </w:p>
        </w:tc>
        <w:tc>
          <w:tcPr>
            <w:tcW w:w="2192" w:type="dxa"/>
            <w:vAlign w:val="center"/>
          </w:tcPr>
          <w:p w14:paraId="7071F184" w14:textId="591D7396" w:rsidR="043F8AEA" w:rsidRDefault="34016093" w:rsidP="6075987E">
            <w:pPr>
              <w:spacing w:line="276" w:lineRule="auto"/>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EDzL apņemas</w:t>
            </w:r>
            <w:r w:rsidR="1B51DEA9" w:rsidRPr="6075987E">
              <w:rPr>
                <w:rFonts w:ascii="Times New Roman" w:hAnsi="Times New Roman" w:cs="Times New Roman"/>
                <w:color w:val="000000" w:themeColor="text1"/>
                <w:sz w:val="20"/>
                <w:szCs w:val="20"/>
              </w:rPr>
              <w:t xml:space="preserve"> nodrošināt </w:t>
            </w:r>
            <w:r w:rsidR="46F54DDC" w:rsidRPr="6075987E">
              <w:rPr>
                <w:rFonts w:ascii="Times New Roman" w:hAnsi="Times New Roman" w:cs="Times New Roman"/>
                <w:color w:val="000000" w:themeColor="text1"/>
                <w:sz w:val="20"/>
                <w:szCs w:val="20"/>
              </w:rPr>
              <w:t>pilnīgu būvdarbu procesa</w:t>
            </w:r>
            <w:r w:rsidR="37409D61" w:rsidRPr="6075987E">
              <w:rPr>
                <w:rFonts w:ascii="Times New Roman" w:hAnsi="Times New Roman" w:cs="Times New Roman"/>
                <w:color w:val="000000" w:themeColor="text1"/>
                <w:sz w:val="20"/>
                <w:szCs w:val="20"/>
              </w:rPr>
              <w:t xml:space="preserve"> un finansējuma izlietošanas</w:t>
            </w:r>
            <w:r w:rsidR="46F54DDC" w:rsidRPr="6075987E">
              <w:rPr>
                <w:rFonts w:ascii="Times New Roman" w:hAnsi="Times New Roman" w:cs="Times New Roman"/>
                <w:color w:val="000000" w:themeColor="text1"/>
                <w:sz w:val="20"/>
                <w:szCs w:val="20"/>
              </w:rPr>
              <w:t xml:space="preserve"> caurskatāmību, t.sk. s</w:t>
            </w:r>
            <w:r w:rsidR="4AAFC7AB" w:rsidRPr="6075987E">
              <w:rPr>
                <w:rFonts w:ascii="Times New Roman" w:hAnsi="Times New Roman" w:cs="Times New Roman"/>
                <w:color w:val="000000" w:themeColor="text1"/>
                <w:sz w:val="20"/>
                <w:szCs w:val="20"/>
              </w:rPr>
              <w:t xml:space="preserve">niedzot visu pieprasīto informāciju </w:t>
            </w:r>
            <w:r w:rsidR="11A8B2EE" w:rsidRPr="6075987E">
              <w:rPr>
                <w:rFonts w:ascii="Times New Roman" w:hAnsi="Times New Roman" w:cs="Times New Roman"/>
                <w:color w:val="000000" w:themeColor="text1"/>
                <w:sz w:val="20"/>
                <w:szCs w:val="20"/>
              </w:rPr>
              <w:t>SM</w:t>
            </w:r>
            <w:r w:rsidR="09B2CC69" w:rsidRPr="6075987E">
              <w:rPr>
                <w:rFonts w:ascii="Times New Roman" w:hAnsi="Times New Roman" w:cs="Times New Roman"/>
                <w:color w:val="000000" w:themeColor="text1"/>
                <w:sz w:val="20"/>
                <w:szCs w:val="20"/>
              </w:rPr>
              <w:t xml:space="preserve">, </w:t>
            </w:r>
            <w:r w:rsidR="11A8B2EE" w:rsidRPr="6075987E">
              <w:rPr>
                <w:rFonts w:ascii="Times New Roman" w:hAnsi="Times New Roman" w:cs="Times New Roman"/>
                <w:color w:val="000000" w:themeColor="text1"/>
                <w:sz w:val="20"/>
                <w:szCs w:val="20"/>
              </w:rPr>
              <w:t>RBR</w:t>
            </w:r>
            <w:r w:rsidR="36AB1781" w:rsidRPr="6075987E">
              <w:rPr>
                <w:rFonts w:ascii="Times New Roman" w:hAnsi="Times New Roman" w:cs="Times New Roman"/>
                <w:color w:val="000000" w:themeColor="text1"/>
                <w:sz w:val="20"/>
                <w:szCs w:val="20"/>
              </w:rPr>
              <w:t xml:space="preserve"> kā arī citām uzraugošajām un tiesībsargājošajām iestādēm</w:t>
            </w:r>
            <w:r w:rsidR="6532BB84" w:rsidRPr="6075987E">
              <w:rPr>
                <w:rFonts w:ascii="Times New Roman" w:hAnsi="Times New Roman" w:cs="Times New Roman"/>
                <w:color w:val="000000" w:themeColor="text1"/>
                <w:sz w:val="20"/>
                <w:szCs w:val="20"/>
              </w:rPr>
              <w:t>.</w:t>
            </w:r>
            <w:r w:rsidR="2AC04FD4">
              <w:rPr>
                <w:rFonts w:ascii="Times New Roman" w:hAnsi="Times New Roman" w:cs="Times New Roman"/>
                <w:color w:val="000000" w:themeColor="text1"/>
                <w:sz w:val="20"/>
                <w:szCs w:val="20"/>
              </w:rPr>
              <w:t xml:space="preserve"> </w:t>
            </w:r>
            <w:r w:rsidR="3658423C" w:rsidRPr="6075987E">
              <w:rPr>
                <w:rFonts w:ascii="Times New Roman" w:hAnsi="Times New Roman" w:cs="Times New Roman"/>
                <w:color w:val="000000" w:themeColor="text1"/>
                <w:sz w:val="20"/>
                <w:szCs w:val="20"/>
              </w:rPr>
              <w:t>Tāpat, EDZL ievēro un regulēri atjauno</w:t>
            </w:r>
            <w:r w:rsidR="2AC04FD4">
              <w:rPr>
                <w:rFonts w:ascii="Times New Roman" w:hAnsi="Times New Roman" w:cs="Times New Roman"/>
                <w:color w:val="000000" w:themeColor="text1"/>
                <w:sz w:val="20"/>
                <w:szCs w:val="20"/>
              </w:rPr>
              <w:t xml:space="preserve"> ar šo risku saistītos</w:t>
            </w:r>
            <w:r w:rsidR="3658423C" w:rsidRPr="6075987E">
              <w:rPr>
                <w:rFonts w:ascii="Times New Roman" w:hAnsi="Times New Roman" w:cs="Times New Roman"/>
                <w:color w:val="000000" w:themeColor="text1"/>
                <w:sz w:val="20"/>
                <w:szCs w:val="20"/>
              </w:rPr>
              <w:t xml:space="preserve"> iekšējos normatīvos aktus</w:t>
            </w:r>
            <w:r w:rsidR="2AC04FD4">
              <w:rPr>
                <w:rFonts w:ascii="Times New Roman" w:hAnsi="Times New Roman" w:cs="Times New Roman"/>
                <w:color w:val="000000" w:themeColor="text1"/>
                <w:sz w:val="20"/>
                <w:szCs w:val="20"/>
              </w:rPr>
              <w:t>.</w:t>
            </w:r>
            <w:r w:rsidR="00D01B65">
              <w:rPr>
                <w:rStyle w:val="FootnoteReference"/>
                <w:rFonts w:ascii="Times New Roman" w:hAnsi="Times New Roman" w:cs="Times New Roman"/>
                <w:color w:val="000000" w:themeColor="text1"/>
                <w:sz w:val="20"/>
                <w:szCs w:val="20"/>
              </w:rPr>
              <w:footnoteReference w:id="21"/>
            </w:r>
          </w:p>
          <w:p w14:paraId="4089D0A0" w14:textId="69AEFD93" w:rsidR="043F8AEA" w:rsidRDefault="043F8AEA" w:rsidP="00D01B65">
            <w:pPr>
              <w:rPr>
                <w:rFonts w:ascii="Times New Roman" w:hAnsi="Times New Roman" w:cs="Times New Roman"/>
                <w:color w:val="000000" w:themeColor="text1"/>
                <w:sz w:val="20"/>
                <w:szCs w:val="20"/>
              </w:rPr>
            </w:pPr>
          </w:p>
        </w:tc>
        <w:tc>
          <w:tcPr>
            <w:tcW w:w="1184" w:type="dxa"/>
            <w:vAlign w:val="center"/>
          </w:tcPr>
          <w:p w14:paraId="32087644" w14:textId="66F3D8ED" w:rsidR="043F8AEA" w:rsidRDefault="5EF316AD" w:rsidP="6DA4D5AC">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Vidēja</w:t>
            </w:r>
          </w:p>
        </w:tc>
      </w:tr>
      <w:tr w:rsidR="6075987E" w14:paraId="11FB2DDA" w14:textId="77777777" w:rsidTr="638FD9FE">
        <w:trPr>
          <w:trHeight w:val="300"/>
        </w:trPr>
        <w:tc>
          <w:tcPr>
            <w:tcW w:w="1643" w:type="dxa"/>
            <w:vAlign w:val="center"/>
          </w:tcPr>
          <w:p w14:paraId="70DE6616" w14:textId="131F7729" w:rsidR="3D123798" w:rsidRDefault="3D123798"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Līgumvadības riski</w:t>
            </w:r>
          </w:p>
        </w:tc>
        <w:tc>
          <w:tcPr>
            <w:tcW w:w="1562" w:type="dxa"/>
            <w:vAlign w:val="center"/>
          </w:tcPr>
          <w:p w14:paraId="52004CBD" w14:textId="477CB6D5" w:rsidR="3D123798" w:rsidRDefault="3D123798" w:rsidP="6075987E">
            <w:pPr>
              <w:spacing w:line="276" w:lineRule="auto"/>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Vidēja</w:t>
            </w:r>
          </w:p>
        </w:tc>
        <w:tc>
          <w:tcPr>
            <w:tcW w:w="1215" w:type="dxa"/>
            <w:vAlign w:val="center"/>
          </w:tcPr>
          <w:p w14:paraId="18B7B8E4" w14:textId="739CB0FC" w:rsidR="3D123798" w:rsidRDefault="3D123798"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Vidēja</w:t>
            </w:r>
          </w:p>
        </w:tc>
        <w:tc>
          <w:tcPr>
            <w:tcW w:w="1566" w:type="dxa"/>
            <w:vAlign w:val="center"/>
          </w:tcPr>
          <w:p w14:paraId="5DB5E13D" w14:textId="7A272F56" w:rsidR="3D123798" w:rsidRDefault="3D123798" w:rsidP="6075987E">
            <w:pP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t xml:space="preserve">Lai arī riska ietekme un varbūtība ir </w:t>
            </w:r>
            <w:r w:rsidRPr="6075987E">
              <w:rPr>
                <w:rFonts w:ascii="Times New Roman" w:hAnsi="Times New Roman" w:cs="Times New Roman"/>
                <w:color w:val="000000" w:themeColor="text1"/>
                <w:sz w:val="20"/>
                <w:szCs w:val="20"/>
              </w:rPr>
              <w:lastRenderedPageBreak/>
              <w:t xml:space="preserve">kontrolēta caur tā ietvar-līguma veidu, atsevišķās būvatļaujās var iestāties riski, kas saistīt ar darba drošību, </w:t>
            </w:r>
            <w:r w:rsidR="12D1E528" w:rsidRPr="6075987E">
              <w:rPr>
                <w:rFonts w:ascii="Times New Roman" w:hAnsi="Times New Roman" w:cs="Times New Roman"/>
                <w:color w:val="000000" w:themeColor="text1"/>
                <w:sz w:val="20"/>
                <w:szCs w:val="20"/>
              </w:rPr>
              <w:t>kvalitātes vadību un kontroli, atbilstību būvprojektam vai citiem ar būvniecības procesa strīdiem saistītiem gadījumiem.</w:t>
            </w:r>
          </w:p>
        </w:tc>
        <w:tc>
          <w:tcPr>
            <w:tcW w:w="2114" w:type="dxa"/>
            <w:vAlign w:val="center"/>
          </w:tcPr>
          <w:p w14:paraId="024029CF" w14:textId="070448AE" w:rsidR="6CBEF542" w:rsidRPr="00AB0D29" w:rsidRDefault="28B39581" w:rsidP="00AB0D29">
            <w:pPr>
              <w:spacing w:line="276" w:lineRule="auto"/>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lastRenderedPageBreak/>
              <w:t xml:space="preserve">EDZL būvniecības līguma administrācijā un </w:t>
            </w:r>
            <w:r w:rsidRPr="6075987E">
              <w:rPr>
                <w:rFonts w:ascii="Times New Roman" w:hAnsi="Times New Roman" w:cs="Times New Roman"/>
                <w:color w:val="000000" w:themeColor="text1"/>
                <w:sz w:val="20"/>
                <w:szCs w:val="20"/>
              </w:rPr>
              <w:lastRenderedPageBreak/>
              <w:t xml:space="preserve">kontrolē ievēro un ir pielāgojusi līguma dokumentāciju tostarp </w:t>
            </w:r>
            <w:r w:rsidR="573A99FF">
              <w:rPr>
                <w:rFonts w:ascii="Times New Roman" w:hAnsi="Times New Roman" w:cs="Times New Roman"/>
                <w:color w:val="000000" w:themeColor="text1"/>
                <w:sz w:val="20"/>
                <w:szCs w:val="20"/>
              </w:rPr>
              <w:t>ar</w:t>
            </w:r>
            <w:r w:rsidRPr="6075987E">
              <w:rPr>
                <w:rFonts w:ascii="Times New Roman" w:hAnsi="Times New Roman" w:cs="Times New Roman"/>
                <w:color w:val="000000" w:themeColor="text1"/>
                <w:sz w:val="20"/>
                <w:szCs w:val="20"/>
              </w:rPr>
              <w:t xml:space="preserve"> globālā Rail Baltica projektu regulējošiem kvalitātes standartiem</w:t>
            </w:r>
            <w:r w:rsidR="573A99FF">
              <w:rPr>
                <w:rFonts w:ascii="Times New Roman" w:hAnsi="Times New Roman" w:cs="Times New Roman"/>
                <w:color w:val="000000" w:themeColor="text1"/>
                <w:sz w:val="20"/>
                <w:szCs w:val="20"/>
              </w:rPr>
              <w:t>.</w:t>
            </w:r>
            <w:r w:rsidR="00AB0D29">
              <w:rPr>
                <w:rStyle w:val="FootnoteReference"/>
                <w:rFonts w:ascii="Times New Roman" w:hAnsi="Times New Roman" w:cs="Times New Roman"/>
                <w:color w:val="000000" w:themeColor="text1"/>
                <w:sz w:val="20"/>
                <w:szCs w:val="20"/>
              </w:rPr>
              <w:footnoteReference w:id="22"/>
            </w:r>
          </w:p>
        </w:tc>
        <w:tc>
          <w:tcPr>
            <w:tcW w:w="1301" w:type="dxa"/>
            <w:vAlign w:val="center"/>
          </w:tcPr>
          <w:p w14:paraId="10775B15" w14:textId="768F2F75" w:rsidR="6CBEF542" w:rsidRDefault="6CBEF542" w:rsidP="6075987E">
            <w:pPr>
              <w:jc w:val="center"/>
              <w:rPr>
                <w:rFonts w:ascii="Times New Roman" w:hAnsi="Times New Roman" w:cs="Times New Roman"/>
                <w:color w:val="000000" w:themeColor="text1"/>
                <w:sz w:val="20"/>
                <w:szCs w:val="20"/>
              </w:rPr>
            </w:pPr>
            <w:r w:rsidRPr="6075987E">
              <w:rPr>
                <w:rFonts w:ascii="Times New Roman" w:hAnsi="Times New Roman" w:cs="Times New Roman"/>
                <w:color w:val="000000" w:themeColor="text1"/>
                <w:sz w:val="20"/>
                <w:szCs w:val="20"/>
              </w:rPr>
              <w:lastRenderedPageBreak/>
              <w:t>Maza</w:t>
            </w:r>
          </w:p>
        </w:tc>
      </w:tr>
    </w:tbl>
    <w:p w14:paraId="5512D14A" w14:textId="77777777" w:rsidR="00DC7F08" w:rsidRDefault="00DC7F08" w:rsidP="00056AFE">
      <w:pPr>
        <w:spacing w:after="0" w:line="240" w:lineRule="auto"/>
        <w:contextualSpacing/>
        <w:rPr>
          <w:rFonts w:eastAsiaTheme="minorEastAsia" w:cs="Times New Roman"/>
          <w:b/>
          <w:bCs/>
          <w:color w:val="000000"/>
          <w:sz w:val="24"/>
          <w:szCs w:val="24"/>
          <w:lang w:eastAsia="lv-LV"/>
        </w:rPr>
      </w:pPr>
    </w:p>
    <w:p w14:paraId="4E99B65A" w14:textId="47F34E54" w:rsidR="00560BFA" w:rsidRDefault="00560BFA" w:rsidP="00560BFA">
      <w:pPr>
        <w:tabs>
          <w:tab w:val="left" w:pos="567"/>
        </w:tabs>
        <w:spacing w:after="0" w:line="240" w:lineRule="auto"/>
        <w:contextualSpacing/>
        <w:jc w:val="both"/>
        <w:rPr>
          <w:rFonts w:eastAsiaTheme="minorEastAsia" w:cs="Times New Roman"/>
          <w:color w:val="000000"/>
          <w:sz w:val="24"/>
          <w:szCs w:val="24"/>
          <w:lang w:eastAsia="lv-LV"/>
        </w:rPr>
      </w:pPr>
      <w:r>
        <w:rPr>
          <w:rFonts w:eastAsiaTheme="minorEastAsia" w:cs="Times New Roman"/>
          <w:b/>
          <w:bCs/>
          <w:color w:val="000000"/>
          <w:sz w:val="24"/>
          <w:szCs w:val="24"/>
          <w:lang w:eastAsia="lv-LV"/>
        </w:rPr>
        <w:tab/>
      </w:r>
      <w:r w:rsidRPr="00560BFA">
        <w:rPr>
          <w:rFonts w:eastAsiaTheme="minorEastAsia" w:cs="Times New Roman"/>
          <w:color w:val="000000"/>
          <w:sz w:val="24"/>
          <w:szCs w:val="24"/>
          <w:lang w:eastAsia="lv-LV"/>
        </w:rPr>
        <w:t xml:space="preserve">Vēršam uzmanību, ka </w:t>
      </w:r>
      <w:r w:rsidR="00656EEB">
        <w:rPr>
          <w:rFonts w:eastAsiaTheme="minorEastAsia" w:cs="Times New Roman"/>
          <w:color w:val="000000"/>
          <w:sz w:val="24"/>
          <w:szCs w:val="24"/>
          <w:lang w:eastAsia="lv-LV"/>
        </w:rPr>
        <w:t xml:space="preserve">informatīvajā ziņojumā nav uzskaitīti absolūti visi piemērojamie risku mazināšanas pasākumi to apjoma dēļ, norādot tikai </w:t>
      </w:r>
      <w:r w:rsidR="001E6414">
        <w:rPr>
          <w:rFonts w:eastAsiaTheme="minorEastAsia" w:cs="Times New Roman"/>
          <w:color w:val="000000"/>
          <w:sz w:val="24"/>
          <w:szCs w:val="24"/>
          <w:lang w:eastAsia="lv-LV"/>
        </w:rPr>
        <w:t xml:space="preserve">būtiskākos no tiem. Pie pasākumiem, kas veicami pēc tam, kad </w:t>
      </w:r>
      <w:r w:rsidR="00261696">
        <w:rPr>
          <w:rFonts w:eastAsiaTheme="minorEastAsia" w:cs="Times New Roman"/>
          <w:color w:val="000000"/>
          <w:sz w:val="24"/>
          <w:szCs w:val="24"/>
          <w:lang w:eastAsia="lv-LV"/>
        </w:rPr>
        <w:t xml:space="preserve">jau </w:t>
      </w:r>
      <w:r w:rsidR="001E6414">
        <w:rPr>
          <w:rFonts w:eastAsiaTheme="minorEastAsia" w:cs="Times New Roman"/>
          <w:color w:val="000000"/>
          <w:sz w:val="24"/>
          <w:szCs w:val="24"/>
          <w:lang w:eastAsia="lv-LV"/>
        </w:rPr>
        <w:t>ir veikti risku mazināšanas pasākumi, pieskaitām</w:t>
      </w:r>
      <w:r w:rsidR="0004350C">
        <w:rPr>
          <w:rFonts w:eastAsiaTheme="minorEastAsia" w:cs="Times New Roman"/>
          <w:color w:val="000000"/>
          <w:sz w:val="24"/>
          <w:szCs w:val="24"/>
          <w:lang w:eastAsia="lv-LV"/>
        </w:rPr>
        <w:t>i šādi izvērtējumi:</w:t>
      </w:r>
    </w:p>
    <w:p w14:paraId="72F2FFF2" w14:textId="77777777" w:rsidR="00525D52" w:rsidRDefault="00525D52" w:rsidP="00525D52">
      <w:pPr>
        <w:tabs>
          <w:tab w:val="left" w:pos="567"/>
        </w:tabs>
        <w:spacing w:after="0" w:line="240" w:lineRule="auto"/>
        <w:contextualSpacing/>
        <w:jc w:val="both"/>
        <w:rPr>
          <w:rFonts w:eastAsiaTheme="minorEastAsia" w:cs="Times New Roman"/>
          <w:color w:val="000000"/>
          <w:sz w:val="24"/>
          <w:szCs w:val="24"/>
          <w:lang w:eastAsia="lv-LV"/>
        </w:rPr>
        <w:sectPr w:rsidR="00525D52" w:rsidSect="000F6C88">
          <w:pgSz w:w="11906" w:h="16838"/>
          <w:pgMar w:top="2098" w:right="1077" w:bottom="737" w:left="1418" w:header="709" w:footer="471" w:gutter="0"/>
          <w:cols w:space="708"/>
          <w:docGrid w:linePitch="381"/>
        </w:sectPr>
      </w:pPr>
    </w:p>
    <w:p w14:paraId="470C2075" w14:textId="671E4CDD" w:rsidR="00911792" w:rsidRPr="001B488D" w:rsidRDefault="004867AE" w:rsidP="00911792">
      <w:pPr>
        <w:pStyle w:val="ListParagraph"/>
        <w:numPr>
          <w:ilvl w:val="0"/>
          <w:numId w:val="32"/>
        </w:numPr>
        <w:contextualSpacing w:val="0"/>
        <w:jc w:val="left"/>
        <w:rPr>
          <w:rFonts w:eastAsia="Times New Roman"/>
        </w:rPr>
      </w:pPr>
      <w:r>
        <w:rPr>
          <w:rFonts w:eastAsia="Times New Roman"/>
        </w:rPr>
        <w:t>Atkārtot</w:t>
      </w:r>
      <w:r w:rsidR="00CA4D75">
        <w:rPr>
          <w:rFonts w:eastAsia="Times New Roman"/>
        </w:rPr>
        <w:t>s risku izvērtējums</w:t>
      </w:r>
      <w:r w:rsidR="00807188">
        <w:rPr>
          <w:rFonts w:eastAsia="Times New Roman"/>
        </w:rPr>
        <w:t xml:space="preserve"> (</w:t>
      </w:r>
      <w:r w:rsidR="001D340B">
        <w:rPr>
          <w:rFonts w:eastAsia="Times New Roman"/>
        </w:rPr>
        <w:t xml:space="preserve">no angļu val. </w:t>
      </w:r>
      <w:r w:rsidR="00D515F1">
        <w:rPr>
          <w:rFonts w:eastAsia="Times New Roman"/>
        </w:rPr>
        <w:t xml:space="preserve">– </w:t>
      </w:r>
      <w:r w:rsidR="006D28E4" w:rsidRPr="006D28E4">
        <w:rPr>
          <w:rFonts w:eastAsia="Times New Roman" w:cs="Arial"/>
          <w:i/>
          <w:iCs/>
          <w:szCs w:val="24"/>
        </w:rPr>
        <w:t>Post-Response Risk Assessment</w:t>
      </w:r>
      <w:r w:rsidR="006D28E4">
        <w:rPr>
          <w:rFonts w:eastAsia="Times New Roman" w:cs="Arial"/>
          <w:sz w:val="28"/>
        </w:rPr>
        <w:t>)</w:t>
      </w:r>
      <w:r w:rsidR="00911792">
        <w:rPr>
          <w:rFonts w:eastAsia="Times New Roman"/>
        </w:rPr>
        <w:t xml:space="preserve"> </w:t>
      </w:r>
      <w:r w:rsidR="001B488D">
        <w:rPr>
          <w:rFonts w:eastAsia="Times New Roman"/>
        </w:rPr>
        <w:t>–</w:t>
      </w:r>
      <w:r w:rsidR="00911792">
        <w:rPr>
          <w:rFonts w:eastAsia="Times New Roman"/>
        </w:rPr>
        <w:t xml:space="preserve"> </w:t>
      </w:r>
      <w:r w:rsidR="001B488D" w:rsidRPr="001B488D">
        <w:rPr>
          <w:rFonts w:eastAsia="Times New Roman"/>
        </w:rPr>
        <w:t>globālā projekta un projekta līmenī:</w:t>
      </w:r>
    </w:p>
    <w:p w14:paraId="374604BE" w14:textId="639086BE" w:rsidR="00911792" w:rsidRPr="001B488D" w:rsidRDefault="00174B83" w:rsidP="00911792">
      <w:pPr>
        <w:pStyle w:val="ListParagraph"/>
        <w:numPr>
          <w:ilvl w:val="1"/>
          <w:numId w:val="32"/>
        </w:numPr>
        <w:contextualSpacing w:val="0"/>
        <w:jc w:val="left"/>
        <w:rPr>
          <w:rFonts w:eastAsia="Times New Roman"/>
        </w:rPr>
      </w:pPr>
      <w:r>
        <w:rPr>
          <w:rFonts w:eastAsia="Times New Roman"/>
        </w:rPr>
        <w:t>Atkārtota riska iestāšanās varbūtība;</w:t>
      </w:r>
    </w:p>
    <w:p w14:paraId="1430B781" w14:textId="3F11D350" w:rsidR="00911792" w:rsidRDefault="00CC22A4" w:rsidP="00911792">
      <w:pPr>
        <w:pStyle w:val="ListParagraph"/>
        <w:numPr>
          <w:ilvl w:val="1"/>
          <w:numId w:val="32"/>
        </w:numPr>
        <w:contextualSpacing w:val="0"/>
        <w:jc w:val="left"/>
        <w:rPr>
          <w:rFonts w:eastAsia="Times New Roman"/>
        </w:rPr>
      </w:pPr>
      <w:r>
        <w:rPr>
          <w:rFonts w:eastAsia="Times New Roman"/>
        </w:rPr>
        <w:t>Atkārtota riska ietekme uz laika grafiku;</w:t>
      </w:r>
    </w:p>
    <w:p w14:paraId="076F4907" w14:textId="77777777" w:rsidR="00CC22A4" w:rsidRDefault="00CC22A4" w:rsidP="00911792">
      <w:pPr>
        <w:pStyle w:val="ListParagraph"/>
        <w:numPr>
          <w:ilvl w:val="1"/>
          <w:numId w:val="32"/>
        </w:numPr>
        <w:contextualSpacing w:val="0"/>
        <w:jc w:val="left"/>
        <w:rPr>
          <w:rFonts w:eastAsia="Times New Roman"/>
        </w:rPr>
      </w:pPr>
      <w:r>
        <w:rPr>
          <w:rFonts w:eastAsia="Times New Roman"/>
        </w:rPr>
        <w:t>Atkārtota riska ietekme uz izmaksām;</w:t>
      </w:r>
    </w:p>
    <w:p w14:paraId="14720DCF" w14:textId="717D25D9" w:rsidR="00911792" w:rsidRDefault="00815C1F" w:rsidP="00911792">
      <w:pPr>
        <w:pStyle w:val="ListParagraph"/>
        <w:numPr>
          <w:ilvl w:val="1"/>
          <w:numId w:val="32"/>
        </w:numPr>
        <w:contextualSpacing w:val="0"/>
        <w:jc w:val="left"/>
        <w:rPr>
          <w:rFonts w:eastAsia="Times New Roman"/>
        </w:rPr>
      </w:pPr>
      <w:r>
        <w:rPr>
          <w:rFonts w:eastAsia="Times New Roman"/>
        </w:rPr>
        <w:t>Riska iespējamība</w:t>
      </w:r>
      <w:r w:rsidR="00911792">
        <w:rPr>
          <w:rFonts w:eastAsia="Times New Roman"/>
        </w:rPr>
        <w:t xml:space="preserve"> (</w:t>
      </w:r>
      <w:r>
        <w:rPr>
          <w:rFonts w:eastAsia="Times New Roman"/>
        </w:rPr>
        <w:t>ciparos</w:t>
      </w:r>
      <w:r w:rsidR="00911792">
        <w:rPr>
          <w:rFonts w:eastAsia="Times New Roman"/>
        </w:rPr>
        <w:t>)</w:t>
      </w:r>
      <w:r w:rsidR="000B0373">
        <w:rPr>
          <w:rFonts w:eastAsia="Times New Roman"/>
        </w:rPr>
        <w:t>;</w:t>
      </w:r>
    </w:p>
    <w:p w14:paraId="76888C59" w14:textId="5DF31EED" w:rsidR="00572FD4" w:rsidRDefault="00815C1F" w:rsidP="00911792">
      <w:pPr>
        <w:pStyle w:val="ListParagraph"/>
        <w:numPr>
          <w:ilvl w:val="1"/>
          <w:numId w:val="32"/>
        </w:numPr>
        <w:contextualSpacing w:val="0"/>
        <w:jc w:val="left"/>
        <w:rPr>
          <w:rFonts w:eastAsia="Times New Roman"/>
        </w:rPr>
      </w:pPr>
      <w:r>
        <w:rPr>
          <w:rFonts w:eastAsia="Times New Roman"/>
        </w:rPr>
        <w:t xml:space="preserve">Riska iespējamība </w:t>
      </w:r>
      <w:r w:rsidR="00911792">
        <w:rPr>
          <w:rFonts w:eastAsia="Times New Roman"/>
        </w:rPr>
        <w:t>(</w:t>
      </w:r>
      <w:r>
        <w:rPr>
          <w:rFonts w:eastAsia="Times New Roman"/>
        </w:rPr>
        <w:t>vārdos</w:t>
      </w:r>
      <w:r w:rsidR="00911792">
        <w:rPr>
          <w:rFonts w:eastAsia="Times New Roman"/>
        </w:rPr>
        <w:t>)</w:t>
      </w:r>
      <w:r w:rsidR="00174B83">
        <w:rPr>
          <w:rFonts w:eastAsia="Times New Roman"/>
        </w:rPr>
        <w:t>.</w:t>
      </w:r>
    </w:p>
    <w:p w14:paraId="22E54481" w14:textId="77777777" w:rsidR="003C2388" w:rsidRPr="00572FD4" w:rsidRDefault="003C2388" w:rsidP="001D5E77">
      <w:pPr>
        <w:jc w:val="center"/>
        <w:rPr>
          <w:rFonts w:eastAsia="Times New Roman"/>
          <w:sz w:val="24"/>
        </w:rPr>
      </w:pPr>
    </w:p>
    <w:p w14:paraId="12151166" w14:textId="2DFF05EF" w:rsidR="003111E9" w:rsidRDefault="00D038AF" w:rsidP="0011165C">
      <w:pPr>
        <w:spacing w:after="0" w:line="240" w:lineRule="auto"/>
        <w:contextualSpacing/>
        <w:jc w:val="center"/>
        <w:rPr>
          <w:rFonts w:eastAsiaTheme="minorEastAsia" w:cs="Times New Roman"/>
          <w:b/>
          <w:bCs/>
          <w:color w:val="FF0000"/>
          <w:sz w:val="24"/>
          <w:szCs w:val="24"/>
          <w:lang w:eastAsia="lv-LV"/>
        </w:rPr>
      </w:pPr>
      <w:r>
        <w:rPr>
          <w:rFonts w:eastAsiaTheme="minorEastAsia" w:cs="Times New Roman"/>
          <w:b/>
          <w:bCs/>
          <w:color w:val="000000"/>
          <w:sz w:val="24"/>
          <w:szCs w:val="24"/>
          <w:lang w:eastAsia="lv-LV"/>
        </w:rPr>
        <w:t>Pušu loma un atbildība Līguma nosacījumu izpildē</w:t>
      </w:r>
      <w:r w:rsidR="003111E9" w:rsidRPr="003111E9">
        <w:rPr>
          <w:rFonts w:eastAsiaTheme="minorEastAsia" w:cs="Times New Roman"/>
          <w:b/>
          <w:bCs/>
          <w:color w:val="FF0000"/>
          <w:sz w:val="24"/>
          <w:szCs w:val="24"/>
          <w:lang w:eastAsia="lv-LV"/>
        </w:rPr>
        <w:t xml:space="preserve"> </w:t>
      </w:r>
    </w:p>
    <w:p w14:paraId="6D701967" w14:textId="77777777" w:rsidR="00572FD4" w:rsidRDefault="00572FD4" w:rsidP="00056AFE">
      <w:pPr>
        <w:spacing w:after="0" w:line="240" w:lineRule="auto"/>
        <w:contextualSpacing/>
        <w:jc w:val="center"/>
        <w:rPr>
          <w:rFonts w:eastAsiaTheme="minorEastAsia" w:cs="Times New Roman"/>
          <w:b/>
          <w:bCs/>
          <w:color w:val="FF0000"/>
          <w:sz w:val="24"/>
          <w:szCs w:val="24"/>
          <w:lang w:eastAsia="lv-LV"/>
        </w:rPr>
      </w:pPr>
    </w:p>
    <w:tbl>
      <w:tblPr>
        <w:tblStyle w:val="TableGrid"/>
        <w:tblW w:w="0" w:type="auto"/>
        <w:tblLook w:val="04A0" w:firstRow="1" w:lastRow="0" w:firstColumn="1" w:lastColumn="0" w:noHBand="0" w:noVBand="1"/>
      </w:tblPr>
      <w:tblGrid>
        <w:gridCol w:w="3133"/>
        <w:gridCol w:w="3134"/>
        <w:gridCol w:w="3134"/>
      </w:tblGrid>
      <w:tr w:rsidR="00876F63" w14:paraId="01D81E28" w14:textId="77777777" w:rsidTr="638FD9FE">
        <w:tc>
          <w:tcPr>
            <w:tcW w:w="3133" w:type="dxa"/>
          </w:tcPr>
          <w:p w14:paraId="715CFF8A" w14:textId="77777777" w:rsidR="00876F63" w:rsidRPr="00777912" w:rsidRDefault="00876F63" w:rsidP="00056AFE">
            <w:pPr>
              <w:contextualSpacing/>
              <w:jc w:val="center"/>
              <w:rPr>
                <w:rFonts w:eastAsiaTheme="minorEastAsia" w:cs="Times New Roman"/>
                <w:b/>
                <w:bCs/>
                <w:color w:val="000000"/>
                <w:sz w:val="20"/>
                <w:szCs w:val="20"/>
                <w:lang w:eastAsia="lv-LV"/>
              </w:rPr>
            </w:pPr>
            <w:r w:rsidRPr="00777912">
              <w:rPr>
                <w:rFonts w:eastAsiaTheme="minorEastAsia" w:cs="Times New Roman"/>
                <w:b/>
                <w:bCs/>
                <w:color w:val="000000"/>
                <w:sz w:val="20"/>
                <w:szCs w:val="20"/>
                <w:lang w:eastAsia="lv-LV"/>
              </w:rPr>
              <w:t>Satiksmes ministrija</w:t>
            </w:r>
          </w:p>
        </w:tc>
        <w:tc>
          <w:tcPr>
            <w:tcW w:w="3134" w:type="dxa"/>
          </w:tcPr>
          <w:p w14:paraId="17C43DA2" w14:textId="77777777" w:rsidR="00876F63" w:rsidRPr="00777912" w:rsidRDefault="49F50FEC" w:rsidP="00056AFE">
            <w:pPr>
              <w:contextualSpacing/>
              <w:jc w:val="center"/>
              <w:rPr>
                <w:rFonts w:eastAsiaTheme="minorEastAsia" w:cs="Times New Roman"/>
                <w:b/>
                <w:bCs/>
                <w:color w:val="000000"/>
                <w:sz w:val="20"/>
                <w:szCs w:val="20"/>
                <w:lang w:eastAsia="lv-LV"/>
              </w:rPr>
            </w:pPr>
            <w:r w:rsidRPr="638FD9FE">
              <w:rPr>
                <w:rFonts w:eastAsiaTheme="minorEastAsia" w:cs="Times New Roman"/>
                <w:b/>
                <w:bCs/>
                <w:color w:val="000000"/>
                <w:sz w:val="20"/>
                <w:szCs w:val="20"/>
                <w:lang w:eastAsia="lv-LV"/>
              </w:rPr>
              <w:t>RBR</w:t>
            </w:r>
            <w:r w:rsidR="00876F63" w:rsidRPr="638FD9FE">
              <w:rPr>
                <w:rStyle w:val="FootnoteReference"/>
                <w:rFonts w:eastAsiaTheme="minorEastAsia" w:cs="Times New Roman"/>
                <w:b/>
                <w:bCs/>
                <w:color w:val="000000"/>
                <w:sz w:val="20"/>
                <w:szCs w:val="20"/>
                <w:lang w:eastAsia="lv-LV"/>
              </w:rPr>
              <w:footnoteReference w:id="23"/>
            </w:r>
          </w:p>
        </w:tc>
        <w:tc>
          <w:tcPr>
            <w:tcW w:w="3134" w:type="dxa"/>
          </w:tcPr>
          <w:p w14:paraId="5E7D23ED" w14:textId="679A4B94" w:rsidR="00876F63" w:rsidRPr="00777912" w:rsidRDefault="66D44019" w:rsidP="00056AFE">
            <w:pPr>
              <w:contextualSpacing/>
              <w:jc w:val="center"/>
              <w:rPr>
                <w:rFonts w:eastAsiaTheme="minorEastAsia" w:cs="Times New Roman"/>
                <w:b/>
                <w:bCs/>
                <w:color w:val="000000"/>
                <w:sz w:val="20"/>
                <w:szCs w:val="20"/>
                <w:lang w:eastAsia="lv-LV"/>
              </w:rPr>
            </w:pPr>
            <w:r w:rsidRPr="638FD9FE">
              <w:rPr>
                <w:rFonts w:eastAsiaTheme="minorEastAsia" w:cs="Times New Roman"/>
                <w:b/>
                <w:bCs/>
                <w:color w:val="000000"/>
                <w:sz w:val="20"/>
                <w:szCs w:val="20"/>
                <w:lang w:eastAsia="lv-LV"/>
              </w:rPr>
              <w:t>EDZL</w:t>
            </w:r>
            <w:r w:rsidR="00876F63" w:rsidRPr="638FD9FE">
              <w:rPr>
                <w:rStyle w:val="FootnoteReference"/>
                <w:rFonts w:eastAsiaTheme="minorEastAsia" w:cs="Times New Roman"/>
                <w:b/>
                <w:bCs/>
                <w:color w:val="000000"/>
                <w:sz w:val="20"/>
                <w:szCs w:val="20"/>
                <w:lang w:eastAsia="lv-LV"/>
              </w:rPr>
              <w:footnoteReference w:id="24"/>
            </w:r>
          </w:p>
        </w:tc>
      </w:tr>
      <w:tr w:rsidR="00876F63" w14:paraId="38C665B6" w14:textId="77777777" w:rsidTr="638FD9FE">
        <w:tc>
          <w:tcPr>
            <w:tcW w:w="3133" w:type="dxa"/>
          </w:tcPr>
          <w:p w14:paraId="54B57217" w14:textId="64EE8A0E" w:rsidR="00F957D9" w:rsidRPr="00C26935" w:rsidRDefault="62EF5186" w:rsidP="0595A900">
            <w:pPr>
              <w:pStyle w:val="ListParagraph"/>
              <w:numPr>
                <w:ilvl w:val="0"/>
                <w:numId w:val="28"/>
              </w:numPr>
              <w:tabs>
                <w:tab w:val="left" w:pos="290"/>
              </w:tabs>
              <w:ind w:left="32" w:firstLine="0"/>
              <w:rPr>
                <w:rFonts w:eastAsiaTheme="minorEastAsia" w:cs="Times New Roman"/>
                <w:color w:val="000000" w:themeColor="text1"/>
                <w:sz w:val="20"/>
                <w:szCs w:val="20"/>
                <w:lang w:eastAsia="lv-LV"/>
              </w:rPr>
            </w:pPr>
            <w:r w:rsidRPr="0595A900">
              <w:rPr>
                <w:rFonts w:eastAsiaTheme="minorEastAsia" w:cs="Times New Roman"/>
                <w:color w:val="000000" w:themeColor="text1"/>
                <w:sz w:val="20"/>
                <w:szCs w:val="20"/>
                <w:lang w:eastAsia="lv-LV"/>
              </w:rPr>
              <w:t xml:space="preserve">Rail Baltica projekta stratēģiskā </w:t>
            </w:r>
            <w:r w:rsidR="3C3D104E" w:rsidRPr="0595A900">
              <w:rPr>
                <w:rFonts w:eastAsiaTheme="minorEastAsia" w:cs="Times New Roman"/>
                <w:color w:val="000000" w:themeColor="text1"/>
                <w:sz w:val="20"/>
                <w:szCs w:val="20"/>
                <w:lang w:eastAsia="lv-LV"/>
              </w:rPr>
              <w:t>pārraudzība</w:t>
            </w:r>
            <w:r w:rsidRPr="0595A900">
              <w:rPr>
                <w:rFonts w:eastAsiaTheme="minorEastAsia" w:cs="Times New Roman"/>
                <w:color w:val="000000" w:themeColor="text1"/>
                <w:sz w:val="20"/>
                <w:szCs w:val="20"/>
                <w:lang w:eastAsia="lv-LV"/>
              </w:rPr>
              <w:t xml:space="preserve"> un Latvijas pozīcijas formulēšana</w:t>
            </w:r>
            <w:r w:rsidR="0020202C">
              <w:rPr>
                <w:rFonts w:eastAsiaTheme="minorEastAsia" w:cs="Times New Roman"/>
                <w:color w:val="000000" w:themeColor="text1"/>
                <w:sz w:val="20"/>
                <w:szCs w:val="20"/>
                <w:lang w:eastAsia="lv-LV"/>
              </w:rPr>
              <w:t>.</w:t>
            </w:r>
          </w:p>
          <w:p w14:paraId="5B099CF3" w14:textId="2E3325C9" w:rsidR="00876F63" w:rsidRPr="00C26935" w:rsidRDefault="726E2F1B" w:rsidP="0595A900">
            <w:pPr>
              <w:pStyle w:val="ListParagraph"/>
              <w:numPr>
                <w:ilvl w:val="0"/>
                <w:numId w:val="28"/>
              </w:numPr>
              <w:tabs>
                <w:tab w:val="left" w:pos="290"/>
              </w:tabs>
              <w:ind w:left="32" w:firstLine="0"/>
              <w:rPr>
                <w:rFonts w:eastAsiaTheme="minorEastAsia" w:cs="Times New Roman"/>
                <w:color w:val="000000" w:themeColor="text1"/>
                <w:sz w:val="20"/>
                <w:szCs w:val="20"/>
                <w:lang w:eastAsia="lv-LV"/>
              </w:rPr>
            </w:pPr>
            <w:r w:rsidRPr="005F76AC">
              <w:rPr>
                <w:rFonts w:eastAsiaTheme="minorEastAsia" w:cs="Times New Roman"/>
                <w:color w:val="000000" w:themeColor="text1"/>
                <w:sz w:val="20"/>
                <w:szCs w:val="20"/>
                <w:lang w:eastAsia="lv-LV"/>
              </w:rPr>
              <w:t xml:space="preserve">Līguma </w:t>
            </w:r>
            <w:r w:rsidR="456C2BF6" w:rsidRPr="005F76AC">
              <w:rPr>
                <w:rFonts w:eastAsiaTheme="minorEastAsia" w:cs="Times New Roman"/>
                <w:color w:val="000000" w:themeColor="text1"/>
                <w:sz w:val="20"/>
                <w:szCs w:val="20"/>
                <w:lang w:eastAsia="lv-LV"/>
              </w:rPr>
              <w:t xml:space="preserve">uzraudzības </w:t>
            </w:r>
            <w:r w:rsidR="456C2BF6" w:rsidRPr="00C26935">
              <w:rPr>
                <w:rFonts w:eastAsiaTheme="minorEastAsia" w:cs="Times New Roman"/>
                <w:color w:val="000000" w:themeColor="text1"/>
                <w:sz w:val="20"/>
                <w:szCs w:val="20"/>
                <w:lang w:eastAsia="lv-LV"/>
              </w:rPr>
              <w:t>nodrošināšana</w:t>
            </w:r>
            <w:r w:rsidR="2FAA7D2F" w:rsidRPr="6075987E">
              <w:rPr>
                <w:rFonts w:eastAsiaTheme="minorEastAsia" w:cs="Times New Roman"/>
                <w:color w:val="000000" w:themeColor="text1"/>
                <w:sz w:val="20"/>
                <w:szCs w:val="20"/>
                <w:lang w:eastAsia="lv-LV"/>
              </w:rPr>
              <w:t xml:space="preserve"> </w:t>
            </w:r>
            <w:r w:rsidR="00C26935">
              <w:rPr>
                <w:rFonts w:eastAsiaTheme="minorEastAsia" w:cs="Times New Roman"/>
                <w:color w:val="000000" w:themeColor="text1"/>
                <w:sz w:val="20"/>
                <w:szCs w:val="20"/>
                <w:lang w:eastAsia="lv-LV"/>
              </w:rPr>
              <w:t>(</w:t>
            </w:r>
            <w:r w:rsidR="6402FDEE" w:rsidRPr="6075987E">
              <w:rPr>
                <w:rFonts w:eastAsiaTheme="minorEastAsia" w:cs="Times New Roman"/>
                <w:color w:val="000000" w:themeColor="text1"/>
                <w:sz w:val="20"/>
                <w:szCs w:val="20"/>
                <w:lang w:eastAsia="lv-LV"/>
              </w:rPr>
              <w:t>Rail Baltica Latvijas vadības grup</w:t>
            </w:r>
            <w:r w:rsidR="4DA15912" w:rsidRPr="6075987E">
              <w:rPr>
                <w:rFonts w:eastAsiaTheme="minorEastAsia" w:cs="Times New Roman"/>
                <w:color w:val="000000" w:themeColor="text1"/>
                <w:sz w:val="20"/>
                <w:szCs w:val="20"/>
                <w:lang w:eastAsia="lv-LV"/>
              </w:rPr>
              <w:t>as izveide un darbība)</w:t>
            </w:r>
            <w:r w:rsidR="0020202C">
              <w:rPr>
                <w:rFonts w:eastAsiaTheme="minorEastAsia" w:cs="Times New Roman"/>
                <w:color w:val="000000" w:themeColor="text1"/>
                <w:sz w:val="20"/>
                <w:szCs w:val="20"/>
                <w:lang w:eastAsia="lv-LV"/>
              </w:rPr>
              <w:t>.</w:t>
            </w:r>
          </w:p>
          <w:p w14:paraId="1AD70DDE" w14:textId="0A511D79" w:rsidR="00876F63" w:rsidRPr="00777912" w:rsidRDefault="00876F63" w:rsidP="00911792">
            <w:pPr>
              <w:pStyle w:val="ListParagraph"/>
              <w:numPr>
                <w:ilvl w:val="0"/>
                <w:numId w:val="28"/>
              </w:numPr>
              <w:tabs>
                <w:tab w:val="left" w:pos="290"/>
              </w:tabs>
              <w:ind w:left="32" w:firstLine="0"/>
              <w:rPr>
                <w:sz w:val="20"/>
                <w:szCs w:val="20"/>
                <w:lang w:eastAsia="lv-LV"/>
              </w:rPr>
            </w:pPr>
            <w:r w:rsidRPr="00777912">
              <w:rPr>
                <w:rFonts w:eastAsiaTheme="minorEastAsia" w:cs="Times New Roman"/>
                <w:color w:val="000000"/>
                <w:sz w:val="20"/>
                <w:szCs w:val="20"/>
                <w:lang w:eastAsia="lv-LV"/>
              </w:rPr>
              <w:t>Ministru kabineta ar Rail Baltica projekta īstenošanu saistīto starpnozaru jautājumu risināšanas Tematiskās komitejas darb</w:t>
            </w:r>
            <w:r w:rsidR="00AF1961">
              <w:rPr>
                <w:rFonts w:eastAsiaTheme="minorEastAsia" w:cs="Times New Roman"/>
                <w:color w:val="000000"/>
                <w:sz w:val="20"/>
                <w:szCs w:val="20"/>
                <w:lang w:eastAsia="lv-LV"/>
              </w:rPr>
              <w:t xml:space="preserve">ības atjaunošana un darbības </w:t>
            </w:r>
            <w:r w:rsidRPr="00777912">
              <w:rPr>
                <w:rFonts w:eastAsiaTheme="minorEastAsia" w:cs="Times New Roman"/>
                <w:color w:val="000000"/>
                <w:sz w:val="20"/>
                <w:szCs w:val="20"/>
                <w:lang w:eastAsia="lv-LV"/>
              </w:rPr>
              <w:t xml:space="preserve"> organizēšana.</w:t>
            </w:r>
          </w:p>
          <w:p w14:paraId="473BC43B" w14:textId="77777777" w:rsidR="00876F63" w:rsidRPr="00777912" w:rsidRDefault="00876F63" w:rsidP="00911792">
            <w:pPr>
              <w:pStyle w:val="ListParagraph"/>
              <w:numPr>
                <w:ilvl w:val="0"/>
                <w:numId w:val="28"/>
              </w:numPr>
              <w:tabs>
                <w:tab w:val="left" w:pos="135"/>
                <w:tab w:val="left" w:pos="290"/>
              </w:tabs>
              <w:ind w:left="32" w:firstLine="0"/>
              <w:rPr>
                <w:rFonts w:eastAsiaTheme="minorEastAsia" w:cs="Times New Roman"/>
                <w:color w:val="000000"/>
                <w:sz w:val="20"/>
                <w:szCs w:val="20"/>
                <w:lang w:eastAsia="lv-LV"/>
              </w:rPr>
            </w:pPr>
            <w:r w:rsidRPr="00777912">
              <w:rPr>
                <w:rFonts w:eastAsiaTheme="minorEastAsia" w:cs="Times New Roman"/>
                <w:color w:val="000000"/>
                <w:sz w:val="20"/>
                <w:szCs w:val="20"/>
                <w:lang w:eastAsia="lv-LV"/>
              </w:rPr>
              <w:lastRenderedPageBreak/>
              <w:t xml:space="preserve">Eiropas infrastruktūras savienošanas instrumenta </w:t>
            </w:r>
            <w:r>
              <w:rPr>
                <w:rFonts w:eastAsiaTheme="minorEastAsia" w:cs="Times New Roman"/>
                <w:color w:val="000000"/>
                <w:sz w:val="20"/>
                <w:szCs w:val="20"/>
                <w:lang w:eastAsia="lv-LV"/>
              </w:rPr>
              <w:t xml:space="preserve">un </w:t>
            </w:r>
            <w:r w:rsidRPr="00777912">
              <w:rPr>
                <w:rFonts w:eastAsiaTheme="minorEastAsia" w:cs="Times New Roman"/>
                <w:color w:val="000000"/>
                <w:sz w:val="20"/>
                <w:szCs w:val="20"/>
                <w:lang w:eastAsia="lv-LV"/>
              </w:rPr>
              <w:t xml:space="preserve">militārās mobilitātes aploksnes pieteikumu sagatavošana un parakstīto finansēšanas līgumu vadība. </w:t>
            </w:r>
          </w:p>
          <w:p w14:paraId="07EB675C" w14:textId="49320E4D" w:rsidR="005800BD" w:rsidRDefault="005800BD" w:rsidP="00911792">
            <w:pPr>
              <w:pStyle w:val="ListParagraph"/>
              <w:numPr>
                <w:ilvl w:val="0"/>
                <w:numId w:val="28"/>
              </w:numPr>
              <w:tabs>
                <w:tab w:val="left" w:pos="135"/>
                <w:tab w:val="left" w:pos="290"/>
              </w:tabs>
              <w:ind w:left="32" w:firstLine="0"/>
              <w:rPr>
                <w:rFonts w:eastAsiaTheme="minorEastAsia" w:cs="Times New Roman"/>
                <w:sz w:val="20"/>
                <w:szCs w:val="20"/>
                <w:lang w:eastAsia="lv-LV"/>
              </w:rPr>
            </w:pPr>
            <w:r>
              <w:rPr>
                <w:rFonts w:eastAsiaTheme="minorEastAsia" w:cs="Times New Roman"/>
                <w:sz w:val="20"/>
                <w:szCs w:val="20"/>
                <w:lang w:eastAsia="lv-LV"/>
              </w:rPr>
              <w:t>Pasūtāmo darbu a</w:t>
            </w:r>
            <w:r w:rsidRPr="005800BD">
              <w:rPr>
                <w:rFonts w:eastAsiaTheme="minorEastAsia" w:cs="Times New Roman"/>
                <w:sz w:val="20"/>
                <w:szCs w:val="20"/>
                <w:lang w:eastAsia="lv-LV"/>
              </w:rPr>
              <w:t>pstipri</w:t>
            </w:r>
            <w:r>
              <w:rPr>
                <w:rFonts w:eastAsiaTheme="minorEastAsia" w:cs="Times New Roman"/>
                <w:sz w:val="20"/>
                <w:szCs w:val="20"/>
                <w:lang w:eastAsia="lv-LV"/>
              </w:rPr>
              <w:t>nāšana</w:t>
            </w:r>
            <w:r w:rsidRPr="005800BD">
              <w:rPr>
                <w:rFonts w:eastAsiaTheme="minorEastAsia" w:cs="Times New Roman"/>
                <w:sz w:val="20"/>
                <w:szCs w:val="20"/>
                <w:lang w:eastAsia="lv-LV"/>
              </w:rPr>
              <w:t xml:space="preserve"> pieejamā finansējuma apjomā</w:t>
            </w:r>
            <w:r>
              <w:rPr>
                <w:rFonts w:eastAsiaTheme="minorEastAsia" w:cs="Times New Roman"/>
                <w:sz w:val="20"/>
                <w:szCs w:val="20"/>
                <w:lang w:eastAsia="lv-LV"/>
              </w:rPr>
              <w:t>.</w:t>
            </w:r>
          </w:p>
          <w:p w14:paraId="5AE3E951" w14:textId="62B5DF99" w:rsidR="00876F63" w:rsidRDefault="0074220C" w:rsidP="00911792">
            <w:pPr>
              <w:pStyle w:val="ListParagraph"/>
              <w:numPr>
                <w:ilvl w:val="0"/>
                <w:numId w:val="28"/>
              </w:numPr>
              <w:tabs>
                <w:tab w:val="left" w:pos="135"/>
                <w:tab w:val="left" w:pos="290"/>
              </w:tabs>
              <w:ind w:left="32" w:firstLine="0"/>
              <w:rPr>
                <w:rFonts w:eastAsiaTheme="minorEastAsia" w:cs="Times New Roman"/>
                <w:sz w:val="20"/>
                <w:szCs w:val="20"/>
                <w:lang w:eastAsia="lv-LV"/>
              </w:rPr>
            </w:pPr>
            <w:r>
              <w:rPr>
                <w:rFonts w:eastAsiaTheme="minorEastAsia" w:cs="Times New Roman"/>
                <w:sz w:val="20"/>
                <w:szCs w:val="20"/>
                <w:lang w:eastAsia="lv-LV"/>
              </w:rPr>
              <w:t>EDZL</w:t>
            </w:r>
            <w:r w:rsidR="00876F63" w:rsidRPr="00777912">
              <w:rPr>
                <w:rFonts w:eastAsiaTheme="minorEastAsia" w:cs="Times New Roman"/>
                <w:sz w:val="20"/>
                <w:szCs w:val="20"/>
                <w:lang w:eastAsia="lv-LV"/>
              </w:rPr>
              <w:t xml:space="preserve"> iesniegto rēķinu apmaksa 60 darba dienu laikā kopš to izrakstīšanas datuma.</w:t>
            </w:r>
          </w:p>
          <w:p w14:paraId="4EBCF5AA" w14:textId="6FAB9C39" w:rsidR="005800BD" w:rsidRPr="00777912" w:rsidRDefault="005800BD" w:rsidP="00911792">
            <w:pPr>
              <w:pStyle w:val="ListParagraph"/>
              <w:numPr>
                <w:ilvl w:val="0"/>
                <w:numId w:val="28"/>
              </w:numPr>
              <w:tabs>
                <w:tab w:val="left" w:pos="135"/>
                <w:tab w:val="left" w:pos="290"/>
              </w:tabs>
              <w:ind w:left="32" w:firstLine="0"/>
              <w:rPr>
                <w:rFonts w:eastAsiaTheme="minorEastAsia" w:cs="Times New Roman"/>
                <w:sz w:val="20"/>
                <w:szCs w:val="20"/>
                <w:lang w:eastAsia="lv-LV"/>
              </w:rPr>
            </w:pPr>
            <w:r>
              <w:rPr>
                <w:rFonts w:eastAsiaTheme="minorEastAsia" w:cs="Times New Roman"/>
                <w:sz w:val="20"/>
                <w:szCs w:val="20"/>
                <w:lang w:eastAsia="lv-LV"/>
              </w:rPr>
              <w:t>D</w:t>
            </w:r>
            <w:r w:rsidRPr="005800BD">
              <w:rPr>
                <w:rFonts w:eastAsiaTheme="minorEastAsia" w:cs="Times New Roman"/>
                <w:sz w:val="20"/>
                <w:szCs w:val="20"/>
                <w:lang w:eastAsia="lv-LV"/>
              </w:rPr>
              <w:t>arbu izpildes un finansējuma apguves kavējumu</w:t>
            </w:r>
            <w:r>
              <w:rPr>
                <w:rFonts w:eastAsiaTheme="minorEastAsia" w:cs="Times New Roman"/>
                <w:sz w:val="20"/>
                <w:szCs w:val="20"/>
                <w:lang w:eastAsia="lv-LV"/>
              </w:rPr>
              <w:t xml:space="preserve"> </w:t>
            </w:r>
            <w:r w:rsidRPr="005800BD">
              <w:rPr>
                <w:rFonts w:eastAsiaTheme="minorEastAsia" w:cs="Times New Roman"/>
                <w:sz w:val="20"/>
                <w:szCs w:val="20"/>
                <w:lang w:eastAsia="lv-LV"/>
              </w:rPr>
              <w:t>uzrau</w:t>
            </w:r>
            <w:r>
              <w:rPr>
                <w:rFonts w:eastAsiaTheme="minorEastAsia" w:cs="Times New Roman"/>
                <w:sz w:val="20"/>
                <w:szCs w:val="20"/>
                <w:lang w:eastAsia="lv-LV"/>
              </w:rPr>
              <w:t>dzība.</w:t>
            </w:r>
          </w:p>
          <w:p w14:paraId="747AB91D" w14:textId="27B2CD72" w:rsidR="00876F63" w:rsidRPr="00777912" w:rsidRDefault="00876F63" w:rsidP="00911792">
            <w:pPr>
              <w:pStyle w:val="ListParagraph"/>
              <w:numPr>
                <w:ilvl w:val="0"/>
                <w:numId w:val="28"/>
              </w:numPr>
              <w:tabs>
                <w:tab w:val="left" w:pos="135"/>
                <w:tab w:val="left" w:pos="290"/>
              </w:tabs>
              <w:ind w:left="32" w:firstLine="0"/>
              <w:rPr>
                <w:rFonts w:eastAsiaTheme="minorEastAsia" w:cs="Times New Roman"/>
                <w:color w:val="000000"/>
                <w:sz w:val="20"/>
                <w:szCs w:val="20"/>
                <w:lang w:eastAsia="lv-LV"/>
              </w:rPr>
            </w:pPr>
            <w:r w:rsidRPr="00777912">
              <w:rPr>
                <w:rFonts w:eastAsiaTheme="minorEastAsia" w:cs="Times New Roman"/>
                <w:color w:val="000000"/>
                <w:sz w:val="20"/>
                <w:szCs w:val="20"/>
                <w:lang w:eastAsia="lv-LV"/>
              </w:rPr>
              <w:t xml:space="preserve">Ja tas skar Rail Baltica projektu, atbalsta sniegšana Ārlietu ministrijai nacionālās pozīcijas par Eiropas Savienības daudzgadu finanšu shēmu </w:t>
            </w:r>
            <w:r w:rsidR="001C6E7F">
              <w:rPr>
                <w:rFonts w:eastAsiaTheme="minorEastAsia" w:cs="Times New Roman"/>
                <w:color w:val="000000"/>
                <w:sz w:val="20"/>
                <w:szCs w:val="20"/>
                <w:lang w:eastAsia="lv-LV"/>
              </w:rPr>
              <w:t>pēc 2027. gada</w:t>
            </w:r>
            <w:r w:rsidRPr="00777912">
              <w:rPr>
                <w:rFonts w:eastAsiaTheme="minorEastAsia" w:cs="Times New Roman"/>
                <w:color w:val="000000"/>
                <w:sz w:val="20"/>
                <w:szCs w:val="20"/>
                <w:lang w:eastAsia="lv-LV"/>
              </w:rPr>
              <w:t xml:space="preserve"> sagatavošanā.</w:t>
            </w:r>
          </w:p>
          <w:p w14:paraId="1A8A50FF" w14:textId="62B200F7" w:rsidR="009E1DFB" w:rsidRPr="002919A7" w:rsidRDefault="6260B53E" w:rsidP="0595A900">
            <w:pPr>
              <w:pStyle w:val="ListParagraph"/>
              <w:numPr>
                <w:ilvl w:val="0"/>
                <w:numId w:val="28"/>
              </w:numPr>
              <w:tabs>
                <w:tab w:val="left" w:pos="135"/>
                <w:tab w:val="left" w:pos="290"/>
              </w:tabs>
              <w:ind w:left="32" w:firstLine="0"/>
              <w:rPr>
                <w:sz w:val="20"/>
                <w:szCs w:val="20"/>
                <w:lang w:eastAsia="lv-LV"/>
              </w:rPr>
            </w:pPr>
            <w:r w:rsidRPr="0595A900">
              <w:rPr>
                <w:sz w:val="20"/>
                <w:szCs w:val="20"/>
                <w:lang w:eastAsia="lv-LV"/>
              </w:rPr>
              <w:t xml:space="preserve">Rail Baltica projekta ilgtermiņa finansēšanas modeļa izstrādāšana sadarbībā ar kompetentajām iestādēm. </w:t>
            </w:r>
          </w:p>
        </w:tc>
        <w:tc>
          <w:tcPr>
            <w:tcW w:w="3134" w:type="dxa"/>
          </w:tcPr>
          <w:p w14:paraId="4751F4A4" w14:textId="3A8373C8" w:rsidR="00876F63" w:rsidRPr="00777912" w:rsidRDefault="6260B53E" w:rsidP="0595A900">
            <w:pPr>
              <w:ind w:left="32" w:right="-74" w:hanging="21"/>
              <w:contextualSpacing/>
              <w:jc w:val="both"/>
              <w:rPr>
                <w:rFonts w:eastAsiaTheme="minorEastAsia" w:cs="Times New Roman"/>
                <w:color w:val="000000"/>
                <w:sz w:val="20"/>
                <w:szCs w:val="20"/>
                <w:lang w:eastAsia="lv-LV"/>
              </w:rPr>
            </w:pPr>
            <w:r w:rsidRPr="0595A900">
              <w:rPr>
                <w:rFonts w:eastAsiaTheme="minorEastAsia" w:cs="Times New Roman"/>
                <w:color w:val="000000" w:themeColor="text1"/>
                <w:sz w:val="20"/>
                <w:szCs w:val="20"/>
                <w:lang w:eastAsia="lv-LV"/>
              </w:rPr>
              <w:lastRenderedPageBreak/>
              <w:t>1)Būvprojektu savlaicīga nodrošināšana.</w:t>
            </w:r>
          </w:p>
          <w:p w14:paraId="2E2325A6" w14:textId="77777777" w:rsidR="00876F63" w:rsidRPr="00777912" w:rsidRDefault="49F50FEC" w:rsidP="00056AFE">
            <w:pPr>
              <w:tabs>
                <w:tab w:val="left" w:pos="290"/>
              </w:tabs>
              <w:ind w:left="32" w:right="-74"/>
              <w:contextualSpacing/>
              <w:jc w:val="both"/>
              <w:rPr>
                <w:rFonts w:eastAsiaTheme="minorEastAsia" w:cs="Times New Roman"/>
                <w:color w:val="000000"/>
                <w:sz w:val="20"/>
                <w:szCs w:val="20"/>
                <w:lang w:eastAsia="lv-LV"/>
              </w:rPr>
            </w:pPr>
            <w:r w:rsidRPr="638FD9FE">
              <w:rPr>
                <w:rFonts w:eastAsiaTheme="minorEastAsia" w:cs="Times New Roman"/>
                <w:color w:val="000000"/>
                <w:sz w:val="20"/>
                <w:szCs w:val="20"/>
                <w:lang w:eastAsia="lv-LV"/>
              </w:rPr>
              <w:t>2)Konsolidēto materiālu iepirkumu organizēšana un nodrošināšana</w:t>
            </w:r>
            <w:r w:rsidR="00876F63" w:rsidRPr="638FD9FE">
              <w:rPr>
                <w:rStyle w:val="FootnoteReference"/>
                <w:rFonts w:eastAsiaTheme="minorEastAsia" w:cs="Times New Roman"/>
                <w:color w:val="000000"/>
                <w:sz w:val="20"/>
                <w:szCs w:val="20"/>
                <w:lang w:eastAsia="lv-LV"/>
              </w:rPr>
              <w:footnoteReference w:id="25"/>
            </w:r>
            <w:r w:rsidRPr="638FD9FE">
              <w:rPr>
                <w:rFonts w:eastAsiaTheme="minorEastAsia" w:cs="Times New Roman"/>
                <w:color w:val="000000"/>
                <w:sz w:val="20"/>
                <w:szCs w:val="20"/>
                <w:lang w:eastAsia="lv-LV"/>
              </w:rPr>
              <w:t>.</w:t>
            </w:r>
          </w:p>
          <w:p w14:paraId="156824A1" w14:textId="77777777" w:rsidR="00876F63" w:rsidRPr="00777912" w:rsidRDefault="49F50FEC" w:rsidP="00056AFE">
            <w:pPr>
              <w:tabs>
                <w:tab w:val="left" w:pos="290"/>
              </w:tabs>
              <w:ind w:left="32" w:right="-74"/>
              <w:contextualSpacing/>
              <w:jc w:val="both"/>
              <w:rPr>
                <w:rFonts w:eastAsiaTheme="minorEastAsia" w:cs="Times New Roman"/>
                <w:color w:val="000000"/>
                <w:sz w:val="20"/>
                <w:szCs w:val="20"/>
                <w:lang w:eastAsia="lv-LV"/>
              </w:rPr>
            </w:pPr>
            <w:r w:rsidRPr="638FD9FE">
              <w:rPr>
                <w:rFonts w:eastAsiaTheme="minorEastAsia" w:cs="Times New Roman"/>
                <w:color w:val="000000"/>
                <w:sz w:val="20"/>
                <w:szCs w:val="20"/>
                <w:lang w:eastAsia="lv-LV"/>
              </w:rPr>
              <w:t>2)</w:t>
            </w:r>
            <w:r w:rsidR="00876F63" w:rsidRPr="00777912">
              <w:rPr>
                <w:rFonts w:eastAsiaTheme="minorEastAsia" w:cs="Times New Roman"/>
                <w:color w:val="000000"/>
                <w:sz w:val="20"/>
                <w:szCs w:val="20"/>
                <w:lang w:eastAsia="lv-LV"/>
              </w:rPr>
              <w:tab/>
            </w:r>
            <w:r w:rsidRPr="638FD9FE">
              <w:rPr>
                <w:rFonts w:eastAsiaTheme="minorEastAsia" w:cs="Times New Roman"/>
                <w:color w:val="000000"/>
                <w:sz w:val="20"/>
                <w:szCs w:val="20"/>
                <w:lang w:eastAsia="lv-LV"/>
              </w:rPr>
              <w:t>Ar dzelzceļa kustību un pakalpojumu saistīto jautājumu virzīšana un risināšana.</w:t>
            </w:r>
            <w:r w:rsidR="00876F63" w:rsidRPr="638FD9FE">
              <w:rPr>
                <w:rStyle w:val="FootnoteReference"/>
                <w:rFonts w:eastAsiaTheme="minorEastAsia" w:cs="Times New Roman"/>
                <w:color w:val="000000"/>
                <w:sz w:val="20"/>
                <w:szCs w:val="20"/>
                <w:lang w:eastAsia="lv-LV"/>
              </w:rPr>
              <w:footnoteReference w:id="26"/>
            </w:r>
          </w:p>
          <w:p w14:paraId="5751E75D" w14:textId="77777777" w:rsidR="00876F63" w:rsidRPr="00777912" w:rsidRDefault="49F50FEC" w:rsidP="0595A900">
            <w:pPr>
              <w:tabs>
                <w:tab w:val="left" w:pos="290"/>
              </w:tabs>
              <w:ind w:left="32" w:right="-74"/>
              <w:contextualSpacing/>
              <w:jc w:val="both"/>
              <w:rPr>
                <w:rFonts w:eastAsiaTheme="minorEastAsia" w:cs="Times New Roman"/>
                <w:color w:val="000000"/>
                <w:sz w:val="20"/>
                <w:szCs w:val="20"/>
                <w:lang w:eastAsia="lv-LV"/>
              </w:rPr>
            </w:pPr>
            <w:r w:rsidRPr="638FD9FE">
              <w:rPr>
                <w:rFonts w:eastAsiaTheme="minorEastAsia" w:cs="Times New Roman"/>
                <w:color w:val="000000"/>
                <w:sz w:val="20"/>
                <w:szCs w:val="20"/>
                <w:lang w:eastAsia="lv-LV"/>
              </w:rPr>
              <w:t>3)</w:t>
            </w:r>
            <w:r w:rsidR="00876F63" w:rsidRPr="00777912">
              <w:rPr>
                <w:rFonts w:eastAsiaTheme="minorEastAsia" w:cs="Times New Roman"/>
                <w:color w:val="000000"/>
                <w:sz w:val="20"/>
                <w:szCs w:val="20"/>
                <w:lang w:eastAsia="lv-LV"/>
              </w:rPr>
              <w:tab/>
            </w:r>
            <w:r w:rsidRPr="638FD9FE">
              <w:rPr>
                <w:rFonts w:eastAsiaTheme="minorEastAsia" w:cs="Times New Roman"/>
                <w:color w:val="000000"/>
                <w:sz w:val="20"/>
                <w:szCs w:val="20"/>
                <w:lang w:eastAsia="lv-LV"/>
              </w:rPr>
              <w:t>Vienota trīs valstu Rail Baltica dzelzceļa tīkla koordinācija tehniskos un funkcionālos jautājumos.</w:t>
            </w:r>
            <w:r w:rsidR="00876F63" w:rsidRPr="638FD9FE">
              <w:rPr>
                <w:rStyle w:val="FootnoteReference"/>
                <w:rFonts w:eastAsiaTheme="minorEastAsia" w:cs="Times New Roman"/>
                <w:color w:val="000000"/>
                <w:sz w:val="20"/>
                <w:szCs w:val="20"/>
                <w:lang w:eastAsia="lv-LV"/>
              </w:rPr>
              <w:footnoteReference w:id="27"/>
            </w:r>
          </w:p>
          <w:p w14:paraId="7C25C16F" w14:textId="77777777" w:rsidR="00876F63" w:rsidRPr="00777912" w:rsidRDefault="49F50FEC" w:rsidP="00056AFE">
            <w:pPr>
              <w:tabs>
                <w:tab w:val="left" w:pos="290"/>
              </w:tabs>
              <w:ind w:left="32" w:right="-74"/>
              <w:contextualSpacing/>
              <w:jc w:val="both"/>
              <w:rPr>
                <w:rFonts w:eastAsiaTheme="minorEastAsia" w:cs="Times New Roman"/>
                <w:color w:val="000000"/>
                <w:sz w:val="20"/>
                <w:szCs w:val="20"/>
                <w:lang w:eastAsia="lv-LV"/>
              </w:rPr>
            </w:pPr>
            <w:r w:rsidRPr="638FD9FE">
              <w:rPr>
                <w:rFonts w:eastAsiaTheme="minorEastAsia" w:cs="Times New Roman"/>
                <w:color w:val="000000"/>
                <w:sz w:val="20"/>
                <w:szCs w:val="20"/>
                <w:lang w:eastAsia="lv-LV"/>
              </w:rPr>
              <w:lastRenderedPageBreak/>
              <w:t>4)</w:t>
            </w:r>
            <w:r w:rsidR="00876F63" w:rsidRPr="00777912">
              <w:rPr>
                <w:rFonts w:eastAsiaTheme="minorEastAsia" w:cs="Times New Roman"/>
                <w:color w:val="000000"/>
                <w:sz w:val="20"/>
                <w:szCs w:val="20"/>
                <w:lang w:eastAsia="lv-LV"/>
              </w:rPr>
              <w:tab/>
            </w:r>
            <w:r w:rsidRPr="638FD9FE">
              <w:rPr>
                <w:rFonts w:eastAsiaTheme="minorEastAsia" w:cs="Times New Roman"/>
                <w:color w:val="000000"/>
                <w:sz w:val="20"/>
                <w:szCs w:val="20"/>
                <w:lang w:eastAsia="lv-LV"/>
              </w:rPr>
              <w:t>Ar līguma izpildi saistītu un nepieciešamu ekspertīzes jomu vai ekspertu nodrošināšana.</w:t>
            </w:r>
            <w:r w:rsidR="00876F63" w:rsidRPr="638FD9FE">
              <w:rPr>
                <w:rStyle w:val="FootnoteReference"/>
                <w:rFonts w:eastAsiaTheme="minorEastAsia" w:cs="Times New Roman"/>
                <w:color w:val="000000"/>
                <w:sz w:val="20"/>
                <w:szCs w:val="20"/>
                <w:lang w:eastAsia="lv-LV"/>
              </w:rPr>
              <w:footnoteReference w:id="28"/>
            </w:r>
          </w:p>
          <w:p w14:paraId="4F7AB9AE" w14:textId="5D9EE8B9" w:rsidR="00876F63" w:rsidRPr="00777912" w:rsidRDefault="49F50FEC" w:rsidP="0595A900">
            <w:pPr>
              <w:tabs>
                <w:tab w:val="left" w:pos="290"/>
              </w:tabs>
              <w:ind w:left="32" w:right="-74"/>
              <w:contextualSpacing/>
              <w:jc w:val="both"/>
              <w:rPr>
                <w:rFonts w:eastAsiaTheme="minorEastAsia" w:cs="Times New Roman"/>
                <w:color w:val="000000"/>
                <w:sz w:val="20"/>
                <w:szCs w:val="20"/>
                <w:lang w:eastAsia="lv-LV"/>
              </w:rPr>
            </w:pPr>
            <w:r w:rsidRPr="638FD9FE">
              <w:rPr>
                <w:rFonts w:eastAsiaTheme="minorEastAsia" w:cs="Times New Roman"/>
                <w:color w:val="000000"/>
                <w:sz w:val="20"/>
                <w:szCs w:val="20"/>
                <w:lang w:eastAsia="lv-LV"/>
              </w:rPr>
              <w:t>5)</w:t>
            </w:r>
            <w:r w:rsidR="00876F63" w:rsidRPr="00777912">
              <w:rPr>
                <w:rFonts w:eastAsiaTheme="minorEastAsia" w:cs="Times New Roman"/>
                <w:color w:val="000000"/>
                <w:sz w:val="20"/>
                <w:szCs w:val="20"/>
                <w:lang w:eastAsia="lv-LV"/>
              </w:rPr>
              <w:tab/>
            </w:r>
            <w:r w:rsidRPr="638FD9FE">
              <w:rPr>
                <w:rFonts w:eastAsiaTheme="minorEastAsia" w:cs="Times New Roman"/>
                <w:color w:val="000000"/>
                <w:sz w:val="20"/>
                <w:szCs w:val="20"/>
                <w:lang w:eastAsia="lv-LV"/>
              </w:rPr>
              <w:t>Vienotu iepirkumu standartu un caurskatāmības nodrošināšana</w:t>
            </w:r>
            <w:r w:rsidR="6339BC39" w:rsidRPr="638FD9FE">
              <w:rPr>
                <w:rFonts w:eastAsiaTheme="minorEastAsia" w:cs="Times New Roman"/>
                <w:color w:val="000000"/>
                <w:sz w:val="20"/>
                <w:szCs w:val="20"/>
                <w:lang w:eastAsia="lv-LV"/>
              </w:rPr>
              <w:t xml:space="preserve"> un ieviešanas uzraudzība</w:t>
            </w:r>
            <w:r w:rsidRPr="638FD9FE">
              <w:rPr>
                <w:rFonts w:eastAsiaTheme="minorEastAsia" w:cs="Times New Roman"/>
                <w:color w:val="000000"/>
                <w:sz w:val="20"/>
                <w:szCs w:val="20"/>
                <w:lang w:eastAsia="lv-LV"/>
              </w:rPr>
              <w:t>.</w:t>
            </w:r>
            <w:r w:rsidR="00876F63" w:rsidRPr="638FD9FE">
              <w:rPr>
                <w:rStyle w:val="FootnoteReference"/>
                <w:rFonts w:eastAsiaTheme="minorEastAsia" w:cs="Times New Roman"/>
                <w:color w:val="000000"/>
                <w:sz w:val="20"/>
                <w:szCs w:val="20"/>
                <w:lang w:eastAsia="lv-LV"/>
              </w:rPr>
              <w:footnoteReference w:id="29"/>
            </w:r>
          </w:p>
          <w:p w14:paraId="323239E1" w14:textId="77777777" w:rsidR="00876F63" w:rsidRPr="00777912" w:rsidRDefault="49F50FEC" w:rsidP="00056AFE">
            <w:pPr>
              <w:tabs>
                <w:tab w:val="left" w:pos="256"/>
                <w:tab w:val="left" w:pos="290"/>
              </w:tabs>
              <w:ind w:left="32" w:right="-74"/>
              <w:contextualSpacing/>
              <w:jc w:val="both"/>
              <w:rPr>
                <w:rFonts w:eastAsiaTheme="minorEastAsia" w:cs="Times New Roman"/>
                <w:color w:val="000000"/>
                <w:sz w:val="20"/>
                <w:szCs w:val="20"/>
                <w:lang w:eastAsia="lv-LV"/>
              </w:rPr>
            </w:pPr>
            <w:r w:rsidRPr="638FD9FE">
              <w:rPr>
                <w:rFonts w:eastAsiaTheme="minorEastAsia" w:cs="Times New Roman"/>
                <w:color w:val="000000"/>
                <w:sz w:val="20"/>
                <w:szCs w:val="20"/>
                <w:lang w:eastAsia="lv-LV"/>
              </w:rPr>
              <w:t>6)</w:t>
            </w:r>
            <w:r w:rsidR="00876F63" w:rsidRPr="00777912">
              <w:rPr>
                <w:rFonts w:eastAsiaTheme="minorEastAsia" w:cs="Times New Roman"/>
                <w:color w:val="000000"/>
                <w:sz w:val="20"/>
                <w:szCs w:val="20"/>
                <w:lang w:eastAsia="lv-LV"/>
              </w:rPr>
              <w:tab/>
            </w:r>
            <w:r w:rsidRPr="638FD9FE">
              <w:rPr>
                <w:rFonts w:eastAsiaTheme="minorEastAsia" w:cs="Times New Roman"/>
                <w:color w:val="000000"/>
                <w:sz w:val="20"/>
                <w:szCs w:val="20"/>
                <w:lang w:eastAsia="lv-LV"/>
              </w:rPr>
              <w:t xml:space="preserve"> Pārrobežu posmu izbūves koordinācija</w:t>
            </w:r>
            <w:r w:rsidR="00876F63" w:rsidRPr="638FD9FE">
              <w:rPr>
                <w:rStyle w:val="FootnoteReference"/>
                <w:rFonts w:eastAsiaTheme="minorEastAsia" w:cs="Times New Roman"/>
                <w:color w:val="000000"/>
                <w:sz w:val="20"/>
                <w:szCs w:val="20"/>
                <w:lang w:eastAsia="lv-LV"/>
              </w:rPr>
              <w:footnoteReference w:id="30"/>
            </w:r>
            <w:r w:rsidRPr="638FD9FE">
              <w:rPr>
                <w:rFonts w:eastAsiaTheme="minorEastAsia" w:cs="Times New Roman"/>
                <w:color w:val="000000"/>
                <w:sz w:val="20"/>
                <w:szCs w:val="20"/>
                <w:lang w:eastAsia="lv-LV"/>
              </w:rPr>
              <w:t>.</w:t>
            </w:r>
          </w:p>
          <w:p w14:paraId="4BE33545" w14:textId="77777777" w:rsidR="00876F63" w:rsidRPr="00777912" w:rsidRDefault="4105E55B" w:rsidP="00056AFE">
            <w:pPr>
              <w:tabs>
                <w:tab w:val="left" w:pos="256"/>
                <w:tab w:val="left" w:pos="290"/>
              </w:tabs>
              <w:ind w:left="32" w:right="-74"/>
              <w:contextualSpacing/>
              <w:jc w:val="both"/>
              <w:rPr>
                <w:sz w:val="20"/>
                <w:szCs w:val="20"/>
                <w:lang w:eastAsia="lv-LV"/>
              </w:rPr>
            </w:pPr>
            <w:r w:rsidRPr="638FD9FE">
              <w:rPr>
                <w:rFonts w:eastAsiaTheme="minorEastAsia" w:cs="Times New Roman"/>
                <w:color w:val="000000"/>
                <w:sz w:val="20"/>
                <w:szCs w:val="20"/>
                <w:lang w:eastAsia="lv-LV"/>
              </w:rPr>
              <w:t>7)</w:t>
            </w:r>
            <w:r w:rsidR="00876F63" w:rsidRPr="00777912">
              <w:rPr>
                <w:rFonts w:eastAsiaTheme="minorEastAsia" w:cs="Times New Roman"/>
                <w:color w:val="000000"/>
                <w:sz w:val="20"/>
                <w:szCs w:val="20"/>
                <w:lang w:eastAsia="lv-LV"/>
              </w:rPr>
              <w:tab/>
            </w:r>
            <w:r w:rsidRPr="638FD9FE">
              <w:rPr>
                <w:rFonts w:eastAsiaTheme="minorEastAsia" w:cs="Times New Roman"/>
                <w:color w:val="000000"/>
                <w:sz w:val="20"/>
                <w:szCs w:val="20"/>
                <w:lang w:eastAsia="lv-LV"/>
              </w:rPr>
              <w:t>Vienota veikto darbu kvalitātes kontrole</w:t>
            </w:r>
            <w:r w:rsidR="00876F63" w:rsidRPr="638FD9FE">
              <w:rPr>
                <w:rStyle w:val="FootnoteReference"/>
                <w:rFonts w:eastAsiaTheme="minorEastAsia" w:cs="Times New Roman"/>
                <w:color w:val="000000"/>
                <w:sz w:val="20"/>
                <w:szCs w:val="20"/>
                <w:lang w:eastAsia="lv-LV"/>
              </w:rPr>
              <w:footnoteReference w:id="31"/>
            </w:r>
            <w:r w:rsidRPr="638FD9FE">
              <w:rPr>
                <w:rFonts w:eastAsiaTheme="minorEastAsia" w:cs="Times New Roman"/>
                <w:color w:val="000000"/>
                <w:sz w:val="20"/>
                <w:szCs w:val="20"/>
                <w:lang w:eastAsia="lv-LV"/>
              </w:rPr>
              <w:t>.</w:t>
            </w:r>
          </w:p>
          <w:p w14:paraId="2CE0F6DC" w14:textId="1FB04820" w:rsidR="73262A5D" w:rsidRDefault="244A6C55" w:rsidP="0595A900">
            <w:pPr>
              <w:tabs>
                <w:tab w:val="left" w:pos="256"/>
                <w:tab w:val="left" w:pos="290"/>
              </w:tabs>
              <w:ind w:left="32" w:right="-74"/>
              <w:contextualSpacing/>
              <w:jc w:val="both"/>
              <w:rPr>
                <w:rFonts w:eastAsiaTheme="minorEastAsia" w:cs="Times New Roman"/>
                <w:color w:val="000000" w:themeColor="text1"/>
                <w:sz w:val="20"/>
                <w:szCs w:val="20"/>
                <w:lang w:eastAsia="lv-LV"/>
              </w:rPr>
            </w:pPr>
            <w:r w:rsidRPr="0595A900">
              <w:rPr>
                <w:rFonts w:eastAsiaTheme="minorEastAsia" w:cs="Times New Roman"/>
                <w:color w:val="000000" w:themeColor="text1"/>
                <w:sz w:val="20"/>
                <w:szCs w:val="20"/>
                <w:lang w:eastAsia="lv-LV"/>
              </w:rPr>
              <w:t>8) Vienota projekta progresa komunikācijas koordinēšana un uzraudzība, t.sk. stratēģiskā un krīžu komunikācija</w:t>
            </w:r>
            <w:r w:rsidR="37374E5F" w:rsidRPr="0595A900">
              <w:rPr>
                <w:rFonts w:eastAsiaTheme="minorEastAsia" w:cs="Times New Roman"/>
                <w:color w:val="000000" w:themeColor="text1"/>
                <w:sz w:val="20"/>
                <w:szCs w:val="20"/>
                <w:lang w:eastAsia="lv-LV"/>
              </w:rPr>
              <w:t>.</w:t>
            </w:r>
          </w:p>
          <w:p w14:paraId="667F6B4F" w14:textId="77777777" w:rsidR="00876F63" w:rsidRPr="00777912" w:rsidRDefault="00876F63" w:rsidP="00056AFE">
            <w:pPr>
              <w:tabs>
                <w:tab w:val="left" w:pos="256"/>
                <w:tab w:val="left" w:pos="290"/>
              </w:tabs>
              <w:ind w:left="32" w:right="-74"/>
              <w:contextualSpacing/>
              <w:jc w:val="both"/>
              <w:rPr>
                <w:rFonts w:eastAsiaTheme="minorEastAsia" w:cs="Times New Roman"/>
                <w:color w:val="000000"/>
                <w:sz w:val="20"/>
                <w:szCs w:val="20"/>
                <w:lang w:eastAsia="lv-LV"/>
              </w:rPr>
            </w:pPr>
          </w:p>
        </w:tc>
        <w:tc>
          <w:tcPr>
            <w:tcW w:w="3134" w:type="dxa"/>
          </w:tcPr>
          <w:p w14:paraId="4144AE56" w14:textId="6038777D" w:rsidR="00876F63" w:rsidRPr="00777912" w:rsidRDefault="00876F63" w:rsidP="00056AFE">
            <w:pPr>
              <w:tabs>
                <w:tab w:val="left" w:pos="290"/>
                <w:tab w:val="left" w:pos="391"/>
              </w:tabs>
              <w:ind w:left="32"/>
              <w:contextualSpacing/>
              <w:jc w:val="both"/>
              <w:rPr>
                <w:rFonts w:eastAsiaTheme="minorEastAsia" w:cs="Times New Roman"/>
                <w:color w:val="000000"/>
                <w:sz w:val="20"/>
                <w:szCs w:val="20"/>
                <w:lang w:eastAsia="lv-LV"/>
              </w:rPr>
            </w:pPr>
            <w:r w:rsidRPr="00777912">
              <w:rPr>
                <w:rFonts w:eastAsiaTheme="minorEastAsia" w:cs="Times New Roman"/>
                <w:color w:val="000000"/>
                <w:sz w:val="20"/>
                <w:szCs w:val="20"/>
                <w:lang w:eastAsia="lv-LV"/>
              </w:rPr>
              <w:lastRenderedPageBreak/>
              <w:t xml:space="preserve">Papildus uzņemtajām līgumsaistībām, </w:t>
            </w:r>
            <w:r w:rsidR="0074220C">
              <w:rPr>
                <w:rFonts w:eastAsiaTheme="minorEastAsia" w:cs="Times New Roman"/>
                <w:color w:val="000000"/>
                <w:sz w:val="20"/>
                <w:szCs w:val="20"/>
                <w:lang w:eastAsia="lv-LV"/>
              </w:rPr>
              <w:t>EDZL</w:t>
            </w:r>
            <w:r w:rsidRPr="00777912">
              <w:rPr>
                <w:rFonts w:eastAsiaTheme="minorEastAsia" w:cs="Times New Roman"/>
                <w:color w:val="000000"/>
                <w:sz w:val="20"/>
                <w:szCs w:val="20"/>
                <w:lang w:eastAsia="lv-LV"/>
              </w:rPr>
              <w:t>:</w:t>
            </w:r>
          </w:p>
          <w:p w14:paraId="02E0DDA8" w14:textId="77777777" w:rsidR="00876F63" w:rsidRPr="00777912" w:rsidRDefault="00876F63" w:rsidP="00911792">
            <w:pPr>
              <w:pStyle w:val="ListParagraph"/>
              <w:numPr>
                <w:ilvl w:val="0"/>
                <w:numId w:val="27"/>
              </w:numPr>
              <w:tabs>
                <w:tab w:val="left" w:pos="290"/>
                <w:tab w:val="left" w:pos="391"/>
              </w:tabs>
              <w:ind w:left="32" w:firstLine="0"/>
              <w:rPr>
                <w:rFonts w:eastAsiaTheme="minorEastAsia" w:cs="Times New Roman"/>
                <w:color w:val="000000"/>
                <w:sz w:val="20"/>
                <w:szCs w:val="20"/>
                <w:lang w:eastAsia="lv-LV"/>
              </w:rPr>
            </w:pPr>
            <w:r w:rsidRPr="00777912">
              <w:rPr>
                <w:rFonts w:eastAsiaTheme="minorEastAsia" w:cs="Times New Roman"/>
                <w:color w:val="000000"/>
                <w:sz w:val="20"/>
                <w:szCs w:val="20"/>
                <w:lang w:eastAsia="lv-LV"/>
              </w:rPr>
              <w:t>Rail Baltica projekta īstenošanai (t.sk. būvniecībai) nepieciešamo nekustamo īpašumu atsavināšana iekļaujoties sākotnēji noteiktajos termiņos. Nekustamo īpašumu apsaimniekošana</w:t>
            </w:r>
            <w:r>
              <w:rPr>
                <w:rFonts w:eastAsiaTheme="minorEastAsia" w:cs="Times New Roman"/>
                <w:color w:val="000000"/>
                <w:sz w:val="20"/>
                <w:szCs w:val="20"/>
                <w:lang w:eastAsia="lv-LV"/>
              </w:rPr>
              <w:t xml:space="preserve"> </w:t>
            </w:r>
            <w:r w:rsidRPr="00777912">
              <w:rPr>
                <w:rFonts w:eastAsiaTheme="minorEastAsia" w:cs="Times New Roman"/>
                <w:color w:val="000000"/>
                <w:sz w:val="20"/>
                <w:szCs w:val="20"/>
                <w:lang w:eastAsia="lv-LV"/>
              </w:rPr>
              <w:t>atbilstoši pieejamajam finansējumam līdz būvdarbu uzsākšanai šajos īpašumos un būvdarbu starplaikos, ja tādi iestāsies.</w:t>
            </w:r>
          </w:p>
          <w:p w14:paraId="07A4234B" w14:textId="77777777" w:rsidR="00876F63" w:rsidRPr="00777912" w:rsidRDefault="00876F63" w:rsidP="00911792">
            <w:pPr>
              <w:pStyle w:val="ListParagraph"/>
              <w:numPr>
                <w:ilvl w:val="0"/>
                <w:numId w:val="27"/>
              </w:numPr>
              <w:tabs>
                <w:tab w:val="left" w:pos="290"/>
              </w:tabs>
              <w:ind w:left="32" w:firstLine="0"/>
              <w:rPr>
                <w:rFonts w:cs="Times New Roman"/>
                <w:color w:val="000000"/>
                <w:sz w:val="20"/>
                <w:szCs w:val="20"/>
              </w:rPr>
            </w:pPr>
            <w:r w:rsidRPr="00777912">
              <w:rPr>
                <w:rFonts w:cs="Times New Roman"/>
                <w:color w:val="000000"/>
                <w:sz w:val="20"/>
                <w:szCs w:val="20"/>
              </w:rPr>
              <w:lastRenderedPageBreak/>
              <w:t>Līguma grozījumu sagatavošana,  apstiprināšana</w:t>
            </w:r>
            <w:r>
              <w:rPr>
                <w:rFonts w:cs="Times New Roman"/>
                <w:color w:val="000000"/>
                <w:sz w:val="20"/>
                <w:szCs w:val="20"/>
              </w:rPr>
              <w:t xml:space="preserve">, </w:t>
            </w:r>
            <w:r w:rsidRPr="00777912">
              <w:rPr>
                <w:rFonts w:cs="Times New Roman"/>
                <w:color w:val="000000"/>
                <w:sz w:val="20"/>
                <w:szCs w:val="20"/>
              </w:rPr>
              <w:t xml:space="preserve">līguma vadība. </w:t>
            </w:r>
          </w:p>
          <w:p w14:paraId="3EEA9CA3" w14:textId="77777777" w:rsidR="00876F63" w:rsidRPr="00777912" w:rsidRDefault="00876F63" w:rsidP="00911792">
            <w:pPr>
              <w:pStyle w:val="ListParagraph"/>
              <w:numPr>
                <w:ilvl w:val="0"/>
                <w:numId w:val="27"/>
              </w:numPr>
              <w:tabs>
                <w:tab w:val="left" w:pos="290"/>
                <w:tab w:val="left" w:pos="391"/>
              </w:tabs>
              <w:ind w:left="32" w:firstLine="0"/>
              <w:rPr>
                <w:rFonts w:eastAsiaTheme="minorEastAsia" w:cs="Times New Roman"/>
                <w:color w:val="000000"/>
                <w:sz w:val="20"/>
                <w:szCs w:val="20"/>
                <w:lang w:eastAsia="lv-LV"/>
              </w:rPr>
            </w:pPr>
            <w:r w:rsidRPr="00777912">
              <w:rPr>
                <w:rFonts w:cs="Times New Roman"/>
                <w:color w:val="000000"/>
                <w:sz w:val="20"/>
                <w:szCs w:val="20"/>
              </w:rPr>
              <w:t>Inženierbūvju pieņemšana ekspluatācijā  un to nodošana ENE/CCS būvdarbu veicējam.</w:t>
            </w:r>
          </w:p>
          <w:p w14:paraId="4987E003" w14:textId="77777777" w:rsidR="00876F63" w:rsidRPr="00777912" w:rsidRDefault="00876F63" w:rsidP="00911792">
            <w:pPr>
              <w:pStyle w:val="ListParagraph"/>
              <w:numPr>
                <w:ilvl w:val="0"/>
                <w:numId w:val="27"/>
              </w:numPr>
              <w:tabs>
                <w:tab w:val="left" w:pos="290"/>
                <w:tab w:val="left" w:pos="391"/>
              </w:tabs>
              <w:ind w:left="32" w:firstLine="0"/>
              <w:rPr>
                <w:rFonts w:eastAsiaTheme="minorEastAsia" w:cs="Times New Roman"/>
                <w:color w:val="000000"/>
                <w:sz w:val="20"/>
                <w:szCs w:val="20"/>
                <w:lang w:eastAsia="lv-LV"/>
              </w:rPr>
            </w:pPr>
            <w:r>
              <w:rPr>
                <w:rFonts w:eastAsiaTheme="minorEastAsia" w:cs="Times New Roman"/>
                <w:color w:val="000000"/>
                <w:sz w:val="20"/>
                <w:szCs w:val="20"/>
                <w:lang w:eastAsia="lv-LV"/>
              </w:rPr>
              <w:t>A</w:t>
            </w:r>
            <w:r w:rsidRPr="00777912">
              <w:rPr>
                <w:rFonts w:eastAsiaTheme="minorEastAsia" w:cs="Times New Roman"/>
                <w:color w:val="000000"/>
                <w:sz w:val="20"/>
                <w:szCs w:val="20"/>
                <w:lang w:eastAsia="lv-LV"/>
              </w:rPr>
              <w:t xml:space="preserve">tbalsta sniegšana  </w:t>
            </w:r>
            <w:r>
              <w:rPr>
                <w:rFonts w:eastAsiaTheme="minorEastAsia" w:cs="Times New Roman"/>
                <w:color w:val="000000"/>
                <w:sz w:val="20"/>
                <w:szCs w:val="20"/>
                <w:lang w:eastAsia="lv-LV"/>
              </w:rPr>
              <w:t>RBR</w:t>
            </w:r>
            <w:r w:rsidRPr="00777912">
              <w:rPr>
                <w:rFonts w:eastAsiaTheme="minorEastAsia" w:cs="Times New Roman"/>
                <w:color w:val="000000"/>
                <w:sz w:val="20"/>
                <w:szCs w:val="20"/>
                <w:lang w:eastAsia="lv-LV"/>
              </w:rPr>
              <w:t xml:space="preserve"> </w:t>
            </w:r>
            <w:r>
              <w:rPr>
                <w:rFonts w:eastAsiaTheme="minorEastAsia" w:cs="Times New Roman"/>
                <w:color w:val="000000"/>
                <w:sz w:val="20"/>
                <w:szCs w:val="20"/>
                <w:lang w:eastAsia="lv-LV"/>
              </w:rPr>
              <w:t xml:space="preserve">un SM </w:t>
            </w:r>
            <w:r w:rsidRPr="00777912">
              <w:rPr>
                <w:rFonts w:eastAsiaTheme="minorEastAsia" w:cs="Times New Roman"/>
                <w:color w:val="000000"/>
                <w:sz w:val="20"/>
                <w:szCs w:val="20"/>
                <w:lang w:eastAsia="lv-LV"/>
              </w:rPr>
              <w:t xml:space="preserve">Eiropas infrastruktūras savienošanas instrumenta </w:t>
            </w:r>
            <w:r>
              <w:rPr>
                <w:rFonts w:eastAsiaTheme="minorEastAsia" w:cs="Times New Roman"/>
                <w:color w:val="000000"/>
                <w:sz w:val="20"/>
                <w:szCs w:val="20"/>
                <w:lang w:eastAsia="lv-LV"/>
              </w:rPr>
              <w:t xml:space="preserve">un </w:t>
            </w:r>
            <w:r w:rsidRPr="00777912">
              <w:rPr>
                <w:rFonts w:eastAsiaTheme="minorEastAsia" w:cs="Times New Roman"/>
                <w:color w:val="000000"/>
                <w:sz w:val="20"/>
                <w:szCs w:val="20"/>
                <w:lang w:eastAsia="lv-LV"/>
              </w:rPr>
              <w:t xml:space="preserve">militārās mobilitātes aploksnes pieteikumu sagatavošanā. </w:t>
            </w:r>
          </w:p>
          <w:p w14:paraId="7CA9B697" w14:textId="77777777" w:rsidR="00876F63" w:rsidRPr="00777912" w:rsidRDefault="00876F63" w:rsidP="00911792">
            <w:pPr>
              <w:pStyle w:val="ListParagraph"/>
              <w:numPr>
                <w:ilvl w:val="0"/>
                <w:numId w:val="27"/>
              </w:numPr>
              <w:tabs>
                <w:tab w:val="left" w:pos="290"/>
                <w:tab w:val="left" w:pos="391"/>
              </w:tabs>
              <w:ind w:left="32" w:firstLine="0"/>
              <w:rPr>
                <w:rFonts w:eastAsiaTheme="minorEastAsia" w:cs="Times New Roman"/>
                <w:color w:val="000000"/>
                <w:sz w:val="20"/>
                <w:szCs w:val="20"/>
                <w:lang w:eastAsia="lv-LV"/>
              </w:rPr>
            </w:pPr>
            <w:r>
              <w:rPr>
                <w:rFonts w:eastAsiaTheme="minorEastAsia" w:cs="Times New Roman"/>
                <w:color w:val="000000"/>
                <w:sz w:val="20"/>
                <w:szCs w:val="20"/>
                <w:lang w:eastAsia="lv-LV"/>
              </w:rPr>
              <w:t>P</w:t>
            </w:r>
            <w:r w:rsidRPr="00777912">
              <w:rPr>
                <w:rFonts w:eastAsiaTheme="minorEastAsia" w:cs="Times New Roman"/>
                <w:color w:val="000000"/>
                <w:sz w:val="20"/>
                <w:szCs w:val="20"/>
                <w:lang w:eastAsia="lv-LV"/>
              </w:rPr>
              <w:t>ublisko iepirkumu procedūras veikšana un attiecīgu līgumu slēgšanas nodrošināšana, izpildes kontrole, informācijas un publicitātes pasākumu īstenošana deleģēto funkciju ietvaros.</w:t>
            </w:r>
          </w:p>
          <w:p w14:paraId="7DD69994" w14:textId="77777777" w:rsidR="00876F63" w:rsidRPr="0046641D" w:rsidRDefault="6260B53E" w:rsidP="00911792">
            <w:pPr>
              <w:pStyle w:val="ListParagraph"/>
              <w:numPr>
                <w:ilvl w:val="0"/>
                <w:numId w:val="27"/>
              </w:numPr>
              <w:tabs>
                <w:tab w:val="left" w:pos="290"/>
              </w:tabs>
              <w:ind w:left="32" w:firstLine="0"/>
              <w:rPr>
                <w:sz w:val="20"/>
                <w:szCs w:val="20"/>
                <w:lang w:eastAsia="lv-LV"/>
              </w:rPr>
            </w:pPr>
            <w:r w:rsidRPr="0595A900">
              <w:rPr>
                <w:rFonts w:eastAsiaTheme="minorEastAsia" w:cs="Times New Roman"/>
                <w:color w:val="000000" w:themeColor="text1"/>
                <w:sz w:val="20"/>
                <w:szCs w:val="20"/>
                <w:lang w:eastAsia="lv-LV"/>
              </w:rPr>
              <w:t>Atbalsta nodrošināšana SM Ministru kabineta ar Rail Baltica projekta īstenošanu saistīto starpnozaru jautājumu risināšanas tematiskās komitejas darbā.</w:t>
            </w:r>
          </w:p>
          <w:p w14:paraId="15CEC774" w14:textId="7B3D5CAB" w:rsidR="00FF3215" w:rsidRPr="00777912" w:rsidRDefault="21D539C8" w:rsidP="00911792">
            <w:pPr>
              <w:pStyle w:val="ListParagraph"/>
              <w:numPr>
                <w:ilvl w:val="0"/>
                <w:numId w:val="27"/>
              </w:numPr>
              <w:tabs>
                <w:tab w:val="left" w:pos="290"/>
              </w:tabs>
              <w:ind w:left="32" w:firstLine="0"/>
              <w:rPr>
                <w:sz w:val="20"/>
                <w:szCs w:val="20"/>
                <w:lang w:eastAsia="lv-LV"/>
              </w:rPr>
            </w:pPr>
            <w:r w:rsidRPr="0595A900">
              <w:rPr>
                <w:sz w:val="20"/>
                <w:szCs w:val="20"/>
                <w:lang w:eastAsia="lv-LV"/>
              </w:rPr>
              <w:t>Visaptveroša</w:t>
            </w:r>
            <w:r w:rsidR="513AA83E" w:rsidRPr="0595A900">
              <w:rPr>
                <w:sz w:val="20"/>
                <w:szCs w:val="20"/>
                <w:lang w:eastAsia="lv-LV"/>
              </w:rPr>
              <w:t xml:space="preserve"> Līguma</w:t>
            </w:r>
            <w:r w:rsidRPr="0595A900">
              <w:rPr>
                <w:sz w:val="20"/>
                <w:szCs w:val="20"/>
                <w:lang w:eastAsia="lv-LV"/>
              </w:rPr>
              <w:t xml:space="preserve"> risku vadība</w:t>
            </w:r>
            <w:r w:rsidR="0020202C">
              <w:rPr>
                <w:sz w:val="20"/>
                <w:szCs w:val="20"/>
                <w:lang w:eastAsia="lv-LV"/>
              </w:rPr>
              <w:t>.</w:t>
            </w:r>
          </w:p>
        </w:tc>
      </w:tr>
    </w:tbl>
    <w:p w14:paraId="406EF4A4" w14:textId="77777777" w:rsidR="00120B11" w:rsidRPr="00120B11" w:rsidRDefault="00120B11" w:rsidP="00056AFE">
      <w:pPr>
        <w:spacing w:after="0" w:line="240" w:lineRule="auto"/>
        <w:contextualSpacing/>
        <w:rPr>
          <w:rFonts w:eastAsiaTheme="minorEastAsia" w:cs="Times New Roman"/>
          <w:b/>
          <w:bCs/>
          <w:color w:val="000000"/>
          <w:szCs w:val="24"/>
          <w:lang w:eastAsia="lv-LV"/>
        </w:rPr>
      </w:pPr>
    </w:p>
    <w:p w14:paraId="2323CA91" w14:textId="104B3B2C" w:rsidR="00572FD4" w:rsidRPr="003C2388" w:rsidRDefault="000D276A" w:rsidP="001D5E77">
      <w:pPr>
        <w:spacing w:after="0" w:line="240" w:lineRule="auto"/>
        <w:jc w:val="center"/>
        <w:rPr>
          <w:rFonts w:eastAsiaTheme="minorEastAsia" w:cs="Times New Roman"/>
          <w:b/>
          <w:bCs/>
          <w:color w:val="000000"/>
          <w:szCs w:val="24"/>
          <w:lang w:eastAsia="lv-LV"/>
        </w:rPr>
      </w:pPr>
      <w:r w:rsidRPr="003C2388">
        <w:rPr>
          <w:rFonts w:eastAsiaTheme="minorEastAsia" w:cs="Times New Roman"/>
          <w:b/>
          <w:bCs/>
          <w:color w:val="000000"/>
          <w:sz w:val="24"/>
          <w:szCs w:val="24"/>
          <w:lang w:eastAsia="lv-LV"/>
        </w:rPr>
        <w:t>Kopsavilkums</w:t>
      </w:r>
    </w:p>
    <w:p w14:paraId="5DE164F6" w14:textId="4D85297A" w:rsidR="00E06622" w:rsidRPr="00280A1A" w:rsidRDefault="00651F21" w:rsidP="638FD9FE">
      <w:pPr>
        <w:tabs>
          <w:tab w:val="left" w:pos="567"/>
        </w:tabs>
        <w:spacing w:after="0" w:line="240" w:lineRule="auto"/>
        <w:contextualSpacing/>
        <w:jc w:val="both"/>
        <w:rPr>
          <w:rFonts w:eastAsiaTheme="minorEastAsia" w:cs="Times New Roman"/>
          <w:sz w:val="24"/>
          <w:szCs w:val="24"/>
          <w:lang w:eastAsia="lv-LV"/>
        </w:rPr>
      </w:pPr>
      <w:r>
        <w:rPr>
          <w:rFonts w:eastAsia="Times New Roman" w:cs="Times New Roman"/>
          <w:color w:val="333333"/>
          <w:sz w:val="24"/>
          <w:szCs w:val="24"/>
          <w:lang w:eastAsia="en-GB"/>
        </w:rPr>
        <w:tab/>
      </w:r>
      <w:r w:rsidR="4AF01738" w:rsidRPr="00B71A17">
        <w:rPr>
          <w:rFonts w:eastAsia="Times New Roman" w:cs="Times New Roman"/>
          <w:sz w:val="24"/>
          <w:szCs w:val="24"/>
          <w:lang w:eastAsia="en-GB"/>
        </w:rPr>
        <w:t>Apkopojot iepriekš minēto</w:t>
      </w:r>
      <w:r w:rsidR="5FC885E7" w:rsidRPr="00B71A17">
        <w:rPr>
          <w:rFonts w:eastAsia="Times New Roman" w:cs="Times New Roman"/>
          <w:sz w:val="24"/>
          <w:szCs w:val="24"/>
          <w:lang w:eastAsia="en-GB"/>
        </w:rPr>
        <w:t xml:space="preserve"> un</w:t>
      </w:r>
      <w:r w:rsidR="1D01964F" w:rsidRPr="00B71A17">
        <w:rPr>
          <w:rFonts w:eastAsia="Times New Roman" w:cs="Times New Roman"/>
          <w:sz w:val="24"/>
          <w:szCs w:val="24"/>
          <w:lang w:eastAsia="en-GB"/>
        </w:rPr>
        <w:t xml:space="preserve"> ņemot vērā norādītos </w:t>
      </w:r>
      <w:r w:rsidR="09C7CE82">
        <w:rPr>
          <w:rFonts w:eastAsia="Times New Roman" w:cs="Times New Roman"/>
          <w:sz w:val="24"/>
          <w:szCs w:val="24"/>
          <w:lang w:eastAsia="en-GB"/>
        </w:rPr>
        <w:t xml:space="preserve">nozīmīgos </w:t>
      </w:r>
      <w:r w:rsidR="1D01964F" w:rsidRPr="00B71A17">
        <w:rPr>
          <w:rFonts w:eastAsia="Times New Roman" w:cs="Times New Roman"/>
          <w:sz w:val="24"/>
          <w:szCs w:val="24"/>
          <w:lang w:eastAsia="en-GB"/>
        </w:rPr>
        <w:t xml:space="preserve">projekta riskus, </w:t>
      </w:r>
      <w:r w:rsidR="4AF01738" w:rsidRPr="00B71A17">
        <w:rPr>
          <w:rFonts w:eastAsia="Times New Roman" w:cs="Times New Roman"/>
          <w:sz w:val="24"/>
          <w:szCs w:val="24"/>
          <w:lang w:eastAsia="en-GB"/>
        </w:rPr>
        <w:t xml:space="preserve">secināms, ka konceptuāli ir atbalstāma </w:t>
      </w:r>
      <w:r w:rsidR="7DD525DE" w:rsidRPr="00B71A17">
        <w:rPr>
          <w:rFonts w:eastAsia="Times New Roman" w:cs="Times New Roman"/>
          <w:sz w:val="24"/>
          <w:szCs w:val="24"/>
          <w:lang w:eastAsia="en-GB"/>
        </w:rPr>
        <w:t>Rail Baltica projekta pamattrases būvniecības līguma parakstīšan</w:t>
      </w:r>
      <w:r w:rsidR="6E22BF5D" w:rsidRPr="00B71A17">
        <w:rPr>
          <w:rFonts w:eastAsia="Times New Roman" w:cs="Times New Roman"/>
          <w:sz w:val="24"/>
          <w:szCs w:val="24"/>
          <w:lang w:eastAsia="en-GB"/>
        </w:rPr>
        <w:t>a,</w:t>
      </w:r>
      <w:r w:rsidR="7DD525DE" w:rsidRPr="00B71A17">
        <w:rPr>
          <w:rFonts w:eastAsia="Times New Roman" w:cs="Times New Roman"/>
          <w:sz w:val="24"/>
          <w:szCs w:val="24"/>
          <w:lang w:eastAsia="en-GB"/>
        </w:rPr>
        <w:t xml:space="preserve"> sākotnēji pasūtot informatīvajā ziņojumā minētos </w:t>
      </w:r>
      <w:r w:rsidR="5D137738" w:rsidRPr="00B71A17">
        <w:rPr>
          <w:rFonts w:eastAsia="Times New Roman" w:cs="Times New Roman"/>
          <w:sz w:val="24"/>
          <w:szCs w:val="24"/>
          <w:lang w:eastAsia="en-GB"/>
        </w:rPr>
        <w:t>I</w:t>
      </w:r>
      <w:r w:rsidR="7DD525DE" w:rsidRPr="00B71A17">
        <w:rPr>
          <w:rFonts w:eastAsia="Times New Roman" w:cs="Times New Roman"/>
          <w:sz w:val="24"/>
          <w:szCs w:val="24"/>
          <w:lang w:eastAsia="en-GB"/>
        </w:rPr>
        <w:t xml:space="preserve"> kārtas darbus.</w:t>
      </w:r>
      <w:r w:rsidR="1EBC3167" w:rsidRPr="00B71A17">
        <w:rPr>
          <w:rFonts w:eastAsia="Times New Roman" w:cs="Times New Roman"/>
          <w:sz w:val="24"/>
          <w:szCs w:val="24"/>
          <w:lang w:eastAsia="en-GB"/>
        </w:rPr>
        <w:t xml:space="preserve"> </w:t>
      </w:r>
      <w:r w:rsidR="00911E28">
        <w:rPr>
          <w:rFonts w:eastAsia="Times New Roman" w:cs="Times New Roman"/>
          <w:sz w:val="24"/>
          <w:szCs w:val="24"/>
          <w:lang w:eastAsia="en-GB"/>
        </w:rPr>
        <w:t xml:space="preserve">Papildus jāņem vērā, </w:t>
      </w:r>
      <w:r w:rsidR="00A12CD3">
        <w:rPr>
          <w:rFonts w:eastAsia="Times New Roman" w:cs="Times New Roman"/>
          <w:sz w:val="24"/>
          <w:szCs w:val="24"/>
          <w:lang w:eastAsia="en-GB"/>
        </w:rPr>
        <w:t xml:space="preserve">ka </w:t>
      </w:r>
      <w:r w:rsidR="1EA3C4D5" w:rsidRPr="638FD9FE">
        <w:rPr>
          <w:rFonts w:eastAsia="Times New Roman" w:cs="Times New Roman"/>
          <w:sz w:val="24"/>
          <w:szCs w:val="24"/>
          <w:lang w:eastAsia="en-GB"/>
        </w:rPr>
        <w:t xml:space="preserve"> Latvija </w:t>
      </w:r>
      <w:r w:rsidR="00911E28">
        <w:rPr>
          <w:rFonts w:eastAsia="Times New Roman" w:cs="Times New Roman"/>
          <w:sz w:val="24"/>
          <w:szCs w:val="24"/>
          <w:lang w:eastAsia="en-GB"/>
        </w:rPr>
        <w:t xml:space="preserve">jau ir </w:t>
      </w:r>
      <w:r w:rsidR="7DD525DE" w:rsidRPr="00B71A17">
        <w:rPr>
          <w:rFonts w:eastAsia="Times New Roman" w:cs="Times New Roman"/>
          <w:sz w:val="24"/>
          <w:szCs w:val="24"/>
          <w:lang w:eastAsia="en-GB"/>
        </w:rPr>
        <w:t>uzņ</w:t>
      </w:r>
      <w:r w:rsidR="00F82139">
        <w:rPr>
          <w:rFonts w:eastAsia="Times New Roman" w:cs="Times New Roman"/>
          <w:sz w:val="24"/>
          <w:szCs w:val="24"/>
          <w:lang w:eastAsia="en-GB"/>
        </w:rPr>
        <w:t xml:space="preserve">ēmusies </w:t>
      </w:r>
      <w:r w:rsidR="00AD615E">
        <w:rPr>
          <w:rFonts w:eastAsia="Times New Roman" w:cs="Times New Roman"/>
          <w:sz w:val="24"/>
          <w:szCs w:val="24"/>
          <w:lang w:eastAsia="en-GB"/>
        </w:rPr>
        <w:t xml:space="preserve">I </w:t>
      </w:r>
      <w:r w:rsidR="00AC4180">
        <w:rPr>
          <w:rFonts w:eastAsia="Times New Roman" w:cs="Times New Roman"/>
          <w:sz w:val="24"/>
          <w:szCs w:val="24"/>
          <w:lang w:eastAsia="en-GB"/>
        </w:rPr>
        <w:t xml:space="preserve">kārtas darbu pasūtīšanai </w:t>
      </w:r>
      <w:r w:rsidR="00F56946">
        <w:rPr>
          <w:rFonts w:eastAsia="Times New Roman" w:cs="Times New Roman"/>
          <w:sz w:val="24"/>
          <w:szCs w:val="24"/>
          <w:lang w:eastAsia="en-GB"/>
        </w:rPr>
        <w:t xml:space="preserve">nepieciešamās </w:t>
      </w:r>
      <w:r w:rsidR="7DD525DE" w:rsidRPr="00B71A17">
        <w:rPr>
          <w:rFonts w:eastAsia="Times New Roman" w:cs="Times New Roman"/>
          <w:sz w:val="24"/>
          <w:szCs w:val="24"/>
          <w:lang w:eastAsia="en-GB"/>
        </w:rPr>
        <w:t xml:space="preserve">valsts budžeta saistības 200 186 030 </w:t>
      </w:r>
      <w:r w:rsidR="002C5510" w:rsidRPr="002C5510">
        <w:rPr>
          <w:rFonts w:eastAsia="Times New Roman" w:cs="Times New Roman"/>
          <w:i/>
          <w:sz w:val="24"/>
          <w:szCs w:val="24"/>
          <w:lang w:eastAsia="en-GB"/>
        </w:rPr>
        <w:t>euro</w:t>
      </w:r>
      <w:r w:rsidR="7DD525DE" w:rsidRPr="00B71A17">
        <w:rPr>
          <w:rFonts w:eastAsia="Times New Roman" w:cs="Times New Roman"/>
          <w:sz w:val="24"/>
          <w:szCs w:val="24"/>
          <w:lang w:eastAsia="en-GB"/>
        </w:rPr>
        <w:t xml:space="preserve"> apmērā, </w:t>
      </w:r>
      <w:r w:rsidR="206ADD28" w:rsidRPr="00B71A17">
        <w:rPr>
          <w:rFonts w:eastAsia="Times New Roman" w:cs="Times New Roman"/>
          <w:sz w:val="24"/>
          <w:szCs w:val="24"/>
          <w:lang w:eastAsia="en-GB"/>
        </w:rPr>
        <w:t>ieskaitot</w:t>
      </w:r>
      <w:r w:rsidR="7DD525DE" w:rsidRPr="00B71A17">
        <w:rPr>
          <w:rFonts w:eastAsia="Times New Roman" w:cs="Times New Roman"/>
          <w:sz w:val="24"/>
          <w:szCs w:val="24"/>
          <w:lang w:eastAsia="en-GB"/>
        </w:rPr>
        <w:t xml:space="preserve"> Latvijas  </w:t>
      </w:r>
      <w:r w:rsidR="48A5FB22" w:rsidRPr="00B71A17">
        <w:rPr>
          <w:rFonts w:eastAsia="Times New Roman" w:cs="Times New Roman"/>
          <w:sz w:val="24"/>
          <w:szCs w:val="24"/>
          <w:lang w:eastAsia="en-GB"/>
        </w:rPr>
        <w:t>līdzfinansē</w:t>
      </w:r>
      <w:r w:rsidR="4AAF5EAF" w:rsidRPr="00B71A17">
        <w:rPr>
          <w:rFonts w:eastAsia="Times New Roman" w:cs="Times New Roman"/>
          <w:sz w:val="24"/>
          <w:szCs w:val="24"/>
          <w:lang w:eastAsia="en-GB"/>
        </w:rPr>
        <w:t>jumu</w:t>
      </w:r>
      <w:r w:rsidR="7DD525DE" w:rsidRPr="638FD9FE">
        <w:rPr>
          <w:rFonts w:eastAsia="Times New Roman" w:cs="Times New Roman"/>
          <w:sz w:val="24"/>
          <w:szCs w:val="24"/>
          <w:lang w:eastAsia="en-GB"/>
        </w:rPr>
        <w:t xml:space="preserve"> </w:t>
      </w:r>
      <w:r w:rsidR="0061063D" w:rsidRPr="00B71A17">
        <w:rPr>
          <w:rFonts w:eastAsia="Times New Roman" w:cs="Times New Roman"/>
          <w:sz w:val="24"/>
          <w:szCs w:val="24"/>
          <w:lang w:eastAsia="en-GB"/>
        </w:rPr>
        <w:t xml:space="preserve">43 299 777 </w:t>
      </w:r>
      <w:r w:rsidR="002C5510" w:rsidRPr="002C5510">
        <w:rPr>
          <w:rFonts w:eastAsia="Times New Roman" w:cs="Times New Roman"/>
          <w:i/>
          <w:sz w:val="24"/>
          <w:szCs w:val="24"/>
          <w:lang w:eastAsia="en-GB"/>
        </w:rPr>
        <w:t>euro</w:t>
      </w:r>
      <w:r w:rsidR="0061063D" w:rsidRPr="00B71A17">
        <w:rPr>
          <w:rFonts w:eastAsia="Times New Roman" w:cs="Times New Roman"/>
          <w:sz w:val="24"/>
          <w:szCs w:val="24"/>
          <w:lang w:eastAsia="en-GB"/>
        </w:rPr>
        <w:t xml:space="preserve"> apmērā</w:t>
      </w:r>
      <w:r w:rsidR="0061063D" w:rsidRPr="638FD9FE">
        <w:rPr>
          <w:rFonts w:eastAsia="Times New Roman" w:cs="Times New Roman"/>
          <w:sz w:val="24"/>
          <w:szCs w:val="24"/>
          <w:lang w:eastAsia="en-GB"/>
        </w:rPr>
        <w:t xml:space="preserve"> </w:t>
      </w:r>
      <w:r w:rsidR="7DD525DE" w:rsidRPr="638FD9FE">
        <w:rPr>
          <w:rFonts w:eastAsia="Times New Roman" w:cs="Times New Roman"/>
          <w:sz w:val="24"/>
          <w:szCs w:val="24"/>
          <w:lang w:eastAsia="en-GB"/>
        </w:rPr>
        <w:t>un pievienotās vērtības nodokļa kompensēšanu</w:t>
      </w:r>
      <w:r w:rsidR="00DB182D">
        <w:rPr>
          <w:rFonts w:eastAsia="Times New Roman" w:cs="Times New Roman"/>
          <w:sz w:val="24"/>
          <w:szCs w:val="24"/>
          <w:lang w:eastAsia="en-GB"/>
        </w:rPr>
        <w:t xml:space="preserve"> </w:t>
      </w:r>
      <w:r w:rsidR="00DB182D" w:rsidRPr="00B71A17">
        <w:rPr>
          <w:rFonts w:eastAsia="Times New Roman" w:cs="Times New Roman"/>
          <w:sz w:val="24"/>
          <w:szCs w:val="24"/>
          <w:lang w:eastAsia="en-GB"/>
        </w:rPr>
        <w:t xml:space="preserve">34 743 030 </w:t>
      </w:r>
      <w:r w:rsidR="002C5510" w:rsidRPr="002C5510">
        <w:rPr>
          <w:rFonts w:eastAsia="Times New Roman" w:cs="Times New Roman"/>
          <w:i/>
          <w:sz w:val="24"/>
          <w:szCs w:val="24"/>
          <w:lang w:eastAsia="en-GB"/>
        </w:rPr>
        <w:t>euro</w:t>
      </w:r>
      <w:r w:rsidR="00DB182D" w:rsidRPr="00B71A17">
        <w:rPr>
          <w:rFonts w:eastAsia="Times New Roman" w:cs="Times New Roman"/>
          <w:sz w:val="24"/>
          <w:szCs w:val="24"/>
          <w:lang w:eastAsia="en-GB"/>
        </w:rPr>
        <w:t xml:space="preserve"> apmērā</w:t>
      </w:r>
      <w:r w:rsidR="7DD525DE" w:rsidRPr="638FD9FE">
        <w:rPr>
          <w:rFonts w:eastAsia="Times New Roman" w:cs="Times New Roman"/>
          <w:sz w:val="24"/>
          <w:szCs w:val="24"/>
          <w:lang w:eastAsia="en-GB"/>
        </w:rPr>
        <w:t>.</w:t>
      </w:r>
      <w:r w:rsidR="539F0A32" w:rsidRPr="00B71A17">
        <w:rPr>
          <w:rFonts w:eastAsia="Times New Roman" w:cs="Times New Roman"/>
          <w:sz w:val="24"/>
          <w:szCs w:val="24"/>
          <w:lang w:eastAsia="en-GB"/>
        </w:rPr>
        <w:t xml:space="preserve"> </w:t>
      </w:r>
      <w:r w:rsidR="00B86C8B" w:rsidRPr="00280A1A">
        <w:rPr>
          <w:rFonts w:eastAsia="Times New Roman" w:cs="Times New Roman"/>
          <w:sz w:val="24"/>
          <w:szCs w:val="24"/>
          <w:lang w:eastAsia="en-GB"/>
        </w:rPr>
        <w:t>(</w:t>
      </w:r>
      <w:r w:rsidR="00A564D1">
        <w:rPr>
          <w:rFonts w:cs="Times New Roman"/>
          <w:sz w:val="24"/>
          <w:szCs w:val="24"/>
        </w:rPr>
        <w:t>MK s</w:t>
      </w:r>
      <w:r w:rsidR="00F51A19" w:rsidRPr="00130425">
        <w:rPr>
          <w:rFonts w:cs="Times New Roman"/>
          <w:sz w:val="24"/>
          <w:szCs w:val="24"/>
        </w:rPr>
        <w:t>ēde</w:t>
      </w:r>
      <w:r w:rsidR="00843581">
        <w:rPr>
          <w:rFonts w:cs="Times New Roman"/>
          <w:sz w:val="24"/>
          <w:szCs w:val="24"/>
        </w:rPr>
        <w:t>s prot.</w:t>
      </w:r>
      <w:r w:rsidR="00F51A19" w:rsidRPr="00130425">
        <w:rPr>
          <w:rFonts w:cs="Times New Roman"/>
          <w:sz w:val="24"/>
          <w:szCs w:val="24"/>
        </w:rPr>
        <w:t xml:space="preserve"> Nr.5</w:t>
      </w:r>
      <w:r w:rsidR="003E0091">
        <w:rPr>
          <w:rFonts w:cs="Times New Roman"/>
          <w:sz w:val="24"/>
          <w:szCs w:val="24"/>
        </w:rPr>
        <w:t xml:space="preserve"> 43.§</w:t>
      </w:r>
      <w:r w:rsidR="00F51A19" w:rsidRPr="00130425">
        <w:rPr>
          <w:rFonts w:cs="Times New Roman"/>
          <w:sz w:val="24"/>
          <w:szCs w:val="24"/>
        </w:rPr>
        <w:t>, 31.01.2023, 22-TA-3151 (IP)</w:t>
      </w:r>
      <w:r w:rsidR="00A564D1">
        <w:rPr>
          <w:rFonts w:cs="Times New Roman"/>
          <w:sz w:val="24"/>
          <w:szCs w:val="24"/>
        </w:rPr>
        <w:t xml:space="preserve"> un MK </w:t>
      </w:r>
      <w:r w:rsidR="00A564D1">
        <w:rPr>
          <w:sz w:val="24"/>
          <w:szCs w:val="24"/>
        </w:rPr>
        <w:t>s</w:t>
      </w:r>
      <w:r w:rsidR="00B86C8B" w:rsidRPr="00130425">
        <w:rPr>
          <w:rFonts w:cs="Times New Roman"/>
          <w:sz w:val="24"/>
          <w:szCs w:val="24"/>
        </w:rPr>
        <w:t>ēde</w:t>
      </w:r>
      <w:r w:rsidR="003E0091">
        <w:rPr>
          <w:rFonts w:cs="Times New Roman"/>
          <w:sz w:val="24"/>
          <w:szCs w:val="24"/>
        </w:rPr>
        <w:t>s prot.</w:t>
      </w:r>
      <w:r w:rsidR="00B86C8B" w:rsidRPr="00130425">
        <w:rPr>
          <w:rFonts w:cs="Times New Roman"/>
          <w:sz w:val="24"/>
          <w:szCs w:val="24"/>
        </w:rPr>
        <w:t xml:space="preserve"> Nr.1</w:t>
      </w:r>
      <w:r w:rsidR="003E0091">
        <w:rPr>
          <w:rFonts w:cs="Times New Roman"/>
          <w:sz w:val="24"/>
          <w:szCs w:val="24"/>
        </w:rPr>
        <w:t xml:space="preserve"> 36.§</w:t>
      </w:r>
      <w:r w:rsidR="00B86C8B" w:rsidRPr="00130425">
        <w:rPr>
          <w:rFonts w:cs="Times New Roman"/>
          <w:sz w:val="24"/>
          <w:szCs w:val="24"/>
        </w:rPr>
        <w:t>,</w:t>
      </w:r>
      <w:r w:rsidR="00471458">
        <w:rPr>
          <w:rFonts w:cs="Times New Roman"/>
          <w:sz w:val="24"/>
          <w:szCs w:val="24"/>
        </w:rPr>
        <w:t xml:space="preserve"> </w:t>
      </w:r>
      <w:r w:rsidR="00B86C8B" w:rsidRPr="00130425">
        <w:rPr>
          <w:rFonts w:cs="Times New Roman"/>
          <w:sz w:val="24"/>
          <w:szCs w:val="24"/>
        </w:rPr>
        <w:t xml:space="preserve"> 10.01.2023., 22-TA-3612</w:t>
      </w:r>
      <w:r w:rsidR="00E17F4B">
        <w:rPr>
          <w:rFonts w:cs="Times New Roman"/>
          <w:sz w:val="24"/>
          <w:szCs w:val="24"/>
        </w:rPr>
        <w:t xml:space="preserve">, kuras </w:t>
      </w:r>
      <w:r w:rsidR="00E127E3">
        <w:rPr>
          <w:rFonts w:cs="Times New Roman"/>
          <w:sz w:val="24"/>
          <w:szCs w:val="24"/>
        </w:rPr>
        <w:t xml:space="preserve">tiek precizēts ar </w:t>
      </w:r>
      <w:r w:rsidR="003E0091">
        <w:rPr>
          <w:rFonts w:cs="Times New Roman"/>
          <w:sz w:val="24"/>
          <w:szCs w:val="24"/>
        </w:rPr>
        <w:t>tiesību aktu lietu Nr.23-</w:t>
      </w:r>
      <w:r w:rsidR="00803ED2">
        <w:rPr>
          <w:rFonts w:cs="Times New Roman"/>
          <w:sz w:val="24"/>
          <w:szCs w:val="24"/>
        </w:rPr>
        <w:t>TA-2878</w:t>
      </w:r>
      <w:r w:rsidR="00707FE2">
        <w:rPr>
          <w:rFonts w:cs="Times New Roman"/>
          <w:sz w:val="24"/>
          <w:szCs w:val="24"/>
        </w:rPr>
        <w:t>, kas vēl ir saskaņošanā)</w:t>
      </w:r>
      <w:r w:rsidR="00A564D1">
        <w:rPr>
          <w:rFonts w:cs="Times New Roman"/>
          <w:sz w:val="24"/>
          <w:szCs w:val="24"/>
        </w:rPr>
        <w:t>.</w:t>
      </w:r>
    </w:p>
    <w:p w14:paraId="2F3E6214" w14:textId="6917118F" w:rsidR="00FC69D8" w:rsidRPr="00B71A17" w:rsidRDefault="00E06622" w:rsidP="00056AFE">
      <w:pPr>
        <w:tabs>
          <w:tab w:val="left" w:pos="567"/>
        </w:tabs>
        <w:spacing w:after="0" w:line="240" w:lineRule="auto"/>
        <w:contextualSpacing/>
        <w:jc w:val="both"/>
        <w:rPr>
          <w:rFonts w:eastAsia="Times New Roman" w:cs="Times New Roman"/>
          <w:sz w:val="24"/>
          <w:szCs w:val="24"/>
          <w:lang w:eastAsia="en-GB"/>
        </w:rPr>
      </w:pPr>
      <w:r w:rsidRPr="00B71A17">
        <w:rPr>
          <w:rFonts w:eastAsiaTheme="minorEastAsia" w:cs="Times New Roman"/>
          <w:sz w:val="24"/>
          <w:szCs w:val="24"/>
          <w:lang w:eastAsia="lv-LV"/>
        </w:rPr>
        <w:tab/>
      </w:r>
      <w:r w:rsidR="7BC249E2" w:rsidRPr="0595A900">
        <w:rPr>
          <w:rFonts w:eastAsiaTheme="minorEastAsia" w:cs="Times New Roman"/>
          <w:sz w:val="24"/>
          <w:szCs w:val="24"/>
          <w:lang w:eastAsia="lv-LV"/>
        </w:rPr>
        <w:t>Līgumā iestrādātie resursu lietderīgas izmantošanas mehānismi tiks pilnvērtīgi izmantoti pie nosacījuma, ka katrā no turpmākajiem CEF uzsaukumiem tiks palielināts un piešķirts projekta īstenošanai nepieciešamais finansējums. Šī mērķa sasniegšanā ir būtiski veicināt starpinstitucionālo sadarbību, iesaistot Finanšu ministriju, Satiksmes ministriju, Rail Baltica ieviesējinstitūcijas, kā arī Uzņēmēju un Inženieri, nolūkā palielināt finansējuma piesaistes tempu un samazināt būvdarbu izmaksas. Līguma uzbūve veicina Inženiera un Uzņēmēja aktīvu rīcību nolūkā rast pamatotus, alternatīvus, kā arī tehniski izsvērtus risinājumus kapitālizmaksu samazināšanai, piemēram, ņemot vērā labo praksi, kas izplatīta Skandināvijas valstīs.</w:t>
      </w:r>
    </w:p>
    <w:p w14:paraId="0BE44D24" w14:textId="6C4C686C" w:rsidR="004724B5" w:rsidRPr="00B71A17" w:rsidRDefault="776015BC" w:rsidP="00572FD4">
      <w:pPr>
        <w:tabs>
          <w:tab w:val="left" w:pos="567"/>
        </w:tabs>
        <w:spacing w:after="0" w:line="240" w:lineRule="auto"/>
        <w:ind w:firstLine="567"/>
        <w:contextualSpacing/>
        <w:jc w:val="both"/>
        <w:rPr>
          <w:rFonts w:eastAsia="Times New Roman" w:cs="Times New Roman"/>
          <w:sz w:val="24"/>
          <w:szCs w:val="24"/>
          <w:lang w:eastAsia="en-GB"/>
        </w:rPr>
      </w:pPr>
      <w:r w:rsidRPr="6075987E">
        <w:rPr>
          <w:rFonts w:eastAsia="Times New Roman" w:cs="Times New Roman"/>
          <w:sz w:val="24"/>
          <w:szCs w:val="24"/>
          <w:lang w:eastAsia="en-GB"/>
        </w:rPr>
        <w:t>Vienlaikus</w:t>
      </w:r>
      <w:r w:rsidR="0BADBD25" w:rsidRPr="6075987E">
        <w:rPr>
          <w:rFonts w:eastAsia="Times New Roman" w:cs="Times New Roman"/>
          <w:sz w:val="24"/>
          <w:szCs w:val="24"/>
          <w:lang w:eastAsia="en-GB"/>
        </w:rPr>
        <w:t>, ņemot vērā valdības maiņu,</w:t>
      </w:r>
      <w:r w:rsidRPr="6075987E">
        <w:rPr>
          <w:rFonts w:eastAsia="Times New Roman" w:cs="Times New Roman"/>
          <w:sz w:val="24"/>
          <w:szCs w:val="24"/>
          <w:lang w:eastAsia="en-GB"/>
        </w:rPr>
        <w:t xml:space="preserve"> </w:t>
      </w:r>
      <w:r w:rsidR="6090AACF" w:rsidRPr="6075987E">
        <w:rPr>
          <w:rFonts w:eastAsia="Times New Roman" w:cs="Times New Roman"/>
          <w:sz w:val="24"/>
          <w:szCs w:val="24"/>
          <w:lang w:eastAsia="en-GB"/>
        </w:rPr>
        <w:t>atbalstāma</w:t>
      </w:r>
      <w:r w:rsidRPr="6075987E">
        <w:rPr>
          <w:rFonts w:eastAsia="Times New Roman" w:cs="Times New Roman"/>
          <w:sz w:val="24"/>
          <w:szCs w:val="24"/>
          <w:lang w:eastAsia="en-GB"/>
        </w:rPr>
        <w:t xml:space="preserve"> </w:t>
      </w:r>
      <w:r w:rsidR="0BADBD25" w:rsidRPr="6075987E">
        <w:rPr>
          <w:rFonts w:eastAsia="Times New Roman" w:cs="Times New Roman"/>
          <w:sz w:val="24"/>
          <w:szCs w:val="24"/>
          <w:lang w:eastAsia="en-GB"/>
        </w:rPr>
        <w:t xml:space="preserve">jaunas </w:t>
      </w:r>
      <w:r w:rsidR="5E3A13BD" w:rsidRPr="6075987E">
        <w:rPr>
          <w:rFonts w:eastAsia="Times New Roman" w:cs="Times New Roman"/>
          <w:sz w:val="24"/>
          <w:szCs w:val="24"/>
          <w:lang w:eastAsia="en-GB"/>
        </w:rPr>
        <w:t xml:space="preserve">Ministru kabineta </w:t>
      </w:r>
      <w:r w:rsidR="4E564A51" w:rsidRPr="6075987E">
        <w:rPr>
          <w:rFonts w:eastAsia="Times New Roman" w:cs="Times New Roman"/>
          <w:sz w:val="24"/>
          <w:szCs w:val="24"/>
          <w:lang w:eastAsia="en-GB"/>
        </w:rPr>
        <w:t>Tematiskās komitejas ar Rail Baltica projektu saistīto jautājumu risināšanai</w:t>
      </w:r>
      <w:r w:rsidR="477936A4" w:rsidRPr="6075987E">
        <w:rPr>
          <w:rFonts w:eastAsia="Times New Roman" w:cs="Times New Roman"/>
          <w:sz w:val="24"/>
          <w:szCs w:val="24"/>
          <w:lang w:eastAsia="en-GB"/>
        </w:rPr>
        <w:t xml:space="preserve"> darba </w:t>
      </w:r>
      <w:r w:rsidR="0BADBD25" w:rsidRPr="6075987E">
        <w:rPr>
          <w:rFonts w:eastAsia="Times New Roman" w:cs="Times New Roman"/>
          <w:sz w:val="24"/>
          <w:szCs w:val="24"/>
          <w:lang w:eastAsia="en-GB"/>
        </w:rPr>
        <w:t>veidošana</w:t>
      </w:r>
      <w:r w:rsidR="46137F91" w:rsidRPr="6075987E">
        <w:rPr>
          <w:rFonts w:eastAsia="Times New Roman" w:cs="Times New Roman"/>
          <w:sz w:val="24"/>
          <w:szCs w:val="24"/>
          <w:lang w:eastAsia="en-GB"/>
        </w:rPr>
        <w:t xml:space="preserve">, papildus aicinot </w:t>
      </w:r>
      <w:r w:rsidR="46137F91" w:rsidRPr="6075987E">
        <w:rPr>
          <w:rFonts w:eastAsia="Times New Roman" w:cs="Times New Roman"/>
          <w:sz w:val="24"/>
          <w:szCs w:val="24"/>
          <w:lang w:eastAsia="en-GB"/>
        </w:rPr>
        <w:lastRenderedPageBreak/>
        <w:t>darbam tajā arī aizsardzības, ārlietu</w:t>
      </w:r>
      <w:r w:rsidR="02DC2F05" w:rsidRPr="6075987E">
        <w:rPr>
          <w:rFonts w:eastAsia="Times New Roman" w:cs="Times New Roman"/>
          <w:sz w:val="24"/>
          <w:szCs w:val="24"/>
          <w:lang w:eastAsia="en-GB"/>
        </w:rPr>
        <w:t>,</w:t>
      </w:r>
      <w:r w:rsidR="46137F91" w:rsidRPr="6075987E">
        <w:rPr>
          <w:rFonts w:eastAsia="Times New Roman" w:cs="Times New Roman"/>
          <w:sz w:val="24"/>
          <w:szCs w:val="24"/>
          <w:lang w:eastAsia="en-GB"/>
        </w:rPr>
        <w:t xml:space="preserve"> iekšlietu</w:t>
      </w:r>
      <w:r w:rsidR="4D2E7FBB" w:rsidRPr="6075987E">
        <w:rPr>
          <w:rFonts w:eastAsia="Times New Roman" w:cs="Times New Roman"/>
          <w:sz w:val="24"/>
          <w:szCs w:val="24"/>
          <w:lang w:eastAsia="en-GB"/>
        </w:rPr>
        <w:t>, fina</w:t>
      </w:r>
      <w:r w:rsidR="7D5F0B9A" w:rsidRPr="6075987E">
        <w:rPr>
          <w:rFonts w:eastAsia="Times New Roman" w:cs="Times New Roman"/>
          <w:sz w:val="24"/>
          <w:szCs w:val="24"/>
          <w:lang w:eastAsia="en-GB"/>
        </w:rPr>
        <w:t>n</w:t>
      </w:r>
      <w:r w:rsidR="4D2E7FBB" w:rsidRPr="6075987E">
        <w:rPr>
          <w:rFonts w:eastAsia="Times New Roman" w:cs="Times New Roman"/>
          <w:sz w:val="24"/>
          <w:szCs w:val="24"/>
          <w:lang w:eastAsia="en-GB"/>
        </w:rPr>
        <w:t>šu, vides aizsardzības un reģionālās attīstības, kā arī tieslietu</w:t>
      </w:r>
      <w:r w:rsidR="46137F91" w:rsidRPr="6075987E">
        <w:rPr>
          <w:rFonts w:eastAsia="Times New Roman" w:cs="Times New Roman"/>
          <w:sz w:val="24"/>
          <w:szCs w:val="24"/>
          <w:lang w:eastAsia="en-GB"/>
        </w:rPr>
        <w:t xml:space="preserve"> ministrus</w:t>
      </w:r>
      <w:r w:rsidR="477936A4" w:rsidRPr="6075987E">
        <w:rPr>
          <w:rFonts w:eastAsia="Times New Roman" w:cs="Times New Roman"/>
          <w:sz w:val="24"/>
          <w:szCs w:val="24"/>
          <w:lang w:eastAsia="en-GB"/>
        </w:rPr>
        <w:t xml:space="preserve">, </w:t>
      </w:r>
      <w:r w:rsidR="46137F91" w:rsidRPr="6075987E">
        <w:rPr>
          <w:rFonts w:eastAsia="Times New Roman" w:cs="Times New Roman"/>
          <w:sz w:val="24"/>
          <w:szCs w:val="24"/>
          <w:lang w:eastAsia="en-GB"/>
        </w:rPr>
        <w:t xml:space="preserve">tādējādi nodrošinot līdzšinējās starpinstitucionālās sadarbības </w:t>
      </w:r>
      <w:r w:rsidR="5E3A13BD" w:rsidRPr="6075987E">
        <w:rPr>
          <w:rFonts w:eastAsia="Times New Roman" w:cs="Times New Roman"/>
          <w:sz w:val="24"/>
          <w:szCs w:val="24"/>
          <w:lang w:eastAsia="en-GB"/>
        </w:rPr>
        <w:t xml:space="preserve">veiksmīgu </w:t>
      </w:r>
      <w:r w:rsidR="46137F91" w:rsidRPr="6075987E">
        <w:rPr>
          <w:rFonts w:eastAsia="Times New Roman" w:cs="Times New Roman"/>
          <w:sz w:val="24"/>
          <w:szCs w:val="24"/>
          <w:lang w:eastAsia="en-GB"/>
        </w:rPr>
        <w:t>turpināšanu</w:t>
      </w:r>
      <w:r w:rsidR="5E3A13BD" w:rsidRPr="6075987E">
        <w:rPr>
          <w:rFonts w:eastAsia="Times New Roman" w:cs="Times New Roman"/>
          <w:sz w:val="24"/>
          <w:szCs w:val="24"/>
          <w:lang w:eastAsia="en-GB"/>
        </w:rPr>
        <w:t xml:space="preserve"> arī nākotnē</w:t>
      </w:r>
      <w:r w:rsidR="46137F91" w:rsidRPr="6075987E">
        <w:rPr>
          <w:rFonts w:eastAsia="Times New Roman" w:cs="Times New Roman"/>
          <w:sz w:val="24"/>
          <w:szCs w:val="24"/>
          <w:lang w:eastAsia="en-GB"/>
        </w:rPr>
        <w:t xml:space="preserve">. </w:t>
      </w:r>
    </w:p>
    <w:p w14:paraId="67BC18A4" w14:textId="0AD2BABA" w:rsidR="00250B5B" w:rsidRPr="00250B5B" w:rsidRDefault="00241981" w:rsidP="00250B5B">
      <w:pPr>
        <w:tabs>
          <w:tab w:val="left" w:pos="567"/>
        </w:tabs>
        <w:spacing w:after="0" w:line="240" w:lineRule="auto"/>
        <w:contextualSpacing/>
        <w:jc w:val="both"/>
        <w:rPr>
          <w:sz w:val="24"/>
          <w:szCs w:val="24"/>
        </w:rPr>
      </w:pPr>
      <w:r w:rsidRPr="00B71A17">
        <w:rPr>
          <w:rFonts w:eastAsia="Times New Roman" w:cs="Times New Roman"/>
          <w:sz w:val="24"/>
          <w:szCs w:val="24"/>
          <w:lang w:eastAsia="en-GB"/>
        </w:rPr>
        <w:tab/>
      </w:r>
      <w:r w:rsidR="26FCFB01" w:rsidRPr="0506D2A6">
        <w:rPr>
          <w:rFonts w:eastAsiaTheme="minorEastAsia" w:cs="Times New Roman"/>
          <w:sz w:val="24"/>
          <w:szCs w:val="24"/>
          <w:lang w:eastAsia="lv-LV"/>
        </w:rPr>
        <w:t>Iepirkuma līguma uzraudzīb</w:t>
      </w:r>
      <w:r w:rsidR="3109507A" w:rsidRPr="0506D2A6">
        <w:rPr>
          <w:rFonts w:eastAsiaTheme="minorEastAsia" w:cs="Times New Roman"/>
          <w:sz w:val="24"/>
          <w:szCs w:val="24"/>
          <w:lang w:eastAsia="lv-LV"/>
        </w:rPr>
        <w:t xml:space="preserve">u </w:t>
      </w:r>
      <w:r w:rsidR="26FCFB01" w:rsidRPr="0506D2A6">
        <w:rPr>
          <w:rFonts w:eastAsiaTheme="minorEastAsia" w:cs="Times New Roman"/>
          <w:sz w:val="24"/>
          <w:szCs w:val="24"/>
          <w:lang w:eastAsia="lv-LV"/>
        </w:rPr>
        <w:t xml:space="preserve"> Satiksmes ministrij</w:t>
      </w:r>
      <w:r w:rsidR="0B15EA38" w:rsidRPr="0506D2A6">
        <w:rPr>
          <w:rFonts w:eastAsiaTheme="minorEastAsia" w:cs="Times New Roman"/>
          <w:sz w:val="24"/>
          <w:szCs w:val="24"/>
          <w:lang w:eastAsia="lv-LV"/>
        </w:rPr>
        <w:t>ā  īsteno</w:t>
      </w:r>
      <w:r w:rsidR="7F94BF54" w:rsidRPr="0506D2A6">
        <w:rPr>
          <w:rFonts w:eastAsiaTheme="minorEastAsia" w:cs="Times New Roman"/>
          <w:sz w:val="24"/>
          <w:szCs w:val="24"/>
          <w:lang w:eastAsia="lv-LV"/>
        </w:rPr>
        <w:t xml:space="preserve">s </w:t>
      </w:r>
      <w:r w:rsidR="0B15EA38" w:rsidRPr="0506D2A6">
        <w:rPr>
          <w:rFonts w:eastAsiaTheme="minorEastAsia" w:cs="Times New Roman"/>
          <w:sz w:val="24"/>
          <w:szCs w:val="24"/>
          <w:lang w:eastAsia="lv-LV"/>
        </w:rPr>
        <w:t xml:space="preserve"> Rail Baltica Latvijas vadības grup</w:t>
      </w:r>
      <w:r w:rsidR="6F885551" w:rsidRPr="0506D2A6">
        <w:rPr>
          <w:rFonts w:eastAsiaTheme="minorEastAsia" w:cs="Times New Roman"/>
          <w:sz w:val="24"/>
          <w:szCs w:val="24"/>
          <w:lang w:eastAsia="lv-LV"/>
        </w:rPr>
        <w:t>a</w:t>
      </w:r>
      <w:r w:rsidR="26FCFB01" w:rsidRPr="0506D2A6">
        <w:rPr>
          <w:rFonts w:eastAsiaTheme="minorEastAsia" w:cs="Times New Roman"/>
          <w:sz w:val="24"/>
          <w:szCs w:val="24"/>
          <w:lang w:eastAsia="lv-LV"/>
        </w:rPr>
        <w:t xml:space="preserve">, kuru vadīs </w:t>
      </w:r>
      <w:r w:rsidR="1241CA1F" w:rsidRPr="0506D2A6">
        <w:rPr>
          <w:rFonts w:eastAsiaTheme="minorEastAsia" w:cs="Times New Roman"/>
          <w:sz w:val="24"/>
          <w:szCs w:val="24"/>
          <w:lang w:eastAsia="lv-LV"/>
        </w:rPr>
        <w:t>S</w:t>
      </w:r>
      <w:r w:rsidR="7D219B81" w:rsidRPr="0506D2A6">
        <w:rPr>
          <w:rFonts w:eastAsiaTheme="minorEastAsia" w:cs="Times New Roman"/>
          <w:sz w:val="24"/>
          <w:szCs w:val="24"/>
          <w:lang w:eastAsia="lv-LV"/>
        </w:rPr>
        <w:t xml:space="preserve">atiksmes ministrijas </w:t>
      </w:r>
      <w:r w:rsidR="1241CA1F" w:rsidRPr="0506D2A6">
        <w:rPr>
          <w:rFonts w:eastAsiaTheme="minorEastAsia" w:cs="Times New Roman"/>
          <w:sz w:val="24"/>
          <w:szCs w:val="24"/>
          <w:lang w:eastAsia="lv-LV"/>
        </w:rPr>
        <w:t xml:space="preserve"> v</w:t>
      </w:r>
      <w:r w:rsidR="2577E5D0" w:rsidRPr="0506D2A6">
        <w:rPr>
          <w:rFonts w:eastAsiaTheme="minorEastAsia" w:cs="Times New Roman"/>
          <w:sz w:val="24"/>
          <w:szCs w:val="24"/>
          <w:lang w:eastAsia="lv-LV"/>
        </w:rPr>
        <w:t>alsts sekretāra vietnieks Rail Baltica jautājumos</w:t>
      </w:r>
      <w:r w:rsidR="26FCFB01" w:rsidRPr="0506D2A6">
        <w:rPr>
          <w:rFonts w:eastAsiaTheme="minorEastAsia" w:cs="Times New Roman"/>
          <w:sz w:val="24"/>
          <w:szCs w:val="24"/>
          <w:lang w:eastAsia="lv-LV"/>
        </w:rPr>
        <w:t xml:space="preserve"> un kuras </w:t>
      </w:r>
      <w:r w:rsidR="612BC776" w:rsidRPr="0506D2A6">
        <w:rPr>
          <w:rFonts w:eastAsiaTheme="minorEastAsia" w:cs="Times New Roman"/>
          <w:sz w:val="24"/>
          <w:szCs w:val="24"/>
          <w:lang w:eastAsia="lv-LV"/>
        </w:rPr>
        <w:t>darbā pēc nepieciešamības</w:t>
      </w:r>
      <w:r w:rsidR="26FCFB01" w:rsidRPr="0506D2A6">
        <w:rPr>
          <w:rFonts w:eastAsiaTheme="minorEastAsia" w:cs="Times New Roman"/>
          <w:sz w:val="24"/>
          <w:szCs w:val="24"/>
          <w:lang w:eastAsia="lv-LV"/>
        </w:rPr>
        <w:t xml:space="preserve"> </w:t>
      </w:r>
      <w:r w:rsidR="230A8ED8" w:rsidRPr="0506D2A6">
        <w:rPr>
          <w:rFonts w:eastAsiaTheme="minorEastAsia" w:cs="Times New Roman"/>
          <w:sz w:val="24"/>
          <w:szCs w:val="24"/>
          <w:lang w:eastAsia="lv-LV"/>
        </w:rPr>
        <w:t xml:space="preserve">tiks </w:t>
      </w:r>
      <w:r w:rsidR="26FCFB01" w:rsidRPr="0506D2A6">
        <w:rPr>
          <w:rFonts w:eastAsiaTheme="minorEastAsia"/>
          <w:sz w:val="24"/>
          <w:szCs w:val="24"/>
          <w:lang w:eastAsia="lv-LV"/>
        </w:rPr>
        <w:t>pieaicin</w:t>
      </w:r>
      <w:r w:rsidR="230A8ED8" w:rsidRPr="0506D2A6">
        <w:rPr>
          <w:rFonts w:eastAsiaTheme="minorEastAsia"/>
          <w:sz w:val="24"/>
          <w:szCs w:val="24"/>
          <w:lang w:eastAsia="lv-LV"/>
        </w:rPr>
        <w:t xml:space="preserve">ātas </w:t>
      </w:r>
      <w:r w:rsidR="26FCFB01" w:rsidRPr="0506D2A6">
        <w:rPr>
          <w:rFonts w:eastAsiaTheme="minorEastAsia"/>
          <w:sz w:val="24"/>
          <w:szCs w:val="24"/>
          <w:lang w:eastAsia="lv-LV"/>
        </w:rPr>
        <w:t>arī cit</w:t>
      </w:r>
      <w:r w:rsidR="43E88924" w:rsidRPr="0506D2A6">
        <w:rPr>
          <w:rFonts w:eastAsiaTheme="minorEastAsia"/>
          <w:sz w:val="24"/>
          <w:szCs w:val="24"/>
          <w:lang w:eastAsia="lv-LV"/>
        </w:rPr>
        <w:t>u</w:t>
      </w:r>
      <w:r w:rsidR="26FCFB01" w:rsidRPr="0506D2A6">
        <w:rPr>
          <w:rFonts w:eastAsiaTheme="minorEastAsia"/>
          <w:sz w:val="24"/>
          <w:szCs w:val="24"/>
          <w:lang w:eastAsia="lv-LV"/>
        </w:rPr>
        <w:t xml:space="preserve"> līdzatbildīg</w:t>
      </w:r>
      <w:r w:rsidR="43E88924" w:rsidRPr="0506D2A6">
        <w:rPr>
          <w:rFonts w:eastAsiaTheme="minorEastAsia"/>
          <w:sz w:val="24"/>
          <w:szCs w:val="24"/>
          <w:lang w:eastAsia="lv-LV"/>
        </w:rPr>
        <w:t>o</w:t>
      </w:r>
      <w:r w:rsidR="26FCFB01" w:rsidRPr="0506D2A6">
        <w:rPr>
          <w:rFonts w:eastAsiaTheme="minorEastAsia"/>
          <w:sz w:val="24"/>
          <w:szCs w:val="24"/>
          <w:lang w:eastAsia="lv-LV"/>
        </w:rPr>
        <w:t xml:space="preserve"> </w:t>
      </w:r>
      <w:r w:rsidR="428B2ECF" w:rsidRPr="0506D2A6">
        <w:rPr>
          <w:rFonts w:eastAsiaTheme="minorEastAsia"/>
          <w:sz w:val="24"/>
          <w:szCs w:val="24"/>
          <w:lang w:eastAsia="lv-LV"/>
        </w:rPr>
        <w:t>institūcij</w:t>
      </w:r>
      <w:r w:rsidR="43E88924" w:rsidRPr="0506D2A6">
        <w:rPr>
          <w:rFonts w:eastAsiaTheme="minorEastAsia"/>
          <w:sz w:val="24"/>
          <w:szCs w:val="24"/>
          <w:lang w:eastAsia="lv-LV"/>
        </w:rPr>
        <w:t>u</w:t>
      </w:r>
      <w:r w:rsidR="428B2ECF" w:rsidRPr="0506D2A6">
        <w:rPr>
          <w:rFonts w:eastAsiaTheme="minorEastAsia"/>
          <w:sz w:val="24"/>
          <w:szCs w:val="24"/>
          <w:lang w:eastAsia="lv-LV"/>
        </w:rPr>
        <w:t xml:space="preserve"> </w:t>
      </w:r>
      <w:r w:rsidR="3DB929AA" w:rsidRPr="0506D2A6">
        <w:rPr>
          <w:rFonts w:eastAsiaTheme="minorEastAsia"/>
          <w:sz w:val="24"/>
          <w:szCs w:val="24"/>
          <w:lang w:eastAsia="lv-LV"/>
        </w:rPr>
        <w:t>un</w:t>
      </w:r>
      <w:r w:rsidR="29A896CB" w:rsidRPr="0506D2A6">
        <w:rPr>
          <w:rFonts w:eastAsiaTheme="minorEastAsia"/>
          <w:sz w:val="24"/>
          <w:szCs w:val="24"/>
          <w:lang w:eastAsia="lv-LV"/>
        </w:rPr>
        <w:t xml:space="preserve"> cit</w:t>
      </w:r>
      <w:r w:rsidR="3F9E9907" w:rsidRPr="0506D2A6">
        <w:rPr>
          <w:rFonts w:eastAsiaTheme="minorEastAsia"/>
          <w:sz w:val="24"/>
          <w:szCs w:val="24"/>
          <w:lang w:eastAsia="lv-LV"/>
        </w:rPr>
        <w:t>u</w:t>
      </w:r>
      <w:r w:rsidR="26FCFB01" w:rsidRPr="0506D2A6">
        <w:rPr>
          <w:rFonts w:eastAsiaTheme="minorEastAsia"/>
          <w:sz w:val="24"/>
          <w:szCs w:val="24"/>
          <w:lang w:eastAsia="lv-LV"/>
        </w:rPr>
        <w:t xml:space="preserve"> ministrij</w:t>
      </w:r>
      <w:r w:rsidR="36D2320B" w:rsidRPr="0506D2A6">
        <w:rPr>
          <w:rFonts w:eastAsiaTheme="minorEastAsia"/>
          <w:sz w:val="24"/>
          <w:szCs w:val="24"/>
          <w:lang w:eastAsia="lv-LV"/>
        </w:rPr>
        <w:t>u pārstāvj</w:t>
      </w:r>
      <w:r w:rsidR="230A8ED8" w:rsidRPr="0506D2A6">
        <w:rPr>
          <w:rFonts w:eastAsiaTheme="minorEastAsia"/>
          <w:sz w:val="24"/>
          <w:szCs w:val="24"/>
          <w:lang w:eastAsia="lv-LV"/>
        </w:rPr>
        <w:t>i</w:t>
      </w:r>
      <w:r w:rsidR="26FCFB01" w:rsidRPr="0506D2A6">
        <w:rPr>
          <w:rFonts w:eastAsiaTheme="minorEastAsia" w:cs="Times New Roman"/>
          <w:sz w:val="24"/>
          <w:szCs w:val="24"/>
          <w:lang w:eastAsia="lv-LV"/>
        </w:rPr>
        <w:t>.</w:t>
      </w:r>
      <w:r w:rsidR="26FCFB01" w:rsidRPr="00B71A17">
        <w:rPr>
          <w:sz w:val="24"/>
          <w:szCs w:val="24"/>
        </w:rPr>
        <w:t xml:space="preserve"> </w:t>
      </w:r>
      <w:r w:rsidR="230A8ED8" w:rsidRPr="001D5E77">
        <w:rPr>
          <w:b/>
          <w:bCs/>
          <w:sz w:val="24"/>
          <w:szCs w:val="24"/>
        </w:rPr>
        <w:t xml:space="preserve">Minētās vadības grupas </w:t>
      </w:r>
      <w:r w:rsidR="26FCFB01" w:rsidRPr="001D5E77">
        <w:rPr>
          <w:b/>
          <w:bCs/>
          <w:sz w:val="24"/>
          <w:szCs w:val="24"/>
        </w:rPr>
        <w:t xml:space="preserve"> galvenie uzdevumi </w:t>
      </w:r>
      <w:r w:rsidR="4A88CC0A" w:rsidRPr="0506D2A6">
        <w:rPr>
          <w:sz w:val="24"/>
          <w:szCs w:val="24"/>
        </w:rPr>
        <w:t>L</w:t>
      </w:r>
      <w:r w:rsidR="230A8ED8">
        <w:rPr>
          <w:sz w:val="24"/>
          <w:szCs w:val="24"/>
        </w:rPr>
        <w:t xml:space="preserve">īguma kontekstā </w:t>
      </w:r>
      <w:r w:rsidR="26FCFB01" w:rsidRPr="00B71A17">
        <w:rPr>
          <w:sz w:val="24"/>
          <w:szCs w:val="24"/>
        </w:rPr>
        <w:t xml:space="preserve">būs – </w:t>
      </w:r>
      <w:r w:rsidR="4A88CC0A" w:rsidRPr="0506D2A6">
        <w:rPr>
          <w:sz w:val="24"/>
          <w:szCs w:val="24"/>
        </w:rPr>
        <w:t>L</w:t>
      </w:r>
      <w:r w:rsidR="26FCFB01" w:rsidRPr="00B71A17">
        <w:rPr>
          <w:sz w:val="24"/>
          <w:szCs w:val="24"/>
        </w:rPr>
        <w:t xml:space="preserve">īguma saistību un termiņu izpildes kontrole, </w:t>
      </w:r>
      <w:r w:rsidR="1F8A3D96">
        <w:rPr>
          <w:sz w:val="24"/>
          <w:szCs w:val="24"/>
        </w:rPr>
        <w:t xml:space="preserve">īstenošanas </w:t>
      </w:r>
      <w:r w:rsidR="26FCFB01" w:rsidRPr="00B71A17">
        <w:rPr>
          <w:sz w:val="24"/>
          <w:szCs w:val="24"/>
        </w:rPr>
        <w:t>uzraudzība un sekmēšana, naudas plūsmas (esošās un plānotās pa gadiem un to finansēšanas avotiem) kontrole (lai netiktu pārsniegta līgumcena), kā arī stratēģisko un finanšu risku vadība.</w:t>
      </w:r>
      <w:r w:rsidR="54EDB867" w:rsidRPr="0506D2A6">
        <w:rPr>
          <w:sz w:val="24"/>
          <w:szCs w:val="24"/>
        </w:rPr>
        <w:t xml:space="preserve"> Līguma uzraudzība būs arī vien</w:t>
      </w:r>
      <w:r w:rsidR="0F1A53A1" w:rsidRPr="0506D2A6">
        <w:rPr>
          <w:sz w:val="24"/>
          <w:szCs w:val="24"/>
        </w:rPr>
        <w:t>a</w:t>
      </w:r>
      <w:r w:rsidR="54EDB867" w:rsidRPr="0506D2A6">
        <w:rPr>
          <w:sz w:val="24"/>
          <w:szCs w:val="24"/>
        </w:rPr>
        <w:t xml:space="preserve"> no sadaļām, kas tiks iestrādāt</w:t>
      </w:r>
      <w:r w:rsidR="19D91A9D" w:rsidRPr="0506D2A6">
        <w:rPr>
          <w:sz w:val="24"/>
          <w:szCs w:val="24"/>
        </w:rPr>
        <w:t>a</w:t>
      </w:r>
      <w:r w:rsidR="54EDB867" w:rsidRPr="0506D2A6">
        <w:rPr>
          <w:sz w:val="24"/>
          <w:szCs w:val="24"/>
        </w:rPr>
        <w:t xml:space="preserve"> Rail Baltica projekta īstenošanas likuma grozījumos,</w:t>
      </w:r>
      <w:r w:rsidR="3EB9EB41" w:rsidRPr="0506D2A6">
        <w:rPr>
          <w:sz w:val="24"/>
          <w:szCs w:val="24"/>
        </w:rPr>
        <w:t xml:space="preserve"> kuros tāpat tiks atrunāta projekta pārvaldība un iesaistīto pušu atbildības</w:t>
      </w:r>
      <w:r w:rsidR="4B7F45EC" w:rsidRPr="0506D2A6">
        <w:rPr>
          <w:sz w:val="24"/>
          <w:szCs w:val="24"/>
        </w:rPr>
        <w:t xml:space="preserve">. Rail Baltica projekta īstenošanas likuma grozījumus </w:t>
      </w:r>
      <w:r w:rsidR="54EDB867" w:rsidRPr="0506D2A6">
        <w:rPr>
          <w:sz w:val="24"/>
          <w:szCs w:val="24"/>
        </w:rPr>
        <w:t xml:space="preserve">plānots </w:t>
      </w:r>
      <w:r w:rsidR="0FF75AC8" w:rsidRPr="0506D2A6">
        <w:rPr>
          <w:sz w:val="24"/>
          <w:szCs w:val="24"/>
        </w:rPr>
        <w:t xml:space="preserve">izstrādāt </w:t>
      </w:r>
      <w:r w:rsidR="3D4E741B" w:rsidRPr="0506D2A6">
        <w:rPr>
          <w:sz w:val="24"/>
          <w:szCs w:val="24"/>
        </w:rPr>
        <w:t>iesniegt Ministru kabinetā</w:t>
      </w:r>
      <w:r w:rsidR="382F5482" w:rsidRPr="0506D2A6">
        <w:rPr>
          <w:sz w:val="24"/>
          <w:szCs w:val="24"/>
        </w:rPr>
        <w:t xml:space="preserve"> līdz 2024.</w:t>
      </w:r>
      <w:r w:rsidR="200EFAE6" w:rsidRPr="0506D2A6">
        <w:rPr>
          <w:sz w:val="24"/>
          <w:szCs w:val="24"/>
        </w:rPr>
        <w:t xml:space="preserve"> </w:t>
      </w:r>
      <w:r w:rsidR="382F5482" w:rsidRPr="0506D2A6">
        <w:rPr>
          <w:sz w:val="24"/>
          <w:szCs w:val="24"/>
        </w:rPr>
        <w:t>gada 3</w:t>
      </w:r>
      <w:r w:rsidR="3D4E741B" w:rsidRPr="0506D2A6">
        <w:rPr>
          <w:sz w:val="24"/>
          <w:szCs w:val="24"/>
        </w:rPr>
        <w:t>0</w:t>
      </w:r>
      <w:r w:rsidR="382F5482" w:rsidRPr="0506D2A6">
        <w:rPr>
          <w:sz w:val="24"/>
          <w:szCs w:val="24"/>
        </w:rPr>
        <w:t>.</w:t>
      </w:r>
      <w:r w:rsidR="200EFAE6" w:rsidRPr="0506D2A6">
        <w:rPr>
          <w:sz w:val="24"/>
          <w:szCs w:val="24"/>
        </w:rPr>
        <w:t xml:space="preserve"> </w:t>
      </w:r>
      <w:r w:rsidR="3D4E741B" w:rsidRPr="0506D2A6">
        <w:rPr>
          <w:sz w:val="24"/>
          <w:szCs w:val="24"/>
        </w:rPr>
        <w:t>jūnijam</w:t>
      </w:r>
      <w:r w:rsidR="382F5482" w:rsidRPr="0506D2A6">
        <w:rPr>
          <w:sz w:val="24"/>
          <w:szCs w:val="24"/>
        </w:rPr>
        <w:t>.</w:t>
      </w:r>
    </w:p>
    <w:p w14:paraId="2B023EE0" w14:textId="515223FF" w:rsidR="00250B5B" w:rsidRPr="004C4F75" w:rsidRDefault="00250B5B" w:rsidP="6DA4D5AC">
      <w:pPr>
        <w:tabs>
          <w:tab w:val="left" w:pos="567"/>
        </w:tabs>
        <w:spacing w:after="0" w:line="240" w:lineRule="auto"/>
        <w:contextualSpacing/>
        <w:jc w:val="both"/>
        <w:rPr>
          <w:rFonts w:ascii="Calibri" w:eastAsia="Calibri" w:hAnsi="Calibri" w:cs="Calibri"/>
          <w:color w:val="242424"/>
          <w:sz w:val="24"/>
          <w:szCs w:val="24"/>
        </w:rPr>
      </w:pPr>
      <w:r w:rsidRPr="00250B5B">
        <w:rPr>
          <w:sz w:val="24"/>
          <w:szCs w:val="24"/>
        </w:rPr>
        <w:tab/>
      </w:r>
      <w:bookmarkStart w:id="4" w:name="_Hlk151472557"/>
      <w:r w:rsidR="12E88AAA" w:rsidRPr="00250B5B">
        <w:rPr>
          <w:sz w:val="24"/>
          <w:szCs w:val="24"/>
        </w:rPr>
        <w:t>EDZL, pamatojoties uz 2021. gada 30. decembrī noslēgto deleģēšanas līgumu un saskaņā ar Valsts pārvaldes iekārtas likuma 41.</w:t>
      </w:r>
      <w:r w:rsidR="0D1E80F8">
        <w:rPr>
          <w:sz w:val="24"/>
          <w:szCs w:val="24"/>
        </w:rPr>
        <w:t xml:space="preserve"> </w:t>
      </w:r>
      <w:r w:rsidR="12E88AAA" w:rsidRPr="00250B5B">
        <w:rPr>
          <w:sz w:val="24"/>
          <w:szCs w:val="24"/>
        </w:rPr>
        <w:t>panta pirmo daļu veic valsts pārvaldes uzdevumu</w:t>
      </w:r>
      <w:r w:rsidR="7BCA4581">
        <w:rPr>
          <w:sz w:val="24"/>
          <w:szCs w:val="24"/>
        </w:rPr>
        <w:t xml:space="preserve"> </w:t>
      </w:r>
      <w:r w:rsidR="00D515F1">
        <w:rPr>
          <w:sz w:val="24"/>
          <w:szCs w:val="24"/>
        </w:rPr>
        <w:t>–</w:t>
      </w:r>
      <w:r w:rsidR="7BCA4581">
        <w:rPr>
          <w:sz w:val="24"/>
          <w:szCs w:val="24"/>
        </w:rPr>
        <w:t xml:space="preserve"> </w:t>
      </w:r>
      <w:r w:rsidR="36345E62" w:rsidRPr="00A13F19">
        <w:rPr>
          <w:sz w:val="24"/>
          <w:szCs w:val="24"/>
        </w:rPr>
        <w:t>Rail Baltica projekta aktivitāšu īstenošanu Latvijā</w:t>
      </w:r>
      <w:r w:rsidR="12E88AAA" w:rsidRPr="00250B5B">
        <w:rPr>
          <w:sz w:val="24"/>
          <w:szCs w:val="24"/>
        </w:rPr>
        <w:t>. Saskaņā ar Valsts pārvaldes iekārtas likuma 41.</w:t>
      </w:r>
      <w:r w:rsidR="0D1E80F8">
        <w:rPr>
          <w:sz w:val="24"/>
          <w:szCs w:val="24"/>
        </w:rPr>
        <w:t xml:space="preserve"> </w:t>
      </w:r>
      <w:r w:rsidR="12E88AAA" w:rsidRPr="00250B5B">
        <w:rPr>
          <w:sz w:val="24"/>
          <w:szCs w:val="24"/>
        </w:rPr>
        <w:t>pantu Satiksmes ministrija ārējos tiesību aktos noteikto funkciju ietvarā kopumā atbild par deleģētā valsts pārvaldes uzdevuma izpildi un Satiksmes ministrija  pastāvīgi veic deleģētā valsts pārvaldes uzdevuma izpildes uzraudzību un novērtēšanu atbilstoši uzdevuma izpildes uzraudzības mehānismam.</w:t>
      </w:r>
      <w:r w:rsidR="12E88AAA" w:rsidRPr="0595A900">
        <w:rPr>
          <w:rFonts w:eastAsia="Times New Roman" w:cs="Times New Roman"/>
          <w:sz w:val="24"/>
          <w:szCs w:val="24"/>
        </w:rPr>
        <w:t xml:space="preserve"> </w:t>
      </w:r>
      <w:r w:rsidR="65CDF9E7" w:rsidRPr="0595A900">
        <w:rPr>
          <w:rFonts w:eastAsia="Times New Roman" w:cs="Times New Roman"/>
          <w:color w:val="242424"/>
          <w:sz w:val="24"/>
          <w:szCs w:val="24"/>
        </w:rPr>
        <w:t xml:space="preserve">Atbilstoši Valsts </w:t>
      </w:r>
      <w:r w:rsidR="409C2709" w:rsidRPr="0595A900">
        <w:rPr>
          <w:rFonts w:eastAsia="Times New Roman" w:cs="Times New Roman"/>
          <w:color w:val="242424"/>
          <w:sz w:val="24"/>
          <w:szCs w:val="24"/>
        </w:rPr>
        <w:t>pārvaldes</w:t>
      </w:r>
      <w:r w:rsidR="65CDF9E7" w:rsidRPr="0595A900">
        <w:rPr>
          <w:rFonts w:eastAsia="Times New Roman" w:cs="Times New Roman"/>
          <w:color w:val="242424"/>
          <w:sz w:val="24"/>
          <w:szCs w:val="24"/>
        </w:rPr>
        <w:t xml:space="preserve"> iekārtas likuma 43. panta trešajai un piektajai daļai ir jānodrošina deleģētā uzdevuma tiesiska un lietderīga izpilde, kā arī pilnīga un efektīva uzraudzību, kuru pienākums ir nodrošināt valsts sekretāram kā ministrijas administratīvajam vadītājam.</w:t>
      </w:r>
    </w:p>
    <w:p w14:paraId="360A40FE" w14:textId="6483AA83" w:rsidR="00250B5B" w:rsidRPr="004C4F75" w:rsidRDefault="12E88AAA" w:rsidP="00572FD4">
      <w:pPr>
        <w:tabs>
          <w:tab w:val="left" w:pos="567"/>
        </w:tabs>
        <w:spacing w:after="0" w:line="240" w:lineRule="auto"/>
        <w:ind w:firstLine="567"/>
        <w:contextualSpacing/>
        <w:jc w:val="both"/>
        <w:rPr>
          <w:sz w:val="24"/>
          <w:szCs w:val="24"/>
        </w:rPr>
      </w:pPr>
      <w:r w:rsidRPr="0595A900">
        <w:rPr>
          <w:sz w:val="24"/>
          <w:szCs w:val="24"/>
        </w:rPr>
        <w:t>Satiksmes ministrija pilnvarojusi EDZL un RBR, kuras ir atbildīgas par tām deleģētā valsts pārvaldes uzdevuma tiesisku un lietderīgu izpildi un</w:t>
      </w:r>
      <w:r w:rsidR="29F7DA9F" w:rsidRPr="0595A900">
        <w:rPr>
          <w:sz w:val="24"/>
          <w:szCs w:val="24"/>
        </w:rPr>
        <w:t>, ievērojot Valsts pārvaldes iekārtas likuma 44.pantu,</w:t>
      </w:r>
      <w:r w:rsidRPr="0595A900">
        <w:rPr>
          <w:sz w:val="24"/>
          <w:szCs w:val="24"/>
        </w:rPr>
        <w:t xml:space="preserve"> regresa kārtībā atlīdzina zaudējumus attiecīgajai publiskajai personai, ja zaudējumi radušies pilnvarotās personas prettiesiskas darbības vai bezdarbības rezultātā, vai ja pilnvarotā persona neizpilda vai pienācīgi nepilda deleģēto uzdevumu.</w:t>
      </w:r>
      <w:bookmarkEnd w:id="4"/>
    </w:p>
    <w:p w14:paraId="36BA3790" w14:textId="77777777" w:rsidR="00A81F16" w:rsidRDefault="00A81F16" w:rsidP="00A81F16">
      <w:pPr>
        <w:rPr>
          <w:rFonts w:eastAsiaTheme="minorEastAsia" w:cs="Times New Roman"/>
          <w:b/>
          <w:bCs/>
          <w:color w:val="000000" w:themeColor="text1"/>
          <w:sz w:val="24"/>
          <w:szCs w:val="24"/>
          <w:lang w:eastAsia="lv-LV"/>
        </w:rPr>
      </w:pPr>
    </w:p>
    <w:p w14:paraId="736F28DB" w14:textId="386285F7" w:rsidR="00351D56" w:rsidRPr="00660EB3" w:rsidRDefault="00351D56" w:rsidP="001D5E77">
      <w:pPr>
        <w:rPr>
          <w:rFonts w:eastAsiaTheme="minorEastAsia" w:cs="Times New Roman"/>
          <w:b/>
          <w:bCs/>
          <w:color w:val="000000" w:themeColor="text1"/>
          <w:sz w:val="24"/>
          <w:szCs w:val="24"/>
          <w:lang w:eastAsia="lv-LV"/>
        </w:rPr>
      </w:pPr>
      <w:r w:rsidRPr="00660EB3">
        <w:rPr>
          <w:rFonts w:eastAsiaTheme="minorEastAsia" w:cs="Times New Roman"/>
          <w:b/>
          <w:bCs/>
          <w:color w:val="000000" w:themeColor="text1"/>
          <w:sz w:val="24"/>
          <w:szCs w:val="24"/>
          <w:lang w:eastAsia="lv-LV"/>
        </w:rPr>
        <w:t>Pielikumā:</w:t>
      </w:r>
    </w:p>
    <w:p w14:paraId="0A7F59FD" w14:textId="43349E5C" w:rsidR="00351D56" w:rsidRPr="003F1977" w:rsidRDefault="00DB11B4" w:rsidP="00BD53D2">
      <w:pPr>
        <w:tabs>
          <w:tab w:val="left" w:pos="567"/>
        </w:tabs>
        <w:spacing w:after="0" w:line="240" w:lineRule="auto"/>
        <w:contextualSpacing/>
        <w:jc w:val="both"/>
        <w:rPr>
          <w:rFonts w:eastAsiaTheme="minorEastAsia" w:cs="Times New Roman"/>
          <w:color w:val="000000" w:themeColor="text1"/>
          <w:sz w:val="24"/>
          <w:szCs w:val="24"/>
          <w:lang w:eastAsia="lv-LV"/>
        </w:rPr>
      </w:pPr>
      <w:r w:rsidRPr="003F1977">
        <w:rPr>
          <w:rFonts w:eastAsiaTheme="minorEastAsia" w:cs="Times New Roman"/>
          <w:color w:val="000000" w:themeColor="text1"/>
          <w:sz w:val="24"/>
          <w:szCs w:val="24"/>
          <w:lang w:eastAsia="lv-LV"/>
        </w:rPr>
        <w:t>1. p</w:t>
      </w:r>
      <w:r w:rsidR="00351D56" w:rsidRPr="003F1977">
        <w:rPr>
          <w:rFonts w:eastAsiaTheme="minorEastAsia" w:cs="Times New Roman"/>
          <w:color w:val="000000" w:themeColor="text1"/>
          <w:sz w:val="24"/>
          <w:szCs w:val="24"/>
          <w:lang w:eastAsia="lv-LV"/>
        </w:rPr>
        <w:t xml:space="preserve">ielikums </w:t>
      </w:r>
      <w:r w:rsidRPr="003F1977">
        <w:rPr>
          <w:rFonts w:eastAsiaTheme="minorEastAsia" w:cs="Times New Roman"/>
          <w:color w:val="000000" w:themeColor="text1"/>
          <w:sz w:val="24"/>
          <w:szCs w:val="24"/>
          <w:lang w:eastAsia="lv-LV"/>
        </w:rPr>
        <w:t>„</w:t>
      </w:r>
      <w:r w:rsidR="00351D56" w:rsidRPr="003F1977">
        <w:rPr>
          <w:rFonts w:eastAsiaTheme="minorEastAsia" w:cs="Times New Roman"/>
          <w:color w:val="000000" w:themeColor="text1"/>
          <w:sz w:val="24"/>
          <w:szCs w:val="24"/>
          <w:lang w:eastAsia="lv-LV"/>
        </w:rPr>
        <w:t>Izdevumu pozīcijas pa attiecināmības veidiem un apmēriem CEF8 un CEF9 aktivitātēm”</w:t>
      </w:r>
      <w:r w:rsidR="00174A95" w:rsidRPr="003F1977">
        <w:rPr>
          <w:rFonts w:eastAsiaTheme="minorEastAsia" w:cs="Times New Roman"/>
          <w:color w:val="000000" w:themeColor="text1"/>
          <w:sz w:val="24"/>
          <w:szCs w:val="24"/>
          <w:lang w:eastAsia="lv-LV"/>
        </w:rPr>
        <w:t>.</w:t>
      </w:r>
    </w:p>
    <w:p w14:paraId="52ABFF46" w14:textId="54E5DD4D" w:rsidR="00351D56" w:rsidRPr="00BD53D2" w:rsidRDefault="00DB11B4" w:rsidP="00BD53D2">
      <w:pPr>
        <w:tabs>
          <w:tab w:val="left" w:pos="567"/>
        </w:tabs>
        <w:spacing w:after="0" w:line="240" w:lineRule="auto"/>
        <w:contextualSpacing/>
        <w:jc w:val="both"/>
        <w:rPr>
          <w:rFonts w:eastAsiaTheme="minorEastAsia" w:cs="Times New Roman"/>
          <w:color w:val="000000" w:themeColor="text1"/>
          <w:sz w:val="24"/>
          <w:szCs w:val="24"/>
          <w:lang w:eastAsia="lv-LV"/>
        </w:rPr>
      </w:pPr>
      <w:r w:rsidRPr="00BD53D2">
        <w:rPr>
          <w:rFonts w:eastAsiaTheme="minorEastAsia" w:cs="Times New Roman"/>
          <w:color w:val="000000" w:themeColor="text1"/>
          <w:sz w:val="24"/>
          <w:szCs w:val="24"/>
          <w:lang w:eastAsia="lv-LV"/>
        </w:rPr>
        <w:t>2. p</w:t>
      </w:r>
      <w:r w:rsidR="00351D56" w:rsidRPr="00BD53D2">
        <w:rPr>
          <w:rFonts w:eastAsiaTheme="minorEastAsia" w:cs="Times New Roman"/>
          <w:color w:val="000000" w:themeColor="text1"/>
          <w:sz w:val="24"/>
          <w:szCs w:val="24"/>
          <w:lang w:eastAsia="lv-LV"/>
        </w:rPr>
        <w:t xml:space="preserve">ielikums </w:t>
      </w:r>
      <w:r w:rsidRPr="00BD53D2">
        <w:rPr>
          <w:rFonts w:eastAsiaTheme="minorEastAsia" w:cs="Times New Roman"/>
          <w:color w:val="000000" w:themeColor="text1"/>
          <w:sz w:val="24"/>
          <w:szCs w:val="24"/>
          <w:lang w:eastAsia="lv-LV"/>
        </w:rPr>
        <w:t>„</w:t>
      </w:r>
      <w:r w:rsidR="00ED346D" w:rsidRPr="00BD53D2">
        <w:rPr>
          <w:rFonts w:eastAsiaTheme="minorEastAsia" w:cs="Times New Roman"/>
          <w:color w:val="000000" w:themeColor="text1"/>
          <w:sz w:val="24"/>
          <w:szCs w:val="24"/>
          <w:lang w:eastAsia="lv-LV"/>
        </w:rPr>
        <w:t xml:space="preserve">Būvniecības indeksu </w:t>
      </w:r>
      <w:r w:rsidR="005D02B7" w:rsidRPr="00BD53D2">
        <w:rPr>
          <w:rFonts w:eastAsiaTheme="minorEastAsia" w:cs="Times New Roman"/>
          <w:color w:val="000000" w:themeColor="text1"/>
          <w:sz w:val="24"/>
          <w:szCs w:val="24"/>
          <w:lang w:eastAsia="lv-LV"/>
        </w:rPr>
        <w:t>avoti</w:t>
      </w:r>
      <w:r w:rsidR="00351D56" w:rsidRPr="00BD53D2">
        <w:rPr>
          <w:rFonts w:eastAsiaTheme="minorEastAsia" w:cs="Times New Roman"/>
          <w:color w:val="000000" w:themeColor="text1"/>
          <w:sz w:val="24"/>
          <w:szCs w:val="24"/>
          <w:lang w:eastAsia="lv-LV"/>
        </w:rPr>
        <w:t>”</w:t>
      </w:r>
      <w:r w:rsidRPr="00BD53D2">
        <w:rPr>
          <w:rFonts w:eastAsiaTheme="minorEastAsia" w:cs="Times New Roman"/>
          <w:color w:val="000000" w:themeColor="text1"/>
          <w:sz w:val="24"/>
          <w:szCs w:val="24"/>
          <w:lang w:eastAsia="lv-LV"/>
        </w:rPr>
        <w:t>.</w:t>
      </w:r>
    </w:p>
    <w:p w14:paraId="10201DCE" w14:textId="1EC823DD" w:rsidR="00DB11B4" w:rsidRPr="00BD53D2" w:rsidRDefault="00DB11B4" w:rsidP="00BD53D2">
      <w:pPr>
        <w:tabs>
          <w:tab w:val="left" w:pos="567"/>
        </w:tabs>
        <w:spacing w:after="0" w:line="240" w:lineRule="auto"/>
        <w:contextualSpacing/>
        <w:jc w:val="both"/>
        <w:rPr>
          <w:rFonts w:eastAsiaTheme="minorEastAsia" w:cs="Times New Roman"/>
          <w:color w:val="000000" w:themeColor="text1"/>
          <w:sz w:val="24"/>
          <w:szCs w:val="24"/>
          <w:lang w:eastAsia="lv-LV"/>
        </w:rPr>
      </w:pPr>
      <w:r w:rsidRPr="00BD53D2">
        <w:rPr>
          <w:rFonts w:eastAsiaTheme="minorEastAsia" w:cs="Times New Roman"/>
          <w:color w:val="000000" w:themeColor="text1"/>
          <w:sz w:val="24"/>
          <w:szCs w:val="24"/>
          <w:lang w:eastAsia="lv-LV"/>
        </w:rPr>
        <w:t>3. pielikums „Iepirkuma komisijas sastāvs”.</w:t>
      </w:r>
    </w:p>
    <w:p w14:paraId="6A0A4D02" w14:textId="49382B75" w:rsidR="00DB11B4" w:rsidRDefault="00DB11B4" w:rsidP="00BD53D2">
      <w:pPr>
        <w:tabs>
          <w:tab w:val="left" w:pos="567"/>
        </w:tabs>
        <w:spacing w:after="0" w:line="240" w:lineRule="auto"/>
        <w:contextualSpacing/>
        <w:jc w:val="both"/>
        <w:rPr>
          <w:rFonts w:eastAsiaTheme="minorEastAsia" w:cs="Times New Roman"/>
          <w:color w:val="000000" w:themeColor="text1"/>
          <w:sz w:val="24"/>
          <w:szCs w:val="24"/>
          <w:lang w:eastAsia="lv-LV"/>
        </w:rPr>
      </w:pPr>
      <w:r w:rsidRPr="00BD53D2">
        <w:rPr>
          <w:rFonts w:eastAsiaTheme="minorEastAsia" w:cs="Times New Roman"/>
          <w:color w:val="000000" w:themeColor="text1"/>
          <w:sz w:val="24"/>
          <w:szCs w:val="24"/>
          <w:lang w:eastAsia="lv-LV"/>
        </w:rPr>
        <w:t xml:space="preserve">4. </w:t>
      </w:r>
      <w:r w:rsidR="00BD53D2">
        <w:rPr>
          <w:rFonts w:eastAsiaTheme="minorEastAsia" w:cs="Times New Roman"/>
          <w:color w:val="000000" w:themeColor="text1"/>
          <w:sz w:val="24"/>
          <w:szCs w:val="24"/>
          <w:lang w:eastAsia="lv-LV"/>
        </w:rPr>
        <w:t>pielikums</w:t>
      </w:r>
      <w:r w:rsidR="00357DCF">
        <w:rPr>
          <w:rFonts w:eastAsiaTheme="minorEastAsia" w:cs="Times New Roman"/>
          <w:color w:val="000000" w:themeColor="text1"/>
          <w:sz w:val="24"/>
          <w:szCs w:val="24"/>
          <w:lang w:eastAsia="lv-LV"/>
        </w:rPr>
        <w:t xml:space="preserve"> „</w:t>
      </w:r>
      <w:r w:rsidR="00357DCF" w:rsidRPr="00357DCF">
        <w:rPr>
          <w:rFonts w:eastAsiaTheme="minorEastAsia" w:cs="Times New Roman"/>
          <w:color w:val="000000" w:themeColor="text1"/>
          <w:sz w:val="24"/>
          <w:szCs w:val="24"/>
          <w:lang w:eastAsia="lv-LV"/>
        </w:rPr>
        <w:t>Iepirkumā iesaistītie konsultanti</w:t>
      </w:r>
      <w:r w:rsidR="00357DCF">
        <w:rPr>
          <w:rFonts w:eastAsiaTheme="minorEastAsia" w:cs="Times New Roman"/>
          <w:color w:val="000000" w:themeColor="text1"/>
          <w:sz w:val="24"/>
          <w:szCs w:val="24"/>
          <w:lang w:eastAsia="lv-LV"/>
        </w:rPr>
        <w:t>”.</w:t>
      </w:r>
    </w:p>
    <w:p w14:paraId="64BB2D57" w14:textId="47B49A70" w:rsidR="00BD53D2" w:rsidRDefault="00BD53D2" w:rsidP="00BD53D2">
      <w:pPr>
        <w:tabs>
          <w:tab w:val="left" w:pos="567"/>
        </w:tabs>
        <w:spacing w:after="0" w:line="240" w:lineRule="auto"/>
        <w:contextualSpacing/>
        <w:jc w:val="both"/>
        <w:rPr>
          <w:rFonts w:eastAsiaTheme="minorEastAsia" w:cs="Times New Roman"/>
          <w:color w:val="000000" w:themeColor="text1"/>
          <w:sz w:val="24"/>
          <w:szCs w:val="24"/>
          <w:lang w:eastAsia="lv-LV"/>
        </w:rPr>
      </w:pPr>
      <w:r>
        <w:rPr>
          <w:rFonts w:eastAsiaTheme="minorEastAsia" w:cs="Times New Roman"/>
          <w:color w:val="000000" w:themeColor="text1"/>
          <w:sz w:val="24"/>
          <w:szCs w:val="24"/>
          <w:lang w:eastAsia="lv-LV"/>
        </w:rPr>
        <w:t>5. pielikums</w:t>
      </w:r>
      <w:r w:rsidR="00357DCF">
        <w:rPr>
          <w:rFonts w:eastAsiaTheme="minorEastAsia" w:cs="Times New Roman"/>
          <w:color w:val="000000" w:themeColor="text1"/>
          <w:sz w:val="24"/>
          <w:szCs w:val="24"/>
          <w:lang w:eastAsia="lv-LV"/>
        </w:rPr>
        <w:t xml:space="preserve"> „</w:t>
      </w:r>
      <w:r w:rsidR="00357DCF" w:rsidRPr="00357DCF">
        <w:rPr>
          <w:rFonts w:eastAsiaTheme="minorEastAsia" w:cs="Times New Roman"/>
          <w:color w:val="000000" w:themeColor="text1"/>
          <w:sz w:val="24"/>
          <w:szCs w:val="24"/>
          <w:lang w:eastAsia="lv-LV"/>
        </w:rPr>
        <w:t>EDZL skaidrojums par iesniegto prasību tiesā</w:t>
      </w:r>
      <w:r w:rsidR="00357DCF">
        <w:rPr>
          <w:rFonts w:eastAsiaTheme="minorEastAsia" w:cs="Times New Roman"/>
          <w:color w:val="000000" w:themeColor="text1"/>
          <w:sz w:val="24"/>
          <w:szCs w:val="24"/>
          <w:lang w:eastAsia="lv-LV"/>
        </w:rPr>
        <w:t>”.</w:t>
      </w:r>
    </w:p>
    <w:p w14:paraId="67E6D187" w14:textId="6147FA67" w:rsidR="00DB11B4" w:rsidRPr="00660EB3" w:rsidRDefault="00BD53D2" w:rsidP="00BD53D2">
      <w:pPr>
        <w:tabs>
          <w:tab w:val="left" w:pos="567"/>
        </w:tabs>
        <w:spacing w:after="0" w:line="240" w:lineRule="auto"/>
        <w:contextualSpacing/>
        <w:jc w:val="both"/>
        <w:rPr>
          <w:rFonts w:eastAsiaTheme="minorEastAsia" w:cs="Times New Roman"/>
          <w:color w:val="000000" w:themeColor="text1"/>
          <w:sz w:val="24"/>
          <w:szCs w:val="24"/>
          <w:lang w:eastAsia="lv-LV"/>
        </w:rPr>
      </w:pPr>
      <w:r>
        <w:rPr>
          <w:rFonts w:eastAsiaTheme="minorEastAsia" w:cs="Times New Roman"/>
          <w:color w:val="000000" w:themeColor="text1"/>
          <w:sz w:val="24"/>
          <w:szCs w:val="24"/>
          <w:lang w:eastAsia="lv-LV"/>
        </w:rPr>
        <w:t>6. pielikums</w:t>
      </w:r>
      <w:r w:rsidR="00357DCF">
        <w:rPr>
          <w:rFonts w:eastAsiaTheme="minorEastAsia" w:cs="Times New Roman"/>
          <w:color w:val="000000" w:themeColor="text1"/>
          <w:sz w:val="24"/>
          <w:szCs w:val="24"/>
          <w:lang w:eastAsia="lv-LV"/>
        </w:rPr>
        <w:t xml:space="preserve"> „</w:t>
      </w:r>
      <w:r w:rsidR="00626F86" w:rsidRPr="00626F86">
        <w:rPr>
          <w:rFonts w:eastAsiaTheme="minorEastAsia" w:cs="Times New Roman"/>
          <w:color w:val="000000" w:themeColor="text1"/>
          <w:sz w:val="24"/>
          <w:szCs w:val="24"/>
          <w:lang w:eastAsia="lv-LV"/>
        </w:rPr>
        <w:t>EDZL skaidrojums par riskiem, kas saistīti ar iesniegto prasību tiesā</w:t>
      </w:r>
      <w:r w:rsidR="00357DCF">
        <w:rPr>
          <w:rFonts w:eastAsiaTheme="minorEastAsia" w:cs="Times New Roman"/>
          <w:color w:val="000000" w:themeColor="text1"/>
          <w:sz w:val="24"/>
          <w:szCs w:val="24"/>
          <w:lang w:eastAsia="lv-LV"/>
        </w:rPr>
        <w:t>”.</w:t>
      </w:r>
    </w:p>
    <w:p w14:paraId="70BE7044" w14:textId="77777777" w:rsidR="00234D4E" w:rsidRDefault="00234D4E" w:rsidP="00056AFE">
      <w:pPr>
        <w:tabs>
          <w:tab w:val="left" w:pos="7088"/>
        </w:tabs>
        <w:spacing w:after="0" w:line="240" w:lineRule="auto"/>
        <w:contextualSpacing/>
        <w:jc w:val="both"/>
        <w:rPr>
          <w:rFonts w:eastAsia="Times New Roman" w:cs="Times New Roman"/>
          <w:sz w:val="24"/>
          <w:szCs w:val="24"/>
          <w:lang w:val="cs-CZ"/>
        </w:rPr>
      </w:pPr>
    </w:p>
    <w:p w14:paraId="3447F813" w14:textId="77777777" w:rsidR="00234D4E" w:rsidRDefault="00234D4E" w:rsidP="00056AFE">
      <w:pPr>
        <w:tabs>
          <w:tab w:val="left" w:pos="7088"/>
        </w:tabs>
        <w:spacing w:after="0" w:line="240" w:lineRule="auto"/>
        <w:contextualSpacing/>
        <w:jc w:val="both"/>
        <w:rPr>
          <w:rFonts w:eastAsia="Times New Roman" w:cs="Times New Roman"/>
          <w:sz w:val="24"/>
          <w:szCs w:val="24"/>
          <w:lang w:val="cs-CZ"/>
        </w:rPr>
      </w:pPr>
    </w:p>
    <w:p w14:paraId="7D7B66AB" w14:textId="43B28FEB" w:rsidR="00234D4E" w:rsidRPr="00660EB3" w:rsidRDefault="00234D4E" w:rsidP="00056AFE">
      <w:pPr>
        <w:tabs>
          <w:tab w:val="left" w:pos="7088"/>
        </w:tabs>
        <w:spacing w:after="0" w:line="240" w:lineRule="auto"/>
        <w:contextualSpacing/>
        <w:jc w:val="both"/>
        <w:rPr>
          <w:rFonts w:eastAsia="Times New Roman" w:cs="Times New Roman"/>
          <w:sz w:val="24"/>
          <w:szCs w:val="24"/>
          <w:lang w:val="cs-CZ"/>
        </w:rPr>
      </w:pPr>
      <w:r w:rsidRPr="00660EB3">
        <w:rPr>
          <w:rFonts w:eastAsia="Times New Roman" w:cs="Times New Roman"/>
          <w:sz w:val="24"/>
          <w:szCs w:val="24"/>
          <w:lang w:val="cs-CZ"/>
        </w:rPr>
        <w:t>Satiksmes ministrs</w:t>
      </w:r>
      <w:r w:rsidRPr="00660EB3">
        <w:rPr>
          <w:rFonts w:eastAsia="Times New Roman" w:cs="Times New Roman"/>
          <w:sz w:val="24"/>
          <w:szCs w:val="24"/>
          <w:lang w:val="cs-CZ"/>
        </w:rPr>
        <w:tab/>
        <w:t>K.Briškens</w:t>
      </w:r>
      <w:r w:rsidRPr="00660EB3">
        <w:rPr>
          <w:rFonts w:cs="Times New Roman"/>
          <w:sz w:val="24"/>
          <w:szCs w:val="24"/>
        </w:rPr>
        <w:tab/>
      </w:r>
      <w:r w:rsidRPr="00660EB3">
        <w:rPr>
          <w:rFonts w:eastAsia="Times New Roman" w:cs="Times New Roman"/>
          <w:sz w:val="24"/>
          <w:szCs w:val="24"/>
          <w:lang w:val="cs-CZ"/>
        </w:rPr>
        <w:t xml:space="preserve"> </w:t>
      </w:r>
    </w:p>
    <w:p w14:paraId="021E97D9" w14:textId="77777777" w:rsidR="00234D4E" w:rsidRPr="00660EB3" w:rsidRDefault="00234D4E" w:rsidP="00056AFE">
      <w:pPr>
        <w:tabs>
          <w:tab w:val="left" w:pos="7088"/>
        </w:tabs>
        <w:spacing w:after="0" w:line="240" w:lineRule="auto"/>
        <w:ind w:left="851"/>
        <w:contextualSpacing/>
        <w:jc w:val="both"/>
        <w:rPr>
          <w:rFonts w:eastAsia="Times New Roman" w:cs="Times New Roman"/>
          <w:sz w:val="24"/>
          <w:szCs w:val="24"/>
          <w:lang w:val="cs-CZ"/>
        </w:rPr>
      </w:pPr>
    </w:p>
    <w:p w14:paraId="6AB41EB2" w14:textId="77777777" w:rsidR="00234D4E" w:rsidRPr="00660EB3" w:rsidRDefault="00234D4E" w:rsidP="00056AFE">
      <w:pPr>
        <w:tabs>
          <w:tab w:val="left" w:pos="7088"/>
        </w:tabs>
        <w:spacing w:after="0" w:line="240" w:lineRule="auto"/>
        <w:contextualSpacing/>
        <w:jc w:val="both"/>
        <w:rPr>
          <w:rFonts w:eastAsia="Times New Roman" w:cs="Times New Roman"/>
          <w:sz w:val="24"/>
          <w:szCs w:val="24"/>
          <w:lang w:val="cs-CZ"/>
        </w:rPr>
      </w:pPr>
    </w:p>
    <w:p w14:paraId="31A66B43" w14:textId="77777777" w:rsidR="00234D4E" w:rsidRPr="00660EB3" w:rsidRDefault="00234D4E" w:rsidP="00056AFE">
      <w:pPr>
        <w:spacing w:after="0" w:line="240" w:lineRule="auto"/>
        <w:contextualSpacing/>
        <w:jc w:val="both"/>
        <w:rPr>
          <w:rFonts w:cs="Times New Roman"/>
          <w:bCs/>
          <w:sz w:val="24"/>
          <w:szCs w:val="24"/>
        </w:rPr>
      </w:pPr>
    </w:p>
    <w:p w14:paraId="586DB7CA" w14:textId="77777777" w:rsidR="00234D4E" w:rsidRPr="00660EB3" w:rsidRDefault="00234D4E" w:rsidP="00056AFE">
      <w:pPr>
        <w:spacing w:after="0" w:line="240" w:lineRule="auto"/>
        <w:contextualSpacing/>
        <w:jc w:val="both"/>
        <w:rPr>
          <w:rFonts w:cs="Times New Roman"/>
          <w:bCs/>
          <w:sz w:val="24"/>
          <w:szCs w:val="24"/>
        </w:rPr>
      </w:pPr>
    </w:p>
    <w:p w14:paraId="30D26DB1" w14:textId="77777777" w:rsidR="00351D56" w:rsidRPr="00660EB3" w:rsidRDefault="00351D56" w:rsidP="00056AFE">
      <w:pPr>
        <w:tabs>
          <w:tab w:val="left" w:pos="6663"/>
        </w:tabs>
        <w:spacing w:after="0" w:line="240" w:lineRule="auto"/>
        <w:contextualSpacing/>
        <w:jc w:val="both"/>
        <w:rPr>
          <w:rFonts w:eastAsiaTheme="minorEastAsia" w:cs="Times New Roman"/>
          <w:sz w:val="24"/>
          <w:szCs w:val="24"/>
          <w:lang w:eastAsia="lv-LV"/>
        </w:rPr>
      </w:pPr>
    </w:p>
    <w:p w14:paraId="64711833" w14:textId="77777777" w:rsidR="00D061B4" w:rsidRDefault="00D061B4" w:rsidP="00056AFE">
      <w:pPr>
        <w:spacing w:after="0" w:line="240" w:lineRule="auto"/>
        <w:contextualSpacing/>
        <w:rPr>
          <w:rFonts w:eastAsia="Calibri" w:cs="Times New Roman"/>
          <w:b/>
          <w:bCs/>
          <w:kern w:val="2"/>
          <w:sz w:val="24"/>
          <w:szCs w:val="24"/>
          <w14:ligatures w14:val="standardContextual"/>
        </w:rPr>
      </w:pPr>
      <w:r>
        <w:rPr>
          <w:rFonts w:eastAsia="Calibri" w:cs="Times New Roman"/>
          <w:b/>
          <w:bCs/>
          <w:kern w:val="2"/>
          <w:sz w:val="24"/>
          <w:szCs w:val="24"/>
          <w14:ligatures w14:val="standardContextual"/>
        </w:rPr>
        <w:br w:type="page"/>
      </w:r>
    </w:p>
    <w:p w14:paraId="1FF6202E" w14:textId="51F8B240" w:rsidR="00351D56" w:rsidRPr="003F1977" w:rsidRDefault="00CA20DA" w:rsidP="003F1977">
      <w:pPr>
        <w:pStyle w:val="ListParagraph"/>
        <w:numPr>
          <w:ilvl w:val="2"/>
          <w:numId w:val="23"/>
        </w:numPr>
        <w:jc w:val="right"/>
        <w:rPr>
          <w:rFonts w:eastAsia="Calibri" w:cs="Times New Roman"/>
          <w:b/>
          <w:bCs/>
          <w:kern w:val="2"/>
          <w:szCs w:val="24"/>
          <w14:ligatures w14:val="standardContextual"/>
        </w:rPr>
      </w:pPr>
      <w:r>
        <w:rPr>
          <w:rFonts w:eastAsia="Calibri" w:cs="Times New Roman"/>
          <w:b/>
          <w:bCs/>
          <w:kern w:val="2"/>
          <w:szCs w:val="24"/>
          <w14:ligatures w14:val="standardContextual"/>
        </w:rPr>
        <w:lastRenderedPageBreak/>
        <w:t>p</w:t>
      </w:r>
      <w:r w:rsidR="00351D56" w:rsidRPr="003F1977">
        <w:rPr>
          <w:rFonts w:eastAsia="Calibri" w:cs="Times New Roman"/>
          <w:b/>
          <w:bCs/>
          <w:kern w:val="2"/>
          <w:szCs w:val="24"/>
          <w14:ligatures w14:val="standardContextual"/>
        </w:rPr>
        <w:t>ielikums</w:t>
      </w:r>
    </w:p>
    <w:p w14:paraId="403D558F" w14:textId="77777777" w:rsidR="00351D56" w:rsidRPr="00660EB3" w:rsidRDefault="00351D56" w:rsidP="00056AFE">
      <w:pPr>
        <w:spacing w:after="0" w:line="240" w:lineRule="auto"/>
        <w:contextualSpacing/>
        <w:jc w:val="right"/>
        <w:rPr>
          <w:rFonts w:eastAsia="Calibri" w:cs="Times New Roman"/>
          <w:b/>
          <w:bCs/>
          <w:kern w:val="2"/>
          <w:sz w:val="24"/>
          <w:szCs w:val="24"/>
          <w14:ligatures w14:val="standardContextual"/>
        </w:rPr>
      </w:pPr>
      <w:r w:rsidRPr="00660EB3">
        <w:rPr>
          <w:rFonts w:eastAsia="Calibri" w:cs="Times New Roman"/>
          <w:b/>
          <w:bCs/>
          <w:kern w:val="2"/>
          <w:sz w:val="24"/>
          <w:szCs w:val="24"/>
          <w14:ligatures w14:val="standardContextual"/>
        </w:rPr>
        <w:t>Izdevumu pozīcijas pa attiecināmības veidiem un apmēriem CEF8 un CEF9 aktivitātēm</w:t>
      </w:r>
    </w:p>
    <w:p w14:paraId="570A29C7" w14:textId="77777777" w:rsidR="00126A0C" w:rsidRPr="00660EB3" w:rsidRDefault="00126A0C" w:rsidP="00056AFE">
      <w:pPr>
        <w:spacing w:after="0" w:line="240" w:lineRule="auto"/>
        <w:contextualSpacing/>
        <w:jc w:val="right"/>
        <w:rPr>
          <w:rFonts w:eastAsia="Calibri" w:cs="Times New Roman"/>
          <w:b/>
          <w:bCs/>
          <w:kern w:val="2"/>
          <w:sz w:val="24"/>
          <w:szCs w:val="24"/>
          <w14:ligatures w14:val="standardContextual"/>
        </w:rPr>
      </w:pPr>
    </w:p>
    <w:p w14:paraId="0C08286B" w14:textId="77777777" w:rsidR="00351D56" w:rsidRDefault="00351D56" w:rsidP="00056AFE">
      <w:pPr>
        <w:spacing w:after="0" w:line="240" w:lineRule="auto"/>
        <w:contextualSpacing/>
        <w:jc w:val="both"/>
        <w:rPr>
          <w:rFonts w:eastAsia="Calibri" w:cs="Times New Roman"/>
          <w:kern w:val="2"/>
          <w:sz w:val="24"/>
          <w:szCs w:val="24"/>
          <w14:ligatures w14:val="standardContextual"/>
        </w:rPr>
      </w:pPr>
      <w:r w:rsidRPr="00660EB3">
        <w:rPr>
          <w:rFonts w:eastAsia="Calibri" w:cs="Times New Roman"/>
          <w:kern w:val="2"/>
          <w:sz w:val="24"/>
          <w:szCs w:val="24"/>
          <w14:ligatures w14:val="standardContextual"/>
        </w:rPr>
        <w:t>Izdevumu sadalījums CEF8 un CEF9 aktivitātēm, sadalot tās kategorijās – CEF un valsts budžets. Norādītie apjomi ir aptuveni.</w:t>
      </w:r>
    </w:p>
    <w:p w14:paraId="1282D770" w14:textId="77777777" w:rsidR="005E50A6" w:rsidRPr="00660EB3" w:rsidRDefault="005E50A6" w:rsidP="00056AFE">
      <w:pPr>
        <w:spacing w:after="0" w:line="240" w:lineRule="auto"/>
        <w:contextualSpacing/>
        <w:jc w:val="both"/>
        <w:rPr>
          <w:rFonts w:eastAsia="Calibri" w:cs="Times New Roman"/>
          <w:kern w:val="2"/>
          <w:sz w:val="24"/>
          <w:szCs w:val="24"/>
          <w14:ligatures w14:val="standardContextual"/>
        </w:rPr>
      </w:pPr>
    </w:p>
    <w:tbl>
      <w:tblPr>
        <w:tblStyle w:val="TableGrid21"/>
        <w:tblW w:w="9401" w:type="dxa"/>
        <w:tblLook w:val="04A0" w:firstRow="1" w:lastRow="0" w:firstColumn="1" w:lastColumn="0" w:noHBand="0" w:noVBand="1"/>
      </w:tblPr>
      <w:tblGrid>
        <w:gridCol w:w="1849"/>
        <w:gridCol w:w="2157"/>
        <w:gridCol w:w="1858"/>
        <w:gridCol w:w="1639"/>
        <w:gridCol w:w="1898"/>
      </w:tblGrid>
      <w:tr w:rsidR="00F24129" w:rsidRPr="00660EB3" w14:paraId="7F704F23" w14:textId="77777777" w:rsidTr="3F02235E">
        <w:tc>
          <w:tcPr>
            <w:tcW w:w="1849" w:type="dxa"/>
            <w:shd w:val="clear" w:color="auto" w:fill="D9D9D9" w:themeFill="background1" w:themeFillShade="D9"/>
            <w:vAlign w:val="center"/>
          </w:tcPr>
          <w:p w14:paraId="30033FB4" w14:textId="77777777" w:rsidR="00F24129" w:rsidRPr="00660EB3" w:rsidRDefault="00F24129" w:rsidP="00056AFE">
            <w:pPr>
              <w:contextualSpacing/>
              <w:jc w:val="center"/>
              <w:rPr>
                <w:rFonts w:cs="Times New Roman"/>
                <w:b/>
                <w:bCs/>
                <w:sz w:val="20"/>
                <w:szCs w:val="20"/>
              </w:rPr>
            </w:pPr>
            <w:r w:rsidRPr="00660EB3">
              <w:rPr>
                <w:rFonts w:cs="Times New Roman"/>
                <w:b/>
                <w:bCs/>
                <w:sz w:val="20"/>
                <w:szCs w:val="20"/>
              </w:rPr>
              <w:t>Līguma izdevumu pozīcija</w:t>
            </w:r>
          </w:p>
        </w:tc>
        <w:tc>
          <w:tcPr>
            <w:tcW w:w="2157" w:type="dxa"/>
            <w:shd w:val="clear" w:color="auto" w:fill="D9D9D9" w:themeFill="background1" w:themeFillShade="D9"/>
            <w:vAlign w:val="center"/>
          </w:tcPr>
          <w:p w14:paraId="07AFA407" w14:textId="2F18C775" w:rsidR="00F24129" w:rsidRPr="00660EB3" w:rsidRDefault="00F24129" w:rsidP="00056AFE">
            <w:pPr>
              <w:contextualSpacing/>
              <w:jc w:val="center"/>
              <w:rPr>
                <w:rFonts w:cs="Times New Roman"/>
                <w:b/>
                <w:bCs/>
                <w:sz w:val="20"/>
                <w:szCs w:val="20"/>
              </w:rPr>
            </w:pPr>
            <w:r w:rsidRPr="00660EB3">
              <w:rPr>
                <w:rFonts w:cs="Times New Roman"/>
                <w:b/>
                <w:bCs/>
                <w:sz w:val="20"/>
                <w:szCs w:val="20"/>
              </w:rPr>
              <w:t>CEF8, CEF9 (</w:t>
            </w:r>
            <w:r w:rsidR="002C5510" w:rsidRPr="002C5510">
              <w:rPr>
                <w:rFonts w:cs="Times New Roman"/>
                <w:b/>
                <w:bCs/>
                <w:i/>
                <w:sz w:val="20"/>
                <w:szCs w:val="20"/>
              </w:rPr>
              <w:t>euro</w:t>
            </w:r>
            <w:r w:rsidRPr="00660EB3">
              <w:rPr>
                <w:rFonts w:cs="Times New Roman"/>
                <w:b/>
                <w:bCs/>
                <w:sz w:val="20"/>
                <w:szCs w:val="20"/>
              </w:rPr>
              <w:t>)</w:t>
            </w:r>
          </w:p>
        </w:tc>
        <w:tc>
          <w:tcPr>
            <w:tcW w:w="1858" w:type="dxa"/>
            <w:shd w:val="clear" w:color="auto" w:fill="D9D9D9" w:themeFill="background1" w:themeFillShade="D9"/>
            <w:vAlign w:val="center"/>
          </w:tcPr>
          <w:p w14:paraId="78344687" w14:textId="64A89BF5" w:rsidR="00F24129" w:rsidRPr="00660EB3" w:rsidRDefault="00F24129" w:rsidP="00056AFE">
            <w:pPr>
              <w:contextualSpacing/>
              <w:jc w:val="center"/>
              <w:rPr>
                <w:rFonts w:cs="Times New Roman"/>
                <w:b/>
                <w:bCs/>
                <w:sz w:val="20"/>
                <w:szCs w:val="20"/>
              </w:rPr>
            </w:pPr>
            <w:r w:rsidRPr="00660EB3">
              <w:rPr>
                <w:rFonts w:cs="Times New Roman"/>
                <w:b/>
                <w:bCs/>
                <w:sz w:val="20"/>
                <w:szCs w:val="20"/>
              </w:rPr>
              <w:t>Valsts budžet</w:t>
            </w:r>
            <w:r w:rsidR="00DA2645">
              <w:rPr>
                <w:rFonts w:cs="Times New Roman"/>
                <w:b/>
                <w:bCs/>
                <w:sz w:val="20"/>
                <w:szCs w:val="20"/>
              </w:rPr>
              <w:t xml:space="preserve">a līdzfinansējums </w:t>
            </w:r>
            <w:r w:rsidRPr="00660EB3">
              <w:rPr>
                <w:rFonts w:cs="Times New Roman"/>
                <w:b/>
                <w:bCs/>
                <w:sz w:val="20"/>
                <w:szCs w:val="20"/>
              </w:rPr>
              <w:t>(</w:t>
            </w:r>
            <w:r w:rsidR="002C5510" w:rsidRPr="002C5510">
              <w:rPr>
                <w:rFonts w:cs="Times New Roman"/>
                <w:b/>
                <w:bCs/>
                <w:i/>
                <w:sz w:val="20"/>
                <w:szCs w:val="20"/>
              </w:rPr>
              <w:t>euro</w:t>
            </w:r>
            <w:r w:rsidRPr="00660EB3">
              <w:rPr>
                <w:rFonts w:cs="Times New Roman"/>
                <w:b/>
                <w:bCs/>
                <w:sz w:val="20"/>
                <w:szCs w:val="20"/>
              </w:rPr>
              <w:t>)</w:t>
            </w:r>
          </w:p>
        </w:tc>
        <w:tc>
          <w:tcPr>
            <w:tcW w:w="1639" w:type="dxa"/>
            <w:shd w:val="clear" w:color="auto" w:fill="D9D9D9" w:themeFill="background1" w:themeFillShade="D9"/>
            <w:vAlign w:val="center"/>
          </w:tcPr>
          <w:p w14:paraId="0882ACC5" w14:textId="77777777" w:rsidR="00F24129" w:rsidRPr="00660EB3" w:rsidRDefault="00F24129" w:rsidP="00056AFE">
            <w:pPr>
              <w:contextualSpacing/>
              <w:jc w:val="center"/>
              <w:rPr>
                <w:rFonts w:cs="Times New Roman"/>
                <w:b/>
                <w:bCs/>
                <w:sz w:val="20"/>
                <w:szCs w:val="20"/>
              </w:rPr>
            </w:pPr>
            <w:r w:rsidRPr="00660EB3">
              <w:rPr>
                <w:rFonts w:cs="Times New Roman"/>
                <w:b/>
                <w:bCs/>
                <w:sz w:val="20"/>
                <w:szCs w:val="20"/>
              </w:rPr>
              <w:t>PVN</w:t>
            </w:r>
          </w:p>
          <w:p w14:paraId="182AC1A2" w14:textId="3373F8A5" w:rsidR="00F24129" w:rsidRPr="00660EB3" w:rsidRDefault="00F24129" w:rsidP="00056AFE">
            <w:pPr>
              <w:contextualSpacing/>
              <w:jc w:val="center"/>
              <w:rPr>
                <w:rFonts w:cs="Times New Roman"/>
                <w:b/>
                <w:bCs/>
                <w:sz w:val="20"/>
                <w:szCs w:val="20"/>
              </w:rPr>
            </w:pPr>
            <w:r w:rsidRPr="00660EB3">
              <w:rPr>
                <w:rFonts w:cs="Times New Roman"/>
                <w:b/>
                <w:bCs/>
                <w:sz w:val="20"/>
                <w:szCs w:val="20"/>
              </w:rPr>
              <w:t>(</w:t>
            </w:r>
            <w:r w:rsidR="002C5510" w:rsidRPr="002C5510">
              <w:rPr>
                <w:rFonts w:cs="Times New Roman"/>
                <w:b/>
                <w:bCs/>
                <w:i/>
                <w:sz w:val="20"/>
                <w:szCs w:val="20"/>
              </w:rPr>
              <w:t>euro</w:t>
            </w:r>
            <w:r w:rsidRPr="00660EB3">
              <w:rPr>
                <w:rFonts w:cs="Times New Roman"/>
                <w:b/>
                <w:bCs/>
                <w:sz w:val="20"/>
                <w:szCs w:val="20"/>
              </w:rPr>
              <w:t>)</w:t>
            </w:r>
          </w:p>
        </w:tc>
        <w:tc>
          <w:tcPr>
            <w:tcW w:w="1898" w:type="dxa"/>
            <w:shd w:val="clear" w:color="auto" w:fill="D9D9D9" w:themeFill="background1" w:themeFillShade="D9"/>
            <w:vAlign w:val="center"/>
          </w:tcPr>
          <w:p w14:paraId="53F5882D" w14:textId="2BD7EC0B" w:rsidR="00F24129" w:rsidRPr="00660EB3" w:rsidRDefault="00270E09" w:rsidP="00056AFE">
            <w:pPr>
              <w:contextualSpacing/>
              <w:jc w:val="center"/>
              <w:rPr>
                <w:rFonts w:cs="Times New Roman"/>
                <w:b/>
                <w:bCs/>
                <w:sz w:val="20"/>
                <w:szCs w:val="20"/>
              </w:rPr>
            </w:pPr>
            <w:r w:rsidRPr="00660EB3">
              <w:rPr>
                <w:rFonts w:cs="Times New Roman"/>
                <w:b/>
                <w:bCs/>
                <w:sz w:val="20"/>
                <w:szCs w:val="20"/>
              </w:rPr>
              <w:t>Kopā</w:t>
            </w:r>
          </w:p>
          <w:p w14:paraId="3B5322F1" w14:textId="0316A856" w:rsidR="00F24129" w:rsidRPr="00660EB3" w:rsidRDefault="009A08AE" w:rsidP="00056AFE">
            <w:pPr>
              <w:contextualSpacing/>
              <w:jc w:val="center"/>
              <w:rPr>
                <w:rFonts w:cs="Times New Roman"/>
                <w:b/>
                <w:bCs/>
                <w:sz w:val="20"/>
                <w:szCs w:val="20"/>
              </w:rPr>
            </w:pPr>
            <w:r w:rsidRPr="00660EB3">
              <w:rPr>
                <w:rFonts w:cs="Times New Roman"/>
                <w:b/>
                <w:bCs/>
                <w:sz w:val="20"/>
                <w:szCs w:val="20"/>
              </w:rPr>
              <w:t>(</w:t>
            </w:r>
            <w:r w:rsidR="002C5510" w:rsidRPr="002C5510">
              <w:rPr>
                <w:rFonts w:cs="Times New Roman"/>
                <w:b/>
                <w:bCs/>
                <w:i/>
                <w:sz w:val="20"/>
                <w:szCs w:val="20"/>
              </w:rPr>
              <w:t>euro</w:t>
            </w:r>
            <w:r w:rsidRPr="00660EB3">
              <w:rPr>
                <w:rFonts w:cs="Times New Roman"/>
                <w:b/>
                <w:bCs/>
                <w:sz w:val="20"/>
                <w:szCs w:val="20"/>
              </w:rPr>
              <w:t>)</w:t>
            </w:r>
          </w:p>
        </w:tc>
      </w:tr>
      <w:tr w:rsidR="00F24129" w:rsidRPr="00660EB3" w14:paraId="4FB4DCCE" w14:textId="77777777" w:rsidTr="3F02235E">
        <w:tc>
          <w:tcPr>
            <w:tcW w:w="1849" w:type="dxa"/>
            <w:vAlign w:val="center"/>
          </w:tcPr>
          <w:p w14:paraId="1298FEE2" w14:textId="77777777" w:rsidR="00F24129" w:rsidRPr="00660EB3" w:rsidRDefault="00F24129" w:rsidP="00056AFE">
            <w:pPr>
              <w:contextualSpacing/>
              <w:jc w:val="center"/>
              <w:rPr>
                <w:rFonts w:cs="Times New Roman"/>
                <w:sz w:val="20"/>
                <w:szCs w:val="20"/>
              </w:rPr>
            </w:pPr>
            <w:r w:rsidRPr="00660EB3">
              <w:rPr>
                <w:rFonts w:cs="Times New Roman"/>
                <w:sz w:val="20"/>
                <w:szCs w:val="20"/>
              </w:rPr>
              <w:t>Cilvēkresursi, DRCP fāze, nodevumi un izpilddokumentācija</w:t>
            </w:r>
          </w:p>
          <w:p w14:paraId="1276DFAC" w14:textId="77777777" w:rsidR="00F24129" w:rsidRPr="00660EB3" w:rsidRDefault="00F24129" w:rsidP="00056AFE">
            <w:pPr>
              <w:contextualSpacing/>
              <w:jc w:val="center"/>
              <w:rPr>
                <w:rFonts w:cs="Times New Roman"/>
                <w:sz w:val="20"/>
                <w:szCs w:val="20"/>
              </w:rPr>
            </w:pPr>
            <w:r w:rsidRPr="00660EB3">
              <w:rPr>
                <w:rFonts w:cs="Times New Roman"/>
                <w:sz w:val="20"/>
                <w:szCs w:val="20"/>
              </w:rPr>
              <w:t>Pamattrase (5 būvatļaujas)</w:t>
            </w:r>
          </w:p>
        </w:tc>
        <w:tc>
          <w:tcPr>
            <w:tcW w:w="2157" w:type="dxa"/>
            <w:vAlign w:val="center"/>
          </w:tcPr>
          <w:p w14:paraId="756F8C78" w14:textId="15873B3D" w:rsidR="00F24129" w:rsidRPr="00660EB3" w:rsidRDefault="00F24129" w:rsidP="00056AFE">
            <w:pPr>
              <w:contextualSpacing/>
              <w:jc w:val="center"/>
              <w:rPr>
                <w:rFonts w:cs="Times New Roman"/>
                <w:sz w:val="20"/>
                <w:szCs w:val="20"/>
              </w:rPr>
            </w:pPr>
            <w:r w:rsidRPr="00660EB3">
              <w:rPr>
                <w:rFonts w:cs="Times New Roman"/>
                <w:sz w:val="20"/>
                <w:szCs w:val="20"/>
              </w:rPr>
              <w:t>3 785 30</w:t>
            </w:r>
            <w:r w:rsidR="4699DD6A" w:rsidRPr="00660EB3">
              <w:rPr>
                <w:rFonts w:cs="Times New Roman"/>
                <w:sz w:val="20"/>
                <w:szCs w:val="20"/>
              </w:rPr>
              <w:t>3</w:t>
            </w:r>
          </w:p>
        </w:tc>
        <w:tc>
          <w:tcPr>
            <w:tcW w:w="1858" w:type="dxa"/>
            <w:vAlign w:val="center"/>
          </w:tcPr>
          <w:p w14:paraId="536CC045" w14:textId="3F8887E2" w:rsidR="00F24129" w:rsidRPr="00660EB3" w:rsidRDefault="00F24129" w:rsidP="00056AFE">
            <w:pPr>
              <w:contextualSpacing/>
              <w:jc w:val="center"/>
              <w:rPr>
                <w:rFonts w:cs="Times New Roman"/>
                <w:sz w:val="20"/>
                <w:szCs w:val="20"/>
              </w:rPr>
            </w:pPr>
            <w:r w:rsidRPr="00660EB3">
              <w:rPr>
                <w:rFonts w:cs="Times New Roman"/>
                <w:sz w:val="20"/>
                <w:szCs w:val="20"/>
              </w:rPr>
              <w:t>667 99</w:t>
            </w:r>
            <w:r w:rsidR="021293F7" w:rsidRPr="00660EB3">
              <w:rPr>
                <w:rFonts w:cs="Times New Roman"/>
                <w:sz w:val="20"/>
                <w:szCs w:val="20"/>
              </w:rPr>
              <w:t>5</w:t>
            </w:r>
          </w:p>
        </w:tc>
        <w:tc>
          <w:tcPr>
            <w:tcW w:w="1639" w:type="dxa"/>
            <w:shd w:val="clear" w:color="auto" w:fill="BFBFBF" w:themeFill="background1" w:themeFillShade="BF"/>
            <w:vAlign w:val="center"/>
          </w:tcPr>
          <w:p w14:paraId="0E18E778" w14:textId="5F2B567C" w:rsidR="00F24129" w:rsidRPr="00660EB3" w:rsidRDefault="004A375D" w:rsidP="00056AFE">
            <w:pPr>
              <w:contextualSpacing/>
              <w:jc w:val="center"/>
              <w:rPr>
                <w:rFonts w:cs="Times New Roman"/>
                <w:sz w:val="20"/>
                <w:szCs w:val="20"/>
              </w:rPr>
            </w:pPr>
            <w:r w:rsidRPr="00660EB3">
              <w:rPr>
                <w:rFonts w:cs="Times New Roman"/>
                <w:sz w:val="20"/>
                <w:szCs w:val="20"/>
              </w:rPr>
              <w:t>935</w:t>
            </w:r>
            <w:r w:rsidR="00685D47" w:rsidRPr="00660EB3">
              <w:rPr>
                <w:rFonts w:cs="Times New Roman"/>
                <w:sz w:val="20"/>
                <w:szCs w:val="20"/>
              </w:rPr>
              <w:t> 192</w:t>
            </w:r>
          </w:p>
        </w:tc>
        <w:tc>
          <w:tcPr>
            <w:tcW w:w="1898" w:type="dxa"/>
            <w:vAlign w:val="center"/>
          </w:tcPr>
          <w:p w14:paraId="6C74963F" w14:textId="76866F15" w:rsidR="00F24129" w:rsidRPr="00660EB3" w:rsidRDefault="232DB4C6" w:rsidP="00056AFE">
            <w:pPr>
              <w:contextualSpacing/>
              <w:jc w:val="center"/>
              <w:rPr>
                <w:rFonts w:cs="Times New Roman"/>
                <w:sz w:val="20"/>
                <w:szCs w:val="20"/>
              </w:rPr>
            </w:pPr>
            <w:r w:rsidRPr="3F02235E">
              <w:rPr>
                <w:rFonts w:cs="Times New Roman"/>
                <w:sz w:val="20"/>
                <w:szCs w:val="20"/>
              </w:rPr>
              <w:t>5 388 490</w:t>
            </w:r>
          </w:p>
        </w:tc>
      </w:tr>
      <w:tr w:rsidR="00F24129" w:rsidRPr="00660EB3" w14:paraId="6433D235" w14:textId="77777777" w:rsidTr="3F02235E">
        <w:tc>
          <w:tcPr>
            <w:tcW w:w="1849" w:type="dxa"/>
            <w:vAlign w:val="center"/>
          </w:tcPr>
          <w:p w14:paraId="6887B6A8" w14:textId="77777777" w:rsidR="00F24129" w:rsidRPr="00660EB3" w:rsidRDefault="00F24129" w:rsidP="00056AFE">
            <w:pPr>
              <w:contextualSpacing/>
              <w:jc w:val="center"/>
              <w:rPr>
                <w:rFonts w:cs="Times New Roman"/>
                <w:sz w:val="20"/>
                <w:szCs w:val="20"/>
              </w:rPr>
            </w:pPr>
            <w:r w:rsidRPr="00660EB3">
              <w:rPr>
                <w:rFonts w:cs="Times New Roman"/>
                <w:sz w:val="20"/>
                <w:szCs w:val="20"/>
              </w:rPr>
              <w:t>Būvlaukumu izveide un saistītās izmaksas</w:t>
            </w:r>
          </w:p>
          <w:p w14:paraId="3977337B" w14:textId="77777777" w:rsidR="00F24129" w:rsidRPr="00660EB3" w:rsidRDefault="00F24129" w:rsidP="00056AFE">
            <w:pPr>
              <w:contextualSpacing/>
              <w:jc w:val="center"/>
              <w:rPr>
                <w:rFonts w:cs="Times New Roman"/>
                <w:sz w:val="20"/>
                <w:szCs w:val="20"/>
              </w:rPr>
            </w:pPr>
            <w:r w:rsidRPr="00660EB3">
              <w:rPr>
                <w:rFonts w:cs="Times New Roman"/>
                <w:sz w:val="20"/>
                <w:szCs w:val="20"/>
              </w:rPr>
              <w:t>Pamattrase (5 būvatļaujas)</w:t>
            </w:r>
          </w:p>
        </w:tc>
        <w:tc>
          <w:tcPr>
            <w:tcW w:w="2157" w:type="dxa"/>
            <w:vAlign w:val="center"/>
          </w:tcPr>
          <w:p w14:paraId="2CFED777" w14:textId="2790153C" w:rsidR="00F24129" w:rsidRPr="00660EB3" w:rsidRDefault="00F24129" w:rsidP="00056AFE">
            <w:pPr>
              <w:contextualSpacing/>
              <w:jc w:val="center"/>
              <w:rPr>
                <w:rFonts w:cs="Times New Roman"/>
                <w:sz w:val="20"/>
                <w:szCs w:val="20"/>
              </w:rPr>
            </w:pPr>
            <w:r w:rsidRPr="00660EB3">
              <w:rPr>
                <w:rFonts w:cs="Times New Roman"/>
                <w:sz w:val="20"/>
                <w:szCs w:val="20"/>
              </w:rPr>
              <w:t>9 425 127</w:t>
            </w:r>
          </w:p>
        </w:tc>
        <w:tc>
          <w:tcPr>
            <w:tcW w:w="1858" w:type="dxa"/>
            <w:vAlign w:val="center"/>
          </w:tcPr>
          <w:p w14:paraId="479CCBA5" w14:textId="5D8B6767" w:rsidR="00F24129" w:rsidRPr="00660EB3" w:rsidRDefault="00F24129" w:rsidP="00056AFE">
            <w:pPr>
              <w:contextualSpacing/>
              <w:jc w:val="center"/>
              <w:rPr>
                <w:rFonts w:cs="Times New Roman"/>
                <w:sz w:val="20"/>
                <w:szCs w:val="20"/>
              </w:rPr>
            </w:pPr>
            <w:r w:rsidRPr="00660EB3">
              <w:rPr>
                <w:rFonts w:cs="Times New Roman"/>
                <w:sz w:val="20"/>
                <w:szCs w:val="20"/>
              </w:rPr>
              <w:t>1 663 25</w:t>
            </w:r>
            <w:r w:rsidR="1BA582DF" w:rsidRPr="00660EB3">
              <w:rPr>
                <w:rFonts w:cs="Times New Roman"/>
                <w:sz w:val="20"/>
                <w:szCs w:val="20"/>
              </w:rPr>
              <w:t>8</w:t>
            </w:r>
          </w:p>
        </w:tc>
        <w:tc>
          <w:tcPr>
            <w:tcW w:w="1639" w:type="dxa"/>
            <w:shd w:val="clear" w:color="auto" w:fill="BFBFBF" w:themeFill="background1" w:themeFillShade="BF"/>
            <w:vAlign w:val="center"/>
          </w:tcPr>
          <w:p w14:paraId="653D437E" w14:textId="5F78619B" w:rsidR="00F24129" w:rsidRPr="00660EB3" w:rsidRDefault="00685D47" w:rsidP="00056AFE">
            <w:pPr>
              <w:contextualSpacing/>
              <w:jc w:val="center"/>
              <w:rPr>
                <w:rFonts w:cs="Times New Roman"/>
                <w:sz w:val="20"/>
                <w:szCs w:val="20"/>
              </w:rPr>
            </w:pPr>
            <w:r w:rsidRPr="00660EB3">
              <w:rPr>
                <w:rFonts w:cs="Times New Roman"/>
                <w:sz w:val="20"/>
                <w:szCs w:val="20"/>
              </w:rPr>
              <w:t>2 328 56</w:t>
            </w:r>
            <w:r w:rsidR="067DD154" w:rsidRPr="00660EB3">
              <w:rPr>
                <w:rFonts w:cs="Times New Roman"/>
                <w:sz w:val="20"/>
                <w:szCs w:val="20"/>
              </w:rPr>
              <w:t>1</w:t>
            </w:r>
          </w:p>
        </w:tc>
        <w:tc>
          <w:tcPr>
            <w:tcW w:w="1898" w:type="dxa"/>
            <w:vAlign w:val="center"/>
          </w:tcPr>
          <w:p w14:paraId="7A532EB5" w14:textId="4936AA18" w:rsidR="00693930" w:rsidRPr="00660EB3" w:rsidRDefault="47A5BAB1" w:rsidP="00056AFE">
            <w:pPr>
              <w:contextualSpacing/>
              <w:jc w:val="center"/>
              <w:rPr>
                <w:rFonts w:cs="Times New Roman"/>
                <w:sz w:val="20"/>
                <w:szCs w:val="20"/>
              </w:rPr>
            </w:pPr>
            <w:r w:rsidRPr="3F02235E">
              <w:rPr>
                <w:rFonts w:cs="Times New Roman"/>
                <w:sz w:val="20"/>
                <w:szCs w:val="20"/>
              </w:rPr>
              <w:t>13 416 946</w:t>
            </w:r>
          </w:p>
        </w:tc>
      </w:tr>
      <w:tr w:rsidR="00F24129" w:rsidRPr="00660EB3" w14:paraId="1ABC4F81" w14:textId="77777777" w:rsidTr="3F02235E">
        <w:tc>
          <w:tcPr>
            <w:tcW w:w="1849" w:type="dxa"/>
            <w:vAlign w:val="center"/>
          </w:tcPr>
          <w:p w14:paraId="33143038" w14:textId="77777777" w:rsidR="00F24129" w:rsidRPr="00660EB3" w:rsidRDefault="00F24129" w:rsidP="00056AFE">
            <w:pPr>
              <w:autoSpaceDE w:val="0"/>
              <w:autoSpaceDN w:val="0"/>
              <w:adjustRightInd w:val="0"/>
              <w:contextualSpacing/>
              <w:jc w:val="center"/>
              <w:rPr>
                <w:rFonts w:cs="Times New Roman"/>
                <w:sz w:val="20"/>
                <w:szCs w:val="20"/>
              </w:rPr>
            </w:pPr>
            <w:r w:rsidRPr="00660EB3">
              <w:rPr>
                <w:rFonts w:cs="Times New Roman"/>
                <w:sz w:val="20"/>
                <w:szCs w:val="20"/>
              </w:rPr>
              <w:t>Pastāvīgie darbi</w:t>
            </w:r>
          </w:p>
          <w:p w14:paraId="288A9C94" w14:textId="77777777" w:rsidR="00F24129" w:rsidRPr="00660EB3" w:rsidRDefault="00F24129" w:rsidP="00056AFE">
            <w:pPr>
              <w:autoSpaceDE w:val="0"/>
              <w:autoSpaceDN w:val="0"/>
              <w:adjustRightInd w:val="0"/>
              <w:contextualSpacing/>
              <w:jc w:val="center"/>
              <w:rPr>
                <w:rFonts w:cs="Times New Roman"/>
                <w:sz w:val="20"/>
                <w:szCs w:val="20"/>
              </w:rPr>
            </w:pPr>
            <w:r w:rsidRPr="00660EB3">
              <w:rPr>
                <w:rFonts w:cs="Times New Roman"/>
                <w:sz w:val="20"/>
                <w:szCs w:val="20"/>
              </w:rPr>
              <w:t>Pamattrase (5 būvatļaujas)</w:t>
            </w:r>
          </w:p>
        </w:tc>
        <w:tc>
          <w:tcPr>
            <w:tcW w:w="2157" w:type="dxa"/>
            <w:vAlign w:val="center"/>
          </w:tcPr>
          <w:p w14:paraId="68A59123" w14:textId="5DC07900" w:rsidR="00F24129" w:rsidRPr="00660EB3" w:rsidRDefault="00F24129" w:rsidP="00056AFE">
            <w:pPr>
              <w:contextualSpacing/>
              <w:jc w:val="center"/>
              <w:rPr>
                <w:rFonts w:cs="Times New Roman"/>
                <w:sz w:val="20"/>
                <w:szCs w:val="20"/>
              </w:rPr>
            </w:pPr>
            <w:r w:rsidRPr="00660EB3">
              <w:rPr>
                <w:rFonts w:cs="Times New Roman"/>
                <w:sz w:val="20"/>
                <w:szCs w:val="20"/>
              </w:rPr>
              <w:t>65 075 464</w:t>
            </w:r>
          </w:p>
        </w:tc>
        <w:tc>
          <w:tcPr>
            <w:tcW w:w="1858" w:type="dxa"/>
            <w:vAlign w:val="center"/>
          </w:tcPr>
          <w:p w14:paraId="32BDCE79" w14:textId="3BEEE026" w:rsidR="00F24129" w:rsidRPr="00660EB3" w:rsidRDefault="00F24129" w:rsidP="00056AFE">
            <w:pPr>
              <w:contextualSpacing/>
              <w:jc w:val="center"/>
              <w:rPr>
                <w:rFonts w:cs="Times New Roman"/>
                <w:sz w:val="20"/>
                <w:szCs w:val="20"/>
              </w:rPr>
            </w:pPr>
            <w:r w:rsidRPr="00660EB3">
              <w:rPr>
                <w:rFonts w:cs="Times New Roman"/>
                <w:sz w:val="20"/>
                <w:szCs w:val="20"/>
              </w:rPr>
              <w:t>11 483 905</w:t>
            </w:r>
          </w:p>
        </w:tc>
        <w:tc>
          <w:tcPr>
            <w:tcW w:w="1639" w:type="dxa"/>
            <w:shd w:val="clear" w:color="auto" w:fill="BFBFBF" w:themeFill="background1" w:themeFillShade="BF"/>
            <w:vAlign w:val="center"/>
          </w:tcPr>
          <w:p w14:paraId="36A6BADE" w14:textId="33C0F3E8" w:rsidR="00F24129" w:rsidRPr="00660EB3" w:rsidRDefault="000D6E1F" w:rsidP="00056AFE">
            <w:pPr>
              <w:contextualSpacing/>
              <w:jc w:val="center"/>
              <w:rPr>
                <w:rFonts w:cs="Times New Roman"/>
                <w:sz w:val="20"/>
                <w:szCs w:val="20"/>
              </w:rPr>
            </w:pPr>
            <w:r w:rsidRPr="00660EB3">
              <w:rPr>
                <w:rFonts w:cs="Times New Roman"/>
                <w:sz w:val="20"/>
                <w:szCs w:val="20"/>
              </w:rPr>
              <w:t>16 077</w:t>
            </w:r>
            <w:r w:rsidR="00BF71D7" w:rsidRPr="00660EB3">
              <w:rPr>
                <w:rFonts w:cs="Times New Roman"/>
                <w:sz w:val="20"/>
                <w:szCs w:val="20"/>
              </w:rPr>
              <w:t> </w:t>
            </w:r>
            <w:r w:rsidRPr="00660EB3">
              <w:rPr>
                <w:rFonts w:cs="Times New Roman"/>
                <w:sz w:val="20"/>
                <w:szCs w:val="20"/>
              </w:rPr>
              <w:t>46</w:t>
            </w:r>
            <w:r w:rsidR="2F091C04" w:rsidRPr="00660EB3">
              <w:rPr>
                <w:rFonts w:cs="Times New Roman"/>
                <w:sz w:val="20"/>
                <w:szCs w:val="20"/>
              </w:rPr>
              <w:t>8</w:t>
            </w:r>
          </w:p>
        </w:tc>
        <w:tc>
          <w:tcPr>
            <w:tcW w:w="1898" w:type="dxa"/>
            <w:vAlign w:val="center"/>
          </w:tcPr>
          <w:p w14:paraId="355BB85B" w14:textId="11A8E415" w:rsidR="00F24129" w:rsidRPr="00660EB3" w:rsidRDefault="0277917D" w:rsidP="00130425">
            <w:pPr>
              <w:spacing w:after="200" w:line="276" w:lineRule="auto"/>
              <w:contextualSpacing/>
              <w:jc w:val="center"/>
              <w:rPr>
                <w:rFonts w:eastAsia="Times New Roman" w:cs="Times New Roman"/>
                <w:sz w:val="20"/>
                <w:szCs w:val="20"/>
              </w:rPr>
            </w:pPr>
            <w:r w:rsidRPr="3F02235E">
              <w:rPr>
                <w:rFonts w:cs="Times New Roman"/>
                <w:sz w:val="20"/>
                <w:szCs w:val="20"/>
              </w:rPr>
              <w:t>92 636 837</w:t>
            </w:r>
          </w:p>
        </w:tc>
      </w:tr>
      <w:tr w:rsidR="00F24129" w:rsidRPr="00660EB3" w14:paraId="56333B8D" w14:textId="77777777" w:rsidTr="3F02235E">
        <w:tc>
          <w:tcPr>
            <w:tcW w:w="1849" w:type="dxa"/>
            <w:vAlign w:val="center"/>
          </w:tcPr>
          <w:p w14:paraId="4542D68A" w14:textId="77777777" w:rsidR="00F24129" w:rsidRPr="00660EB3" w:rsidRDefault="00F24129" w:rsidP="00056AFE">
            <w:pPr>
              <w:autoSpaceDE w:val="0"/>
              <w:autoSpaceDN w:val="0"/>
              <w:adjustRightInd w:val="0"/>
              <w:contextualSpacing/>
              <w:jc w:val="center"/>
              <w:rPr>
                <w:rFonts w:cs="Times New Roman"/>
                <w:sz w:val="20"/>
                <w:szCs w:val="20"/>
              </w:rPr>
            </w:pPr>
            <w:r w:rsidRPr="00660EB3">
              <w:rPr>
                <w:rFonts w:cs="Times New Roman"/>
                <w:sz w:val="20"/>
                <w:szCs w:val="20"/>
              </w:rPr>
              <w:t>Pastāvīgie darbi</w:t>
            </w:r>
          </w:p>
          <w:p w14:paraId="302D3B55" w14:textId="77777777" w:rsidR="00F24129" w:rsidRPr="00660EB3" w:rsidRDefault="00F24129" w:rsidP="00056AFE">
            <w:pPr>
              <w:autoSpaceDE w:val="0"/>
              <w:autoSpaceDN w:val="0"/>
              <w:adjustRightInd w:val="0"/>
              <w:contextualSpacing/>
              <w:jc w:val="center"/>
              <w:rPr>
                <w:rFonts w:cs="Times New Roman"/>
                <w:sz w:val="20"/>
                <w:szCs w:val="20"/>
              </w:rPr>
            </w:pPr>
            <w:r w:rsidRPr="00660EB3">
              <w:rPr>
                <w:rFonts w:cs="Times New Roman"/>
                <w:sz w:val="20"/>
                <w:szCs w:val="20"/>
              </w:rPr>
              <w:t>Iecavas reģionālā bāzes, iesk., saistītās izmaksas - DRCP</w:t>
            </w:r>
          </w:p>
        </w:tc>
        <w:tc>
          <w:tcPr>
            <w:tcW w:w="2157" w:type="dxa"/>
            <w:vAlign w:val="center"/>
          </w:tcPr>
          <w:p w14:paraId="524A057E" w14:textId="39FC3B6D" w:rsidR="00F24129" w:rsidRPr="00660EB3" w:rsidRDefault="00F24129" w:rsidP="00056AFE">
            <w:pPr>
              <w:contextualSpacing/>
              <w:jc w:val="center"/>
              <w:rPr>
                <w:rFonts w:cs="Times New Roman"/>
                <w:sz w:val="20"/>
                <w:szCs w:val="20"/>
              </w:rPr>
            </w:pPr>
            <w:r w:rsidRPr="00660EB3">
              <w:rPr>
                <w:rFonts w:cs="Times New Roman"/>
                <w:sz w:val="20"/>
                <w:szCs w:val="20"/>
              </w:rPr>
              <w:t>7 129 283</w:t>
            </w:r>
          </w:p>
        </w:tc>
        <w:tc>
          <w:tcPr>
            <w:tcW w:w="1858" w:type="dxa"/>
            <w:vAlign w:val="center"/>
          </w:tcPr>
          <w:p w14:paraId="7CC195E6" w14:textId="1C809CA4" w:rsidR="00F24129" w:rsidRPr="00660EB3" w:rsidRDefault="00F24129" w:rsidP="00056AFE">
            <w:pPr>
              <w:contextualSpacing/>
              <w:jc w:val="center"/>
              <w:rPr>
                <w:rFonts w:cs="Times New Roman"/>
                <w:sz w:val="20"/>
                <w:szCs w:val="20"/>
              </w:rPr>
            </w:pPr>
            <w:r w:rsidRPr="00660EB3">
              <w:rPr>
                <w:rFonts w:cs="Times New Roman"/>
                <w:sz w:val="20"/>
                <w:szCs w:val="20"/>
              </w:rPr>
              <w:t>16 634 994</w:t>
            </w:r>
          </w:p>
        </w:tc>
        <w:tc>
          <w:tcPr>
            <w:tcW w:w="1639" w:type="dxa"/>
            <w:shd w:val="clear" w:color="auto" w:fill="BFBFBF" w:themeFill="background1" w:themeFillShade="BF"/>
            <w:vAlign w:val="center"/>
          </w:tcPr>
          <w:p w14:paraId="29A0A4AC" w14:textId="5F9FF9B4" w:rsidR="00F24129" w:rsidRPr="00660EB3" w:rsidRDefault="00C17DE1" w:rsidP="00056AFE">
            <w:pPr>
              <w:contextualSpacing/>
              <w:jc w:val="center"/>
              <w:rPr>
                <w:rFonts w:cs="Times New Roman"/>
                <w:sz w:val="20"/>
                <w:szCs w:val="20"/>
              </w:rPr>
            </w:pPr>
            <w:r w:rsidRPr="00660EB3">
              <w:rPr>
                <w:rFonts w:cs="Times New Roman"/>
                <w:sz w:val="20"/>
                <w:szCs w:val="20"/>
              </w:rPr>
              <w:t>4 990 498</w:t>
            </w:r>
          </w:p>
        </w:tc>
        <w:tc>
          <w:tcPr>
            <w:tcW w:w="1898" w:type="dxa"/>
            <w:vAlign w:val="center"/>
          </w:tcPr>
          <w:p w14:paraId="12DA27BD" w14:textId="13AA17FE" w:rsidR="00F24129" w:rsidRPr="00660EB3" w:rsidRDefault="798A46B0" w:rsidP="00130425">
            <w:pPr>
              <w:spacing w:after="200" w:line="276" w:lineRule="auto"/>
              <w:contextualSpacing/>
              <w:jc w:val="center"/>
              <w:rPr>
                <w:rFonts w:eastAsia="Times New Roman" w:cs="Times New Roman"/>
                <w:sz w:val="20"/>
                <w:szCs w:val="20"/>
              </w:rPr>
            </w:pPr>
            <w:r w:rsidRPr="3F02235E">
              <w:rPr>
                <w:rFonts w:cs="Times New Roman"/>
                <w:sz w:val="20"/>
                <w:szCs w:val="20"/>
              </w:rPr>
              <w:t>28 754 775</w:t>
            </w:r>
          </w:p>
        </w:tc>
      </w:tr>
      <w:tr w:rsidR="00F24129" w:rsidRPr="00660EB3" w14:paraId="6E3859DF" w14:textId="77777777" w:rsidTr="3F02235E">
        <w:tc>
          <w:tcPr>
            <w:tcW w:w="1849" w:type="dxa"/>
            <w:vAlign w:val="center"/>
          </w:tcPr>
          <w:p w14:paraId="06806B6A" w14:textId="4CDB2248" w:rsidR="00F24129" w:rsidRPr="00660EB3" w:rsidRDefault="00F24129" w:rsidP="00056AFE">
            <w:pPr>
              <w:contextualSpacing/>
              <w:jc w:val="center"/>
              <w:rPr>
                <w:rFonts w:cs="Times New Roman"/>
                <w:sz w:val="20"/>
                <w:szCs w:val="20"/>
              </w:rPr>
            </w:pPr>
            <w:r w:rsidRPr="00660EB3">
              <w:rPr>
                <w:rFonts w:cs="Times New Roman"/>
                <w:sz w:val="20"/>
                <w:szCs w:val="20"/>
              </w:rPr>
              <w:t xml:space="preserve">Konsolidēto materiālu, kurus saskaņā ar </w:t>
            </w:r>
            <w:r w:rsidR="00CB0EB8" w:rsidRPr="00CB0EB8">
              <w:rPr>
                <w:rFonts w:cs="Times New Roman"/>
                <w:sz w:val="20"/>
                <w:szCs w:val="20"/>
              </w:rPr>
              <w:t>Nolīgum</w:t>
            </w:r>
            <w:r w:rsidR="00CB0EB8">
              <w:rPr>
                <w:rFonts w:cs="Times New Roman"/>
                <w:sz w:val="20"/>
                <w:szCs w:val="20"/>
              </w:rPr>
              <w:t>u</w:t>
            </w:r>
            <w:r w:rsidR="00CB0EB8" w:rsidRPr="00CB0EB8">
              <w:rPr>
                <w:rFonts w:cs="Times New Roman"/>
                <w:sz w:val="20"/>
                <w:szCs w:val="20"/>
              </w:rPr>
              <w:t xml:space="preserve"> par līgumu slēgšanas shēmu</w:t>
            </w:r>
            <w:r w:rsidR="00CB0EB8">
              <w:rPr>
                <w:rFonts w:cs="Times New Roman"/>
                <w:sz w:val="20"/>
                <w:szCs w:val="20"/>
              </w:rPr>
              <w:t xml:space="preserve"> </w:t>
            </w:r>
            <w:r w:rsidRPr="00660EB3">
              <w:rPr>
                <w:rFonts w:cs="Times New Roman"/>
                <w:sz w:val="20"/>
                <w:szCs w:val="20"/>
              </w:rPr>
              <w:t xml:space="preserve">iepērk un nodrošina </w:t>
            </w:r>
            <w:r w:rsidR="00911D8D">
              <w:rPr>
                <w:rFonts w:cs="Times New Roman"/>
                <w:sz w:val="20"/>
                <w:szCs w:val="20"/>
              </w:rPr>
              <w:t>RBR</w:t>
            </w:r>
            <w:r w:rsidRPr="00660EB3">
              <w:rPr>
                <w:rFonts w:cs="Times New Roman"/>
                <w:sz w:val="20"/>
                <w:szCs w:val="20"/>
              </w:rPr>
              <w:t xml:space="preserve"> uzstādīšana un saistītās izmaksas</w:t>
            </w:r>
            <w:r w:rsidR="008D0538" w:rsidRPr="00660EB3">
              <w:rPr>
                <w:rFonts w:cs="Times New Roman"/>
                <w:sz w:val="20"/>
                <w:szCs w:val="20"/>
              </w:rPr>
              <w:t xml:space="preserve"> *</w:t>
            </w:r>
          </w:p>
        </w:tc>
        <w:tc>
          <w:tcPr>
            <w:tcW w:w="2157" w:type="dxa"/>
            <w:vAlign w:val="center"/>
          </w:tcPr>
          <w:p w14:paraId="07A57729" w14:textId="67A04EEB" w:rsidR="00F24129" w:rsidRPr="00660EB3" w:rsidRDefault="00B3656F" w:rsidP="00056AFE">
            <w:pPr>
              <w:contextualSpacing/>
              <w:jc w:val="center"/>
              <w:rPr>
                <w:rFonts w:cs="Times New Roman"/>
                <w:sz w:val="20"/>
                <w:szCs w:val="20"/>
              </w:rPr>
            </w:pPr>
            <w:r w:rsidRPr="00660EB3">
              <w:rPr>
                <w:rFonts w:cs="Times New Roman"/>
                <w:sz w:val="20"/>
                <w:szCs w:val="20"/>
              </w:rPr>
              <w:t>0</w:t>
            </w:r>
          </w:p>
        </w:tc>
        <w:tc>
          <w:tcPr>
            <w:tcW w:w="1858" w:type="dxa"/>
            <w:vAlign w:val="center"/>
          </w:tcPr>
          <w:p w14:paraId="71D91577" w14:textId="0C008748" w:rsidR="00F24129" w:rsidRPr="00660EB3" w:rsidRDefault="00B3656F" w:rsidP="00056AFE">
            <w:pPr>
              <w:contextualSpacing/>
              <w:jc w:val="center"/>
              <w:rPr>
                <w:rFonts w:cs="Times New Roman"/>
                <w:sz w:val="20"/>
                <w:szCs w:val="20"/>
              </w:rPr>
            </w:pPr>
            <w:r w:rsidRPr="00660EB3">
              <w:rPr>
                <w:rFonts w:cs="Times New Roman"/>
                <w:sz w:val="20"/>
                <w:szCs w:val="20"/>
              </w:rPr>
              <w:t>0</w:t>
            </w:r>
          </w:p>
        </w:tc>
        <w:tc>
          <w:tcPr>
            <w:tcW w:w="1639" w:type="dxa"/>
            <w:shd w:val="clear" w:color="auto" w:fill="BFBFBF" w:themeFill="background1" w:themeFillShade="BF"/>
            <w:vAlign w:val="center"/>
          </w:tcPr>
          <w:p w14:paraId="30197190" w14:textId="276386CF" w:rsidR="00F24129" w:rsidRPr="00660EB3" w:rsidRDefault="00B3656F" w:rsidP="00056AFE">
            <w:pPr>
              <w:contextualSpacing/>
              <w:jc w:val="center"/>
              <w:rPr>
                <w:rFonts w:cs="Times New Roman"/>
                <w:sz w:val="20"/>
                <w:szCs w:val="20"/>
              </w:rPr>
            </w:pPr>
            <w:r w:rsidRPr="00660EB3">
              <w:rPr>
                <w:rFonts w:cs="Times New Roman"/>
                <w:sz w:val="20"/>
                <w:szCs w:val="20"/>
              </w:rPr>
              <w:t>0</w:t>
            </w:r>
          </w:p>
        </w:tc>
        <w:tc>
          <w:tcPr>
            <w:tcW w:w="1898" w:type="dxa"/>
            <w:vAlign w:val="center"/>
          </w:tcPr>
          <w:p w14:paraId="5B267A8D" w14:textId="0B529CF1" w:rsidR="00F24129" w:rsidRPr="00660EB3" w:rsidRDefault="005111CB" w:rsidP="00056AFE">
            <w:pPr>
              <w:contextualSpacing/>
              <w:jc w:val="center"/>
              <w:rPr>
                <w:rFonts w:cs="Times New Roman"/>
                <w:sz w:val="20"/>
                <w:szCs w:val="20"/>
              </w:rPr>
            </w:pPr>
            <w:r w:rsidRPr="00660EB3">
              <w:rPr>
                <w:rFonts w:cs="Times New Roman"/>
                <w:sz w:val="20"/>
                <w:szCs w:val="20"/>
              </w:rPr>
              <w:t>0</w:t>
            </w:r>
          </w:p>
        </w:tc>
      </w:tr>
      <w:tr w:rsidR="00F24129" w:rsidRPr="00660EB3" w14:paraId="73337CC3" w14:textId="77777777" w:rsidTr="3F02235E">
        <w:tc>
          <w:tcPr>
            <w:tcW w:w="1849" w:type="dxa"/>
            <w:vAlign w:val="center"/>
          </w:tcPr>
          <w:p w14:paraId="02DCBA60" w14:textId="075E1A64" w:rsidR="00F24129" w:rsidRPr="00660EB3" w:rsidRDefault="00F24129" w:rsidP="00056AFE">
            <w:pPr>
              <w:contextualSpacing/>
              <w:jc w:val="center"/>
              <w:rPr>
                <w:rFonts w:cs="Times New Roman"/>
                <w:sz w:val="20"/>
                <w:szCs w:val="20"/>
              </w:rPr>
            </w:pPr>
            <w:r w:rsidRPr="00660EB3">
              <w:rPr>
                <w:rFonts w:cs="Times New Roman"/>
                <w:sz w:val="20"/>
                <w:szCs w:val="20"/>
              </w:rPr>
              <w:t>Uzturēšanas starp kārtām izmaksas, ja darbi netiks veikti no infrastruktūras pārvaldītāja puses)</w:t>
            </w:r>
            <w:r w:rsidR="00CF7F9F" w:rsidRPr="00660EB3">
              <w:rPr>
                <w:rFonts w:cs="Times New Roman"/>
                <w:sz w:val="20"/>
                <w:szCs w:val="20"/>
              </w:rPr>
              <w:t xml:space="preserve"> </w:t>
            </w:r>
            <w:r w:rsidR="008D0538" w:rsidRPr="00660EB3">
              <w:rPr>
                <w:rFonts w:cs="Times New Roman"/>
                <w:sz w:val="20"/>
                <w:szCs w:val="20"/>
              </w:rPr>
              <w:t>*</w:t>
            </w:r>
          </w:p>
        </w:tc>
        <w:tc>
          <w:tcPr>
            <w:tcW w:w="2157" w:type="dxa"/>
            <w:vAlign w:val="center"/>
          </w:tcPr>
          <w:p w14:paraId="68E699D0" w14:textId="7B5B7D79" w:rsidR="00F24129" w:rsidRPr="00660EB3" w:rsidRDefault="00B3656F" w:rsidP="00056AFE">
            <w:pPr>
              <w:contextualSpacing/>
              <w:jc w:val="center"/>
              <w:rPr>
                <w:rFonts w:cs="Times New Roman"/>
                <w:sz w:val="20"/>
                <w:szCs w:val="20"/>
              </w:rPr>
            </w:pPr>
            <w:r w:rsidRPr="00660EB3">
              <w:rPr>
                <w:rFonts w:cs="Times New Roman"/>
                <w:sz w:val="20"/>
                <w:szCs w:val="20"/>
              </w:rPr>
              <w:t>0</w:t>
            </w:r>
          </w:p>
        </w:tc>
        <w:tc>
          <w:tcPr>
            <w:tcW w:w="1858" w:type="dxa"/>
            <w:vAlign w:val="center"/>
          </w:tcPr>
          <w:p w14:paraId="71A7AF75" w14:textId="7FE9866F" w:rsidR="00F24129" w:rsidRPr="00660EB3" w:rsidRDefault="00B3656F" w:rsidP="00056AFE">
            <w:pPr>
              <w:contextualSpacing/>
              <w:jc w:val="center"/>
              <w:rPr>
                <w:rFonts w:cs="Times New Roman"/>
                <w:sz w:val="20"/>
                <w:szCs w:val="20"/>
              </w:rPr>
            </w:pPr>
            <w:r w:rsidRPr="00660EB3">
              <w:rPr>
                <w:rFonts w:cs="Times New Roman"/>
                <w:sz w:val="20"/>
                <w:szCs w:val="20"/>
              </w:rPr>
              <w:t>0</w:t>
            </w:r>
          </w:p>
        </w:tc>
        <w:tc>
          <w:tcPr>
            <w:tcW w:w="1639" w:type="dxa"/>
            <w:shd w:val="clear" w:color="auto" w:fill="BFBFBF" w:themeFill="background1" w:themeFillShade="BF"/>
            <w:vAlign w:val="center"/>
          </w:tcPr>
          <w:p w14:paraId="490305C1" w14:textId="758A3E16" w:rsidR="00F24129" w:rsidRPr="00660EB3" w:rsidRDefault="00B3656F" w:rsidP="00056AFE">
            <w:pPr>
              <w:contextualSpacing/>
              <w:jc w:val="center"/>
              <w:rPr>
                <w:rFonts w:cs="Times New Roman"/>
                <w:sz w:val="20"/>
                <w:szCs w:val="20"/>
              </w:rPr>
            </w:pPr>
            <w:r w:rsidRPr="00660EB3">
              <w:rPr>
                <w:rFonts w:cs="Times New Roman"/>
                <w:sz w:val="20"/>
                <w:szCs w:val="20"/>
              </w:rPr>
              <w:t>0</w:t>
            </w:r>
          </w:p>
        </w:tc>
        <w:tc>
          <w:tcPr>
            <w:tcW w:w="1898" w:type="dxa"/>
            <w:vAlign w:val="center"/>
          </w:tcPr>
          <w:p w14:paraId="14008679" w14:textId="3CD75DB7" w:rsidR="00F24129" w:rsidRPr="00660EB3" w:rsidRDefault="00B3656F" w:rsidP="00056AFE">
            <w:pPr>
              <w:contextualSpacing/>
              <w:jc w:val="center"/>
              <w:rPr>
                <w:rFonts w:cs="Times New Roman"/>
                <w:sz w:val="20"/>
                <w:szCs w:val="20"/>
              </w:rPr>
            </w:pPr>
            <w:r w:rsidRPr="00660EB3">
              <w:rPr>
                <w:rFonts w:cs="Times New Roman"/>
                <w:sz w:val="20"/>
                <w:szCs w:val="20"/>
              </w:rPr>
              <w:t>0</w:t>
            </w:r>
          </w:p>
        </w:tc>
      </w:tr>
      <w:tr w:rsidR="00F24129" w:rsidRPr="00660EB3" w14:paraId="7DB5F161" w14:textId="77777777" w:rsidTr="3F02235E">
        <w:tc>
          <w:tcPr>
            <w:tcW w:w="1849" w:type="dxa"/>
            <w:vAlign w:val="center"/>
          </w:tcPr>
          <w:p w14:paraId="19463682" w14:textId="77777777" w:rsidR="00F24129" w:rsidRPr="00660EB3" w:rsidRDefault="00F24129" w:rsidP="00056AFE">
            <w:pPr>
              <w:contextualSpacing/>
              <w:jc w:val="center"/>
              <w:rPr>
                <w:rFonts w:cs="Times New Roman"/>
                <w:sz w:val="20"/>
                <w:szCs w:val="20"/>
              </w:rPr>
            </w:pPr>
            <w:r w:rsidRPr="00660EB3">
              <w:rPr>
                <w:rFonts w:cs="Times New Roman"/>
                <w:sz w:val="20"/>
                <w:szCs w:val="20"/>
              </w:rPr>
              <w:t>Virsizdevumi un peļņa</w:t>
            </w:r>
          </w:p>
        </w:tc>
        <w:tc>
          <w:tcPr>
            <w:tcW w:w="2157" w:type="dxa"/>
            <w:vAlign w:val="center"/>
          </w:tcPr>
          <w:p w14:paraId="35A5E1D5" w14:textId="2D330608" w:rsidR="00F24129" w:rsidRPr="00660EB3" w:rsidRDefault="00F24129" w:rsidP="00056AFE">
            <w:pPr>
              <w:contextualSpacing/>
              <w:jc w:val="center"/>
              <w:rPr>
                <w:rFonts w:cs="Times New Roman"/>
                <w:sz w:val="20"/>
                <w:szCs w:val="20"/>
              </w:rPr>
            </w:pPr>
            <w:r w:rsidRPr="00660EB3">
              <w:rPr>
                <w:rFonts w:cs="Times New Roman"/>
                <w:sz w:val="20"/>
                <w:szCs w:val="20"/>
              </w:rPr>
              <w:t>22 432 26</w:t>
            </w:r>
            <w:r w:rsidR="28A285A0" w:rsidRPr="00660EB3">
              <w:rPr>
                <w:rFonts w:cs="Times New Roman"/>
                <w:sz w:val="20"/>
                <w:szCs w:val="20"/>
              </w:rPr>
              <w:t>9</w:t>
            </w:r>
          </w:p>
        </w:tc>
        <w:tc>
          <w:tcPr>
            <w:tcW w:w="1858" w:type="dxa"/>
            <w:vAlign w:val="center"/>
          </w:tcPr>
          <w:p w14:paraId="37D58298" w14:textId="197B1E80" w:rsidR="00F24129" w:rsidRPr="00660EB3" w:rsidRDefault="00F24129" w:rsidP="00056AFE">
            <w:pPr>
              <w:contextualSpacing/>
              <w:jc w:val="center"/>
              <w:rPr>
                <w:rFonts w:cs="Times New Roman"/>
                <w:sz w:val="20"/>
                <w:szCs w:val="20"/>
              </w:rPr>
            </w:pPr>
            <w:r w:rsidRPr="00660EB3">
              <w:rPr>
                <w:rFonts w:cs="Times New Roman"/>
                <w:sz w:val="20"/>
                <w:szCs w:val="20"/>
              </w:rPr>
              <w:t>7 997 0</w:t>
            </w:r>
            <w:r w:rsidR="2E84E9E2" w:rsidRPr="00660EB3">
              <w:rPr>
                <w:rFonts w:cs="Times New Roman"/>
                <w:sz w:val="20"/>
                <w:szCs w:val="20"/>
              </w:rPr>
              <w:t>10</w:t>
            </w:r>
          </w:p>
        </w:tc>
        <w:tc>
          <w:tcPr>
            <w:tcW w:w="1639" w:type="dxa"/>
            <w:shd w:val="clear" w:color="auto" w:fill="BFBFBF" w:themeFill="background1" w:themeFillShade="BF"/>
            <w:vAlign w:val="center"/>
          </w:tcPr>
          <w:p w14:paraId="14FFCF5F" w14:textId="5CFD133D" w:rsidR="00F24129" w:rsidRPr="00660EB3" w:rsidRDefault="00A438E1" w:rsidP="00056AFE">
            <w:pPr>
              <w:tabs>
                <w:tab w:val="left" w:pos="567"/>
              </w:tabs>
              <w:contextualSpacing/>
              <w:jc w:val="center"/>
              <w:rPr>
                <w:rFonts w:cs="Times New Roman"/>
                <w:sz w:val="20"/>
                <w:szCs w:val="20"/>
              </w:rPr>
            </w:pPr>
            <w:r w:rsidRPr="00660EB3">
              <w:rPr>
                <w:rFonts w:cs="Times New Roman"/>
                <w:sz w:val="20"/>
                <w:szCs w:val="20"/>
              </w:rPr>
              <w:t>6 390 14</w:t>
            </w:r>
            <w:r w:rsidR="2E56175C" w:rsidRPr="00660EB3">
              <w:rPr>
                <w:rFonts w:cs="Times New Roman"/>
                <w:sz w:val="20"/>
                <w:szCs w:val="20"/>
              </w:rPr>
              <w:t>9</w:t>
            </w:r>
          </w:p>
        </w:tc>
        <w:tc>
          <w:tcPr>
            <w:tcW w:w="1898" w:type="dxa"/>
            <w:vAlign w:val="center"/>
          </w:tcPr>
          <w:p w14:paraId="612C5B43" w14:textId="512826EC" w:rsidR="00F24129" w:rsidRPr="00660EB3" w:rsidRDefault="40FF86C1" w:rsidP="00130425">
            <w:pPr>
              <w:spacing w:after="200" w:line="276" w:lineRule="auto"/>
              <w:contextualSpacing/>
              <w:jc w:val="center"/>
              <w:rPr>
                <w:rFonts w:eastAsia="Times New Roman" w:cs="Times New Roman"/>
                <w:sz w:val="20"/>
                <w:szCs w:val="20"/>
              </w:rPr>
            </w:pPr>
            <w:r w:rsidRPr="3F02235E">
              <w:rPr>
                <w:rFonts w:cs="Times New Roman"/>
                <w:sz w:val="20"/>
                <w:szCs w:val="20"/>
              </w:rPr>
              <w:t>3</w:t>
            </w:r>
            <w:r w:rsidR="00A7438E">
              <w:rPr>
                <w:rFonts w:cs="Times New Roman"/>
                <w:sz w:val="20"/>
                <w:szCs w:val="20"/>
              </w:rPr>
              <w:t>6</w:t>
            </w:r>
            <w:r w:rsidRPr="3F02235E">
              <w:rPr>
                <w:rFonts w:cs="Times New Roman"/>
                <w:sz w:val="20"/>
                <w:szCs w:val="20"/>
              </w:rPr>
              <w:t xml:space="preserve"> 819 428</w:t>
            </w:r>
          </w:p>
        </w:tc>
      </w:tr>
      <w:tr w:rsidR="00F24129" w:rsidRPr="00660EB3" w14:paraId="4ED2B5A0" w14:textId="77777777" w:rsidTr="3F02235E">
        <w:tc>
          <w:tcPr>
            <w:tcW w:w="1849" w:type="dxa"/>
            <w:vAlign w:val="center"/>
          </w:tcPr>
          <w:p w14:paraId="47FA007D" w14:textId="77777777" w:rsidR="00F24129" w:rsidRPr="00660EB3" w:rsidRDefault="00F24129" w:rsidP="00056AFE">
            <w:pPr>
              <w:contextualSpacing/>
              <w:jc w:val="center"/>
              <w:rPr>
                <w:rFonts w:cs="Times New Roman"/>
                <w:sz w:val="20"/>
                <w:szCs w:val="20"/>
              </w:rPr>
            </w:pPr>
            <w:r w:rsidRPr="00660EB3">
              <w:rPr>
                <w:rFonts w:cs="Times New Roman"/>
                <w:sz w:val="20"/>
                <w:szCs w:val="20"/>
              </w:rPr>
              <w:t>Indeksācija</w:t>
            </w:r>
          </w:p>
        </w:tc>
        <w:tc>
          <w:tcPr>
            <w:tcW w:w="2157" w:type="dxa"/>
            <w:vAlign w:val="center"/>
          </w:tcPr>
          <w:p w14:paraId="5CF184C3" w14:textId="6CCE14FA" w:rsidR="00F24129" w:rsidRPr="00660EB3" w:rsidRDefault="3CF351D7" w:rsidP="00130425">
            <w:pPr>
              <w:spacing w:after="200" w:line="276" w:lineRule="auto"/>
              <w:contextualSpacing/>
              <w:jc w:val="center"/>
              <w:rPr>
                <w:rFonts w:eastAsia="Times New Roman" w:cs="Times New Roman"/>
                <w:sz w:val="20"/>
                <w:szCs w:val="20"/>
              </w:rPr>
            </w:pPr>
            <w:r w:rsidRPr="3F02235E">
              <w:rPr>
                <w:rFonts w:cs="Times New Roman"/>
                <w:sz w:val="20"/>
                <w:szCs w:val="20"/>
              </w:rPr>
              <w:t>14 409 104</w:t>
            </w:r>
          </w:p>
        </w:tc>
        <w:tc>
          <w:tcPr>
            <w:tcW w:w="1858" w:type="dxa"/>
            <w:vAlign w:val="center"/>
          </w:tcPr>
          <w:p w14:paraId="387F2660" w14:textId="3907A658" w:rsidR="00F24129" w:rsidRPr="00660EB3" w:rsidRDefault="08D9EA2D" w:rsidP="00130425">
            <w:pPr>
              <w:tabs>
                <w:tab w:val="left" w:pos="567"/>
              </w:tabs>
              <w:spacing w:after="200" w:line="276" w:lineRule="auto"/>
              <w:contextualSpacing/>
              <w:jc w:val="center"/>
              <w:rPr>
                <w:rFonts w:eastAsia="Times New Roman" w:cs="Times New Roman"/>
                <w:sz w:val="20"/>
                <w:szCs w:val="20"/>
              </w:rPr>
            </w:pPr>
            <w:r w:rsidRPr="3F02235E">
              <w:rPr>
                <w:rFonts w:cs="Times New Roman"/>
                <w:sz w:val="20"/>
                <w:szCs w:val="20"/>
              </w:rPr>
              <w:t>4 739 288</w:t>
            </w:r>
          </w:p>
        </w:tc>
        <w:tc>
          <w:tcPr>
            <w:tcW w:w="1639" w:type="dxa"/>
            <w:shd w:val="clear" w:color="auto" w:fill="BFBFBF" w:themeFill="background1" w:themeFillShade="BF"/>
            <w:vAlign w:val="center"/>
          </w:tcPr>
          <w:p w14:paraId="00EFFC2F" w14:textId="7E5DFC09" w:rsidR="00F24129" w:rsidRPr="00660EB3" w:rsidRDefault="00FE631F" w:rsidP="00056AFE">
            <w:pPr>
              <w:tabs>
                <w:tab w:val="left" w:pos="567"/>
              </w:tabs>
              <w:contextualSpacing/>
              <w:jc w:val="center"/>
              <w:rPr>
                <w:rFonts w:cs="Times New Roman"/>
                <w:sz w:val="20"/>
                <w:szCs w:val="20"/>
              </w:rPr>
            </w:pPr>
            <w:r w:rsidRPr="00660EB3">
              <w:rPr>
                <w:rFonts w:cs="Times New Roman"/>
                <w:sz w:val="20"/>
                <w:szCs w:val="20"/>
              </w:rPr>
              <w:t>4 021 162</w:t>
            </w:r>
          </w:p>
        </w:tc>
        <w:tc>
          <w:tcPr>
            <w:tcW w:w="1898" w:type="dxa"/>
            <w:vAlign w:val="center"/>
          </w:tcPr>
          <w:p w14:paraId="4C3CAD57" w14:textId="0C69FB29" w:rsidR="00F24129" w:rsidRPr="00660EB3" w:rsidRDefault="31C32DE3" w:rsidP="00130425">
            <w:pPr>
              <w:tabs>
                <w:tab w:val="left" w:pos="567"/>
              </w:tabs>
              <w:spacing w:after="200" w:line="276" w:lineRule="auto"/>
              <w:contextualSpacing/>
              <w:jc w:val="center"/>
              <w:rPr>
                <w:rFonts w:eastAsia="Times New Roman" w:cs="Times New Roman"/>
                <w:sz w:val="20"/>
                <w:szCs w:val="20"/>
              </w:rPr>
            </w:pPr>
            <w:r w:rsidRPr="3F02235E">
              <w:rPr>
                <w:rFonts w:cs="Times New Roman"/>
                <w:sz w:val="20"/>
                <w:szCs w:val="20"/>
              </w:rPr>
              <w:t>23 169 554</w:t>
            </w:r>
          </w:p>
        </w:tc>
      </w:tr>
      <w:tr w:rsidR="00F24129" w:rsidRPr="00660EB3" w14:paraId="4E3E5ED3" w14:textId="77777777" w:rsidTr="3F02235E">
        <w:tc>
          <w:tcPr>
            <w:tcW w:w="1849" w:type="dxa"/>
            <w:shd w:val="clear" w:color="auto" w:fill="BDD6EE"/>
            <w:vAlign w:val="center"/>
          </w:tcPr>
          <w:p w14:paraId="225612A3" w14:textId="1744AF48" w:rsidR="00F24129" w:rsidRPr="00660EB3" w:rsidRDefault="00F24129" w:rsidP="00056AFE">
            <w:pPr>
              <w:contextualSpacing/>
              <w:jc w:val="center"/>
              <w:rPr>
                <w:rFonts w:cs="Times New Roman"/>
                <w:b/>
                <w:bCs/>
                <w:sz w:val="20"/>
                <w:szCs w:val="20"/>
              </w:rPr>
            </w:pPr>
            <w:r w:rsidRPr="00660EB3">
              <w:rPr>
                <w:rFonts w:cs="Times New Roman"/>
                <w:b/>
                <w:bCs/>
                <w:sz w:val="20"/>
                <w:szCs w:val="20"/>
              </w:rPr>
              <w:t>Kopā (</w:t>
            </w:r>
            <w:r w:rsidR="002C5510" w:rsidRPr="002C5510">
              <w:rPr>
                <w:rFonts w:cs="Times New Roman"/>
                <w:b/>
                <w:bCs/>
                <w:i/>
                <w:sz w:val="20"/>
                <w:szCs w:val="20"/>
              </w:rPr>
              <w:t>euro</w:t>
            </w:r>
            <w:r w:rsidRPr="00660EB3">
              <w:rPr>
                <w:rFonts w:cs="Times New Roman"/>
                <w:b/>
                <w:bCs/>
                <w:sz w:val="20"/>
                <w:szCs w:val="20"/>
              </w:rPr>
              <w:t>)</w:t>
            </w:r>
          </w:p>
        </w:tc>
        <w:tc>
          <w:tcPr>
            <w:tcW w:w="2157" w:type="dxa"/>
            <w:shd w:val="clear" w:color="auto" w:fill="BDD6EE"/>
            <w:vAlign w:val="center"/>
          </w:tcPr>
          <w:p w14:paraId="5B15B734" w14:textId="588F3A09" w:rsidR="00F24129" w:rsidRPr="00660EB3" w:rsidRDefault="2ABD3E33" w:rsidP="00130425">
            <w:pPr>
              <w:spacing w:after="200" w:line="276" w:lineRule="auto"/>
              <w:contextualSpacing/>
              <w:jc w:val="center"/>
              <w:rPr>
                <w:rFonts w:eastAsia="Times New Roman" w:cs="Times New Roman"/>
                <w:sz w:val="20"/>
                <w:szCs w:val="20"/>
              </w:rPr>
            </w:pPr>
            <w:r w:rsidRPr="3F02235E">
              <w:rPr>
                <w:rFonts w:cs="Times New Roman"/>
                <w:sz w:val="20"/>
                <w:szCs w:val="20"/>
              </w:rPr>
              <w:t>122 256 550</w:t>
            </w:r>
          </w:p>
        </w:tc>
        <w:tc>
          <w:tcPr>
            <w:tcW w:w="1858" w:type="dxa"/>
            <w:shd w:val="clear" w:color="auto" w:fill="BDD6EE"/>
            <w:vAlign w:val="center"/>
          </w:tcPr>
          <w:p w14:paraId="6B22245F" w14:textId="09B242CA" w:rsidR="00F24129" w:rsidRPr="00660EB3" w:rsidRDefault="3C9B1C8C" w:rsidP="00130425">
            <w:pPr>
              <w:spacing w:after="200" w:line="276" w:lineRule="auto"/>
              <w:contextualSpacing/>
              <w:jc w:val="center"/>
              <w:rPr>
                <w:rFonts w:eastAsia="Times New Roman" w:cs="Times New Roman"/>
                <w:sz w:val="20"/>
                <w:szCs w:val="20"/>
              </w:rPr>
            </w:pPr>
            <w:r w:rsidRPr="3F02235E">
              <w:rPr>
                <w:rFonts w:cs="Times New Roman"/>
                <w:sz w:val="20"/>
                <w:szCs w:val="20"/>
              </w:rPr>
              <w:t>43 186 450</w:t>
            </w:r>
          </w:p>
        </w:tc>
        <w:tc>
          <w:tcPr>
            <w:tcW w:w="1639" w:type="dxa"/>
            <w:shd w:val="clear" w:color="auto" w:fill="BDD6EE"/>
            <w:vAlign w:val="center"/>
          </w:tcPr>
          <w:p w14:paraId="17DA5297" w14:textId="0D9FB3F9" w:rsidR="00F24129" w:rsidRPr="00660EB3" w:rsidRDefault="3274C093" w:rsidP="00056AFE">
            <w:pPr>
              <w:contextualSpacing/>
              <w:jc w:val="center"/>
              <w:rPr>
                <w:rFonts w:cs="Times New Roman"/>
                <w:sz w:val="20"/>
                <w:szCs w:val="20"/>
              </w:rPr>
            </w:pPr>
            <w:r w:rsidRPr="00660EB3">
              <w:rPr>
                <w:rFonts w:cs="Times New Roman"/>
                <w:sz w:val="20"/>
                <w:szCs w:val="20"/>
              </w:rPr>
              <w:t>34 743</w:t>
            </w:r>
            <w:r w:rsidR="7795D52E" w:rsidRPr="00660EB3">
              <w:rPr>
                <w:rFonts w:cs="Times New Roman"/>
                <w:sz w:val="20"/>
                <w:szCs w:val="20"/>
              </w:rPr>
              <w:t xml:space="preserve"> </w:t>
            </w:r>
            <w:r w:rsidRPr="00660EB3">
              <w:rPr>
                <w:rFonts w:cs="Times New Roman"/>
                <w:sz w:val="20"/>
                <w:szCs w:val="20"/>
              </w:rPr>
              <w:t>030</w:t>
            </w:r>
          </w:p>
        </w:tc>
        <w:tc>
          <w:tcPr>
            <w:tcW w:w="1898" w:type="dxa"/>
            <w:shd w:val="clear" w:color="auto" w:fill="BDD6EE"/>
            <w:vAlign w:val="center"/>
          </w:tcPr>
          <w:p w14:paraId="2D9F2AEC" w14:textId="6C4548E7" w:rsidR="00F24129" w:rsidRPr="00660EB3" w:rsidRDefault="00F24129" w:rsidP="00056AFE">
            <w:pPr>
              <w:contextualSpacing/>
              <w:jc w:val="center"/>
              <w:rPr>
                <w:rFonts w:cs="Times New Roman"/>
                <w:b/>
                <w:bCs/>
                <w:sz w:val="20"/>
                <w:szCs w:val="20"/>
              </w:rPr>
            </w:pPr>
            <w:r w:rsidRPr="3F02235E">
              <w:rPr>
                <w:rFonts w:cs="Times New Roman"/>
                <w:b/>
                <w:bCs/>
                <w:sz w:val="20"/>
                <w:szCs w:val="20"/>
              </w:rPr>
              <w:t>200 186</w:t>
            </w:r>
            <w:r w:rsidR="00131479" w:rsidRPr="3F02235E">
              <w:rPr>
                <w:rFonts w:cs="Times New Roman"/>
                <w:b/>
                <w:bCs/>
                <w:sz w:val="20"/>
                <w:szCs w:val="20"/>
              </w:rPr>
              <w:t> </w:t>
            </w:r>
            <w:r w:rsidRPr="3F02235E">
              <w:rPr>
                <w:rFonts w:cs="Times New Roman"/>
                <w:b/>
                <w:bCs/>
                <w:sz w:val="20"/>
                <w:szCs w:val="20"/>
              </w:rPr>
              <w:t>030</w:t>
            </w:r>
          </w:p>
        </w:tc>
      </w:tr>
      <w:tr w:rsidR="00EB7824" w:rsidRPr="00660EB3" w14:paraId="4470BDF3" w14:textId="77777777" w:rsidTr="3F02235E">
        <w:tc>
          <w:tcPr>
            <w:tcW w:w="1849" w:type="dxa"/>
            <w:shd w:val="clear" w:color="auto" w:fill="BDD6EE"/>
            <w:vAlign w:val="center"/>
          </w:tcPr>
          <w:p w14:paraId="12ECA3B4" w14:textId="05003DEB" w:rsidR="00EB7824" w:rsidRPr="00660EB3" w:rsidRDefault="00EB7824" w:rsidP="00056AFE">
            <w:pPr>
              <w:contextualSpacing/>
              <w:jc w:val="center"/>
              <w:rPr>
                <w:rFonts w:cs="Times New Roman"/>
                <w:b/>
                <w:bCs/>
                <w:sz w:val="20"/>
                <w:szCs w:val="20"/>
              </w:rPr>
            </w:pPr>
            <w:r w:rsidRPr="00660EB3">
              <w:rPr>
                <w:rFonts w:cs="Times New Roman"/>
                <w:b/>
                <w:bCs/>
                <w:sz w:val="20"/>
                <w:szCs w:val="20"/>
              </w:rPr>
              <w:t>Kopā CEF finansējums</w:t>
            </w:r>
          </w:p>
        </w:tc>
        <w:tc>
          <w:tcPr>
            <w:tcW w:w="7552" w:type="dxa"/>
            <w:gridSpan w:val="4"/>
            <w:shd w:val="clear" w:color="auto" w:fill="BDD6EE"/>
            <w:vAlign w:val="center"/>
          </w:tcPr>
          <w:p w14:paraId="4E8E4EC5" w14:textId="12CC65D4" w:rsidR="00EB7824" w:rsidRPr="00660EB3" w:rsidRDefault="0041021E" w:rsidP="00056AFE">
            <w:pPr>
              <w:contextualSpacing/>
              <w:jc w:val="center"/>
              <w:rPr>
                <w:rFonts w:cs="Times New Roman"/>
                <w:b/>
                <w:bCs/>
                <w:sz w:val="20"/>
                <w:szCs w:val="20"/>
              </w:rPr>
            </w:pPr>
            <w:r w:rsidRPr="00660EB3">
              <w:rPr>
                <w:rFonts w:cs="Times New Roman"/>
                <w:b/>
                <w:bCs/>
                <w:sz w:val="20"/>
                <w:szCs w:val="20"/>
              </w:rPr>
              <w:t>1</w:t>
            </w:r>
            <w:r w:rsidR="006A141C" w:rsidRPr="00660EB3">
              <w:rPr>
                <w:rFonts w:cs="Times New Roman"/>
                <w:b/>
                <w:bCs/>
                <w:sz w:val="20"/>
                <w:szCs w:val="20"/>
              </w:rPr>
              <w:t>22</w:t>
            </w:r>
            <w:r w:rsidR="007C575D">
              <w:rPr>
                <w:rFonts w:cs="Times New Roman"/>
                <w:b/>
                <w:bCs/>
                <w:sz w:val="20"/>
                <w:szCs w:val="20"/>
              </w:rPr>
              <w:t> 256 550</w:t>
            </w:r>
          </w:p>
        </w:tc>
      </w:tr>
      <w:tr w:rsidR="00EB7824" w:rsidRPr="00660EB3" w14:paraId="2BA55A10" w14:textId="77777777" w:rsidTr="3F02235E">
        <w:tc>
          <w:tcPr>
            <w:tcW w:w="1849" w:type="dxa"/>
            <w:shd w:val="clear" w:color="auto" w:fill="BDD6EE"/>
            <w:vAlign w:val="center"/>
          </w:tcPr>
          <w:p w14:paraId="4B93015A" w14:textId="177C5DD5" w:rsidR="00EB7824" w:rsidRPr="00660EB3" w:rsidRDefault="00EB7824" w:rsidP="00056AFE">
            <w:pPr>
              <w:contextualSpacing/>
              <w:jc w:val="center"/>
              <w:rPr>
                <w:rFonts w:cs="Times New Roman"/>
                <w:b/>
                <w:bCs/>
                <w:sz w:val="20"/>
                <w:szCs w:val="20"/>
              </w:rPr>
            </w:pPr>
            <w:r w:rsidRPr="00660EB3">
              <w:rPr>
                <w:rFonts w:cs="Times New Roman"/>
                <w:b/>
                <w:bCs/>
                <w:sz w:val="20"/>
                <w:szCs w:val="20"/>
              </w:rPr>
              <w:t xml:space="preserve">Kopā valsts budžeta </w:t>
            </w:r>
            <w:r w:rsidR="00A24699">
              <w:rPr>
                <w:rFonts w:cs="Times New Roman"/>
                <w:b/>
                <w:bCs/>
                <w:sz w:val="20"/>
                <w:szCs w:val="20"/>
              </w:rPr>
              <w:t>līdz</w:t>
            </w:r>
            <w:r w:rsidRPr="00660EB3">
              <w:rPr>
                <w:rFonts w:cs="Times New Roman"/>
                <w:b/>
                <w:bCs/>
                <w:sz w:val="20"/>
                <w:szCs w:val="20"/>
              </w:rPr>
              <w:t>finansējums</w:t>
            </w:r>
          </w:p>
        </w:tc>
        <w:tc>
          <w:tcPr>
            <w:tcW w:w="7552" w:type="dxa"/>
            <w:gridSpan w:val="4"/>
            <w:shd w:val="clear" w:color="auto" w:fill="BDD6EE"/>
            <w:vAlign w:val="center"/>
          </w:tcPr>
          <w:p w14:paraId="4EF517F8" w14:textId="74C8F09B" w:rsidR="00EB7824" w:rsidRPr="00660EB3" w:rsidRDefault="0016399A" w:rsidP="00056AFE">
            <w:pPr>
              <w:contextualSpacing/>
              <w:jc w:val="center"/>
              <w:rPr>
                <w:rFonts w:cs="Times New Roman"/>
                <w:b/>
                <w:bCs/>
                <w:sz w:val="20"/>
                <w:szCs w:val="20"/>
              </w:rPr>
            </w:pPr>
            <w:r w:rsidRPr="00660EB3">
              <w:rPr>
                <w:rFonts w:cs="Times New Roman"/>
                <w:b/>
                <w:bCs/>
                <w:sz w:val="20"/>
                <w:szCs w:val="20"/>
              </w:rPr>
              <w:t>7</w:t>
            </w:r>
            <w:r w:rsidR="00242FF3">
              <w:rPr>
                <w:rFonts w:cs="Times New Roman"/>
                <w:b/>
                <w:bCs/>
                <w:sz w:val="20"/>
                <w:szCs w:val="20"/>
              </w:rPr>
              <w:t>7 929 480</w:t>
            </w:r>
          </w:p>
        </w:tc>
      </w:tr>
      <w:tr w:rsidR="00F91865" w:rsidRPr="00660EB3" w14:paraId="0B2CA864" w14:textId="77777777" w:rsidTr="3F02235E">
        <w:trPr>
          <w:trHeight w:val="300"/>
        </w:trPr>
        <w:tc>
          <w:tcPr>
            <w:tcW w:w="9401" w:type="dxa"/>
            <w:gridSpan w:val="5"/>
            <w:shd w:val="clear" w:color="auto" w:fill="BDD6EE"/>
            <w:vAlign w:val="center"/>
          </w:tcPr>
          <w:p w14:paraId="4645A603" w14:textId="77777777" w:rsidR="00F91865" w:rsidRPr="00660EB3" w:rsidRDefault="00F91865" w:rsidP="00056AFE">
            <w:pPr>
              <w:contextualSpacing/>
              <w:rPr>
                <w:rFonts w:cs="Times New Roman"/>
                <w:sz w:val="20"/>
                <w:szCs w:val="20"/>
              </w:rPr>
            </w:pPr>
            <w:r w:rsidRPr="00660EB3">
              <w:rPr>
                <w:rFonts w:cs="Times New Roman"/>
                <w:b/>
                <w:bCs/>
                <w:sz w:val="20"/>
                <w:szCs w:val="20"/>
              </w:rPr>
              <w:t>*</w:t>
            </w:r>
            <w:r w:rsidRPr="00660EB3">
              <w:rPr>
                <w:rFonts w:cs="Times New Roman"/>
                <w:sz w:val="20"/>
                <w:szCs w:val="20"/>
              </w:rPr>
              <w:t xml:space="preserve"> Minētie darbi nav paredzēti CEF8 un CEF9 ietvaros</w:t>
            </w:r>
          </w:p>
          <w:p w14:paraId="6FB8D474" w14:textId="41050DF0" w:rsidR="00BB3A31" w:rsidRPr="00660EB3" w:rsidRDefault="0024565D" w:rsidP="00BB3A31">
            <w:pPr>
              <w:tabs>
                <w:tab w:val="left" w:pos="567"/>
              </w:tabs>
              <w:contextualSpacing/>
              <w:jc w:val="both"/>
              <w:rPr>
                <w:rFonts w:eastAsiaTheme="minorEastAsia" w:cs="Times New Roman"/>
                <w:szCs w:val="24"/>
                <w:lang w:eastAsia="lv-LV"/>
              </w:rPr>
            </w:pPr>
            <w:r>
              <w:rPr>
                <w:rFonts w:cs="Times New Roman"/>
                <w:sz w:val="20"/>
                <w:szCs w:val="20"/>
              </w:rPr>
              <w:lastRenderedPageBreak/>
              <w:t>Gadījumā</w:t>
            </w:r>
            <w:r w:rsidR="0093683F">
              <w:rPr>
                <w:rFonts w:cs="Times New Roman"/>
                <w:sz w:val="20"/>
                <w:szCs w:val="20"/>
              </w:rPr>
              <w:t xml:space="preserve">, ja tiek pārtraukta </w:t>
            </w:r>
            <w:r w:rsidR="00554299">
              <w:rPr>
                <w:rFonts w:cs="Times New Roman"/>
                <w:sz w:val="20"/>
                <w:szCs w:val="20"/>
              </w:rPr>
              <w:t xml:space="preserve">turpmākā darbu pasūtīšana, </w:t>
            </w:r>
            <w:r w:rsidR="006F30C8">
              <w:rPr>
                <w:rFonts w:cs="Times New Roman"/>
                <w:sz w:val="20"/>
                <w:szCs w:val="20"/>
              </w:rPr>
              <w:t>valsts budžetam jā</w:t>
            </w:r>
            <w:r w:rsidR="00D013C4">
              <w:rPr>
                <w:rFonts w:cs="Times New Roman"/>
                <w:sz w:val="20"/>
                <w:szCs w:val="20"/>
              </w:rPr>
              <w:t xml:space="preserve">samaksā </w:t>
            </w:r>
            <w:r w:rsidR="00723766">
              <w:rPr>
                <w:rFonts w:cs="Times New Roman"/>
                <w:sz w:val="20"/>
                <w:szCs w:val="20"/>
              </w:rPr>
              <w:t xml:space="preserve">vienreizējs maksājums </w:t>
            </w:r>
            <w:r w:rsidR="00090EFE">
              <w:rPr>
                <w:rFonts w:cs="Times New Roman"/>
                <w:sz w:val="20"/>
                <w:szCs w:val="20"/>
              </w:rPr>
              <w:t>5</w:t>
            </w:r>
            <w:r w:rsidR="00D45EA7">
              <w:rPr>
                <w:rFonts w:cs="Times New Roman"/>
                <w:sz w:val="20"/>
                <w:szCs w:val="20"/>
              </w:rPr>
              <w:t> 000 000 līdz</w:t>
            </w:r>
            <w:r w:rsidR="00090EFE">
              <w:rPr>
                <w:rFonts w:cs="Times New Roman"/>
                <w:sz w:val="20"/>
                <w:szCs w:val="20"/>
              </w:rPr>
              <w:t xml:space="preserve"> </w:t>
            </w:r>
            <w:r w:rsidR="002842A1" w:rsidRPr="00660EB3">
              <w:rPr>
                <w:rFonts w:cs="Times New Roman"/>
                <w:sz w:val="20"/>
                <w:szCs w:val="20"/>
              </w:rPr>
              <w:t xml:space="preserve"> </w:t>
            </w:r>
            <w:r w:rsidR="0000067D" w:rsidRPr="00660EB3">
              <w:rPr>
                <w:rFonts w:cs="Times New Roman"/>
                <w:sz w:val="20"/>
                <w:szCs w:val="20"/>
              </w:rPr>
              <w:t xml:space="preserve">15 000 000 </w:t>
            </w:r>
            <w:r w:rsidR="002C5510" w:rsidRPr="002C5510">
              <w:rPr>
                <w:rFonts w:cs="Times New Roman"/>
                <w:i/>
                <w:sz w:val="20"/>
                <w:szCs w:val="20"/>
              </w:rPr>
              <w:t>euro</w:t>
            </w:r>
            <w:r w:rsidR="00DB11B4" w:rsidRPr="00660EB3">
              <w:rPr>
                <w:rFonts w:cs="Times New Roman"/>
                <w:sz w:val="20"/>
                <w:szCs w:val="20"/>
              </w:rPr>
              <w:t xml:space="preserve"> </w:t>
            </w:r>
            <w:r w:rsidR="005B7C9C">
              <w:rPr>
                <w:rFonts w:cs="Times New Roman"/>
                <w:sz w:val="20"/>
                <w:szCs w:val="20"/>
              </w:rPr>
              <w:t xml:space="preserve">apmērā. </w:t>
            </w:r>
            <w:r w:rsidR="00BB3A31" w:rsidRPr="00130425">
              <w:rPr>
                <w:rFonts w:eastAsiaTheme="minorEastAsia" w:cs="Times New Roman"/>
                <w:sz w:val="20"/>
                <w:szCs w:val="20"/>
                <w:lang w:eastAsia="lv-LV"/>
              </w:rPr>
              <w:t xml:space="preserve">Ja šāda situācija iestājas, ministrija </w:t>
            </w:r>
            <w:r w:rsidR="00A170DB">
              <w:rPr>
                <w:rFonts w:eastAsiaTheme="minorEastAsia" w:cs="Times New Roman"/>
                <w:sz w:val="20"/>
                <w:szCs w:val="20"/>
                <w:lang w:eastAsia="lv-LV"/>
              </w:rPr>
              <w:t xml:space="preserve">iesniegs </w:t>
            </w:r>
            <w:r w:rsidR="00BB3A31" w:rsidRPr="00130425">
              <w:rPr>
                <w:rFonts w:eastAsiaTheme="minorEastAsia" w:cs="Times New Roman"/>
                <w:sz w:val="20"/>
                <w:szCs w:val="20"/>
                <w:lang w:eastAsia="lv-LV"/>
              </w:rPr>
              <w:t xml:space="preserve">MK </w:t>
            </w:r>
            <w:r w:rsidR="00A170DB">
              <w:rPr>
                <w:rFonts w:eastAsiaTheme="minorEastAsia" w:cs="Times New Roman"/>
                <w:sz w:val="20"/>
                <w:szCs w:val="20"/>
                <w:lang w:eastAsia="lv-LV"/>
              </w:rPr>
              <w:t xml:space="preserve"> ziņojumu</w:t>
            </w:r>
            <w:r w:rsidR="0013736B">
              <w:rPr>
                <w:rFonts w:eastAsiaTheme="minorEastAsia" w:cs="Times New Roman"/>
                <w:sz w:val="20"/>
                <w:szCs w:val="20"/>
                <w:lang w:eastAsia="lv-LV"/>
              </w:rPr>
              <w:t>, piedāvājot risinājumus finansējuma nodrošināšanai</w:t>
            </w:r>
            <w:r w:rsidR="00BB3A31" w:rsidRPr="00130425">
              <w:rPr>
                <w:rFonts w:eastAsiaTheme="minorEastAsia" w:cs="Times New Roman"/>
                <w:sz w:val="20"/>
                <w:szCs w:val="20"/>
                <w:lang w:eastAsia="lv-LV"/>
              </w:rPr>
              <w:t>.</w:t>
            </w:r>
            <w:r w:rsidR="00BB3A31">
              <w:rPr>
                <w:rFonts w:eastAsiaTheme="minorEastAsia" w:cs="Times New Roman"/>
                <w:szCs w:val="24"/>
                <w:lang w:eastAsia="lv-LV"/>
              </w:rPr>
              <w:t xml:space="preserve"> </w:t>
            </w:r>
          </w:p>
          <w:p w14:paraId="06ABE2E9" w14:textId="20BB6944" w:rsidR="0000067D" w:rsidRPr="00660EB3" w:rsidRDefault="0000067D" w:rsidP="00056AFE">
            <w:pPr>
              <w:contextualSpacing/>
              <w:rPr>
                <w:rFonts w:cs="Times New Roman"/>
                <w:b/>
                <w:bCs/>
                <w:sz w:val="20"/>
                <w:szCs w:val="20"/>
              </w:rPr>
            </w:pPr>
          </w:p>
        </w:tc>
      </w:tr>
    </w:tbl>
    <w:p w14:paraId="49C89C3E" w14:textId="77777777" w:rsidR="00351D56" w:rsidRPr="00660EB3" w:rsidRDefault="00351D56" w:rsidP="00056AFE">
      <w:pPr>
        <w:spacing w:after="0" w:line="240" w:lineRule="auto"/>
        <w:contextualSpacing/>
        <w:jc w:val="both"/>
        <w:rPr>
          <w:rFonts w:eastAsia="Calibri" w:cs="Times New Roman"/>
          <w:kern w:val="2"/>
          <w:sz w:val="24"/>
          <w:szCs w:val="24"/>
          <w14:ligatures w14:val="standardContextual"/>
        </w:rPr>
      </w:pPr>
    </w:p>
    <w:p w14:paraId="6EEAF43C" w14:textId="77777777" w:rsidR="00C005D1" w:rsidRDefault="00C005D1">
      <w:pPr>
        <w:rPr>
          <w:rFonts w:eastAsia="Calibri" w:cs="Times New Roman"/>
          <w:b/>
          <w:bCs/>
          <w:kern w:val="2"/>
          <w:sz w:val="24"/>
          <w:szCs w:val="24"/>
          <w14:ligatures w14:val="standardContextual"/>
        </w:rPr>
      </w:pPr>
      <w:r>
        <w:rPr>
          <w:rFonts w:eastAsia="Calibri" w:cs="Times New Roman"/>
          <w:b/>
          <w:bCs/>
          <w:kern w:val="2"/>
          <w:sz w:val="24"/>
          <w:szCs w:val="24"/>
          <w14:ligatures w14:val="standardContextual"/>
        </w:rPr>
        <w:br w:type="page"/>
      </w:r>
    </w:p>
    <w:p w14:paraId="6EDF1C63" w14:textId="635FD7E9" w:rsidR="00463F4E" w:rsidRDefault="00463F4E" w:rsidP="00463F4E">
      <w:pPr>
        <w:spacing w:after="0"/>
        <w:jc w:val="right"/>
        <w:rPr>
          <w:rFonts w:eastAsia="Calibri" w:cs="Times New Roman"/>
          <w:b/>
          <w:bCs/>
          <w:kern w:val="2"/>
          <w:sz w:val="24"/>
          <w:szCs w:val="24"/>
          <w14:ligatures w14:val="standardContextual"/>
        </w:rPr>
      </w:pPr>
      <w:r w:rsidRPr="00463F4E">
        <w:rPr>
          <w:rFonts w:eastAsia="Calibri" w:cs="Times New Roman"/>
          <w:b/>
          <w:bCs/>
          <w:kern w:val="2"/>
          <w:sz w:val="24"/>
          <w:szCs w:val="24"/>
          <w14:ligatures w14:val="standardContextual"/>
        </w:rPr>
        <w:lastRenderedPageBreak/>
        <w:t>2.pielikums</w:t>
      </w:r>
    </w:p>
    <w:p w14:paraId="350EB169" w14:textId="05AA3C7C" w:rsidR="00463F4E" w:rsidRDefault="00463F4E" w:rsidP="00463F4E">
      <w:pPr>
        <w:spacing w:after="0"/>
        <w:jc w:val="right"/>
        <w:rPr>
          <w:rFonts w:eastAsia="Calibri" w:cs="Times New Roman"/>
          <w:b/>
          <w:bCs/>
          <w:kern w:val="2"/>
          <w:sz w:val="24"/>
          <w:szCs w:val="24"/>
          <w14:ligatures w14:val="standardContextual"/>
        </w:rPr>
      </w:pPr>
      <w:r>
        <w:rPr>
          <w:rFonts w:eastAsia="Calibri" w:cs="Times New Roman"/>
          <w:b/>
          <w:bCs/>
          <w:kern w:val="2"/>
          <w:sz w:val="24"/>
          <w:szCs w:val="24"/>
          <w14:ligatures w14:val="standardContextual"/>
        </w:rPr>
        <w:t>Būvniecības indeksu avoti</w:t>
      </w:r>
    </w:p>
    <w:p w14:paraId="6B317ABA" w14:textId="715B40E9" w:rsidR="005D02B7" w:rsidRDefault="005D02B7" w:rsidP="00463F4E">
      <w:pPr>
        <w:spacing w:after="0" w:line="240" w:lineRule="auto"/>
        <w:contextualSpacing/>
        <w:rPr>
          <w:rFonts w:eastAsia="Calibri" w:cs="Times New Roman"/>
          <w:b/>
          <w:bCs/>
          <w:kern w:val="2"/>
          <w:sz w:val="24"/>
          <w:szCs w:val="24"/>
          <w14:ligatures w14:val="standardContextual"/>
        </w:rPr>
      </w:pPr>
    </w:p>
    <w:tbl>
      <w:tblPr>
        <w:tblpPr w:leftFromText="180" w:rightFromText="180" w:bottomFromText="160" w:vertAnchor="page" w:horzAnchor="margin" w:tblpY="300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992"/>
        <w:gridCol w:w="1276"/>
        <w:gridCol w:w="6241"/>
      </w:tblGrid>
      <w:tr w:rsidR="000279EE" w:rsidRPr="00A51A3B" w14:paraId="7DF775B9" w14:textId="77777777" w:rsidTr="004A584A">
        <w:trPr>
          <w:trHeight w:val="543"/>
        </w:trPr>
        <w:tc>
          <w:tcPr>
            <w:tcW w:w="127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5" w:type="dxa"/>
              <w:left w:w="66" w:type="dxa"/>
              <w:bottom w:w="0" w:type="dxa"/>
              <w:right w:w="66" w:type="dxa"/>
            </w:tcMar>
            <w:vAlign w:val="center"/>
            <w:hideMark/>
          </w:tcPr>
          <w:p w14:paraId="183A8D03" w14:textId="77777777" w:rsidR="000279EE" w:rsidRPr="00A51A3B" w:rsidRDefault="000279EE" w:rsidP="00056AFE">
            <w:pPr>
              <w:spacing w:after="0" w:line="240" w:lineRule="auto"/>
              <w:contextualSpacing/>
              <w:jc w:val="center"/>
              <w:rPr>
                <w:rFonts w:asciiTheme="majorBidi" w:hAnsiTheme="majorBidi" w:cstheme="majorBidi"/>
                <w:sz w:val="18"/>
                <w:szCs w:val="18"/>
              </w:rPr>
            </w:pPr>
            <w:r w:rsidRPr="00A51A3B">
              <w:rPr>
                <w:rFonts w:asciiTheme="majorBidi" w:hAnsiTheme="majorBidi" w:cstheme="majorBidi"/>
                <w:b/>
                <w:bCs/>
                <w:sz w:val="18"/>
                <w:szCs w:val="18"/>
              </w:rPr>
              <w:t>Indekss</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9406CFB"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Konkrētā indeksa konstante</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5" w:type="dxa"/>
              <w:left w:w="66" w:type="dxa"/>
              <w:bottom w:w="0" w:type="dxa"/>
              <w:right w:w="66" w:type="dxa"/>
            </w:tcMar>
            <w:vAlign w:val="center"/>
            <w:hideMark/>
          </w:tcPr>
          <w:p w14:paraId="57A19832" w14:textId="77777777" w:rsidR="000279EE" w:rsidRPr="00A51A3B" w:rsidRDefault="000279EE" w:rsidP="00056AFE">
            <w:pPr>
              <w:spacing w:after="0" w:line="240" w:lineRule="auto"/>
              <w:contextualSpacing/>
              <w:jc w:val="center"/>
              <w:rPr>
                <w:rFonts w:asciiTheme="majorBidi" w:hAnsiTheme="majorBidi" w:cstheme="majorBidi"/>
                <w:sz w:val="18"/>
                <w:szCs w:val="18"/>
              </w:rPr>
            </w:pPr>
            <w:r w:rsidRPr="00A51A3B">
              <w:rPr>
                <w:rFonts w:asciiTheme="majorBidi" w:hAnsiTheme="majorBidi" w:cstheme="majorBidi"/>
                <w:b/>
                <w:bCs/>
                <w:sz w:val="18"/>
                <w:szCs w:val="18"/>
              </w:rPr>
              <w:t>Avots</w:t>
            </w:r>
          </w:p>
        </w:tc>
        <w:tc>
          <w:tcPr>
            <w:tcW w:w="624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15" w:type="dxa"/>
              <w:left w:w="66" w:type="dxa"/>
              <w:bottom w:w="0" w:type="dxa"/>
              <w:right w:w="66" w:type="dxa"/>
            </w:tcMar>
            <w:vAlign w:val="center"/>
            <w:hideMark/>
          </w:tcPr>
          <w:p w14:paraId="6D58AD26" w14:textId="77777777" w:rsidR="000279EE" w:rsidRPr="00A51A3B" w:rsidRDefault="000279EE" w:rsidP="00056AFE">
            <w:pPr>
              <w:spacing w:after="0" w:line="240" w:lineRule="auto"/>
              <w:contextualSpacing/>
              <w:jc w:val="center"/>
              <w:rPr>
                <w:rFonts w:asciiTheme="majorBidi" w:hAnsiTheme="majorBidi" w:cstheme="majorBidi"/>
                <w:sz w:val="18"/>
                <w:szCs w:val="18"/>
              </w:rPr>
            </w:pPr>
            <w:r w:rsidRPr="00A51A3B">
              <w:rPr>
                <w:rFonts w:asciiTheme="majorBidi" w:hAnsiTheme="majorBidi" w:cstheme="majorBidi"/>
                <w:b/>
                <w:bCs/>
                <w:sz w:val="18"/>
                <w:szCs w:val="18"/>
              </w:rPr>
              <w:t>Indeksa nosaukums, apraksts*</w:t>
            </w:r>
          </w:p>
        </w:tc>
      </w:tr>
      <w:tr w:rsidR="000279EE" w:rsidRPr="00A51A3B" w14:paraId="60F88A3F" w14:textId="77777777" w:rsidTr="004A584A">
        <w:trPr>
          <w:trHeight w:val="702"/>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196C4234"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 xml:space="preserve">CCI_L </w:t>
            </w:r>
          </w:p>
          <w:p w14:paraId="6934927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(darbaspēks)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E2D2D1"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b</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38BE66A1"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p>
          <w:p w14:paraId="7B740BFF"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(Latvijas Centrālā statistikas pārvalde)</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2DFD29DA"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RCB040c</w:t>
            </w:r>
            <w:r w:rsidRPr="00A51A3B">
              <w:rPr>
                <w:rFonts w:asciiTheme="majorBidi" w:hAnsiTheme="majorBidi" w:cstheme="majorBidi"/>
                <w:sz w:val="18"/>
                <w:szCs w:val="18"/>
              </w:rPr>
              <w:t xml:space="preserve">. Būvniecības izmaksu indeksi pa objektu grupām un resursu veidiem(2015=100) </w:t>
            </w:r>
            <w:r w:rsidRPr="00A51A3B">
              <w:rPr>
                <w:rFonts w:asciiTheme="majorBidi" w:hAnsiTheme="majorBidi" w:cstheme="majorBidi"/>
                <w:b/>
                <w:bCs/>
                <w:sz w:val="18"/>
                <w:szCs w:val="18"/>
              </w:rPr>
              <w:t>transporta objektiem</w:t>
            </w:r>
            <w:r w:rsidRPr="00A51A3B">
              <w:rPr>
                <w:rFonts w:asciiTheme="majorBidi" w:hAnsiTheme="majorBidi" w:cstheme="majorBidi"/>
                <w:sz w:val="18"/>
                <w:szCs w:val="18"/>
              </w:rPr>
              <w:t xml:space="preserve">. </w:t>
            </w:r>
          </w:p>
          <w:p w14:paraId="643B5F8B"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 xml:space="preserve">Resursi - </w:t>
            </w:r>
            <w:r w:rsidRPr="00A51A3B">
              <w:rPr>
                <w:rFonts w:asciiTheme="majorBidi" w:hAnsiTheme="majorBidi" w:cstheme="majorBidi"/>
                <w:b/>
                <w:bCs/>
                <w:sz w:val="18"/>
                <w:szCs w:val="18"/>
              </w:rPr>
              <w:t>Strādnieku darba samaksa</w:t>
            </w:r>
            <w:r w:rsidRPr="00A51A3B">
              <w:rPr>
                <w:rFonts w:asciiTheme="majorBidi" w:hAnsiTheme="majorBidi" w:cstheme="majorBidi"/>
                <w:sz w:val="18"/>
                <w:szCs w:val="18"/>
              </w:rPr>
              <w:t>. Tiek publicēts reizi ceturksnī.</w:t>
            </w:r>
          </w:p>
          <w:p w14:paraId="54CD3F0C" w14:textId="77777777" w:rsidR="000279EE" w:rsidRPr="00A51A3B" w:rsidRDefault="00000000" w:rsidP="00056AFE">
            <w:pPr>
              <w:spacing w:after="0" w:line="240" w:lineRule="auto"/>
              <w:contextualSpacing/>
              <w:rPr>
                <w:rFonts w:asciiTheme="majorBidi" w:hAnsiTheme="majorBidi" w:cstheme="majorBidi"/>
                <w:color w:val="0000FF"/>
                <w:sz w:val="18"/>
                <w:szCs w:val="18"/>
                <w:u w:val="single"/>
              </w:rPr>
            </w:pPr>
            <w:hyperlink r:id="rId18" w:history="1">
              <w:r w:rsidR="000279EE" w:rsidRPr="00A51A3B">
                <w:rPr>
                  <w:rStyle w:val="Hyperlink"/>
                  <w:rFonts w:asciiTheme="majorBidi" w:hAnsiTheme="majorBidi" w:cstheme="majorBidi"/>
                  <w:color w:val="0000FF"/>
                  <w:sz w:val="18"/>
                  <w:szCs w:val="18"/>
                </w:rPr>
                <w:t>Būvniecības izmaksu indeksi pa objektu grupām un resursu veidiem (2015=100) 2010Q1 - 2023Q2. PxWeb (stat.gov.lv)</w:t>
              </w:r>
            </w:hyperlink>
          </w:p>
        </w:tc>
      </w:tr>
      <w:tr w:rsidR="000279EE" w:rsidRPr="00A51A3B" w14:paraId="6005A083" w14:textId="77777777" w:rsidTr="004A584A">
        <w:trPr>
          <w:trHeight w:val="638"/>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39DC7964"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CCI_M (materiāli)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29B763"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c</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0D6D247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r w:rsidRPr="00A51A3B">
              <w:rPr>
                <w:rFonts w:asciiTheme="majorBidi" w:hAnsiTheme="majorBidi" w:cstheme="majorBidi"/>
                <w:sz w:val="18"/>
                <w:szCs w:val="18"/>
              </w:rPr>
              <w:t xml:space="preserve"> </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2F1B9D8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RCB040c</w:t>
            </w:r>
            <w:r w:rsidRPr="00A51A3B">
              <w:rPr>
                <w:rFonts w:asciiTheme="majorBidi" w:hAnsiTheme="majorBidi" w:cstheme="majorBidi"/>
                <w:sz w:val="18"/>
                <w:szCs w:val="18"/>
              </w:rPr>
              <w:t xml:space="preserve">. Būvniecības izmaksu indeksi pa objektu grupām un resursu veidiem(2015=100) </w:t>
            </w:r>
            <w:r w:rsidRPr="00A51A3B">
              <w:rPr>
                <w:rFonts w:asciiTheme="majorBidi" w:hAnsiTheme="majorBidi" w:cstheme="majorBidi"/>
                <w:b/>
                <w:bCs/>
                <w:sz w:val="18"/>
                <w:szCs w:val="18"/>
              </w:rPr>
              <w:t>transporta objektiem</w:t>
            </w:r>
            <w:r w:rsidRPr="00A51A3B">
              <w:rPr>
                <w:rFonts w:asciiTheme="majorBidi" w:hAnsiTheme="majorBidi" w:cstheme="majorBidi"/>
                <w:sz w:val="18"/>
                <w:szCs w:val="18"/>
              </w:rPr>
              <w:t xml:space="preserve">. </w:t>
            </w:r>
          </w:p>
          <w:p w14:paraId="517615E9"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 xml:space="preserve">Resursi  - </w:t>
            </w:r>
            <w:r w:rsidRPr="00A51A3B">
              <w:rPr>
                <w:rFonts w:asciiTheme="majorBidi" w:hAnsiTheme="majorBidi" w:cstheme="majorBidi"/>
                <w:b/>
                <w:bCs/>
                <w:sz w:val="18"/>
                <w:szCs w:val="18"/>
              </w:rPr>
              <w:t>Būvmateriāli</w:t>
            </w:r>
            <w:r w:rsidRPr="00A51A3B">
              <w:rPr>
                <w:rFonts w:asciiTheme="majorBidi" w:hAnsiTheme="majorBidi" w:cstheme="majorBidi"/>
                <w:sz w:val="18"/>
                <w:szCs w:val="18"/>
              </w:rPr>
              <w:t>. Tiek publicēts reizi ceturksnī.</w:t>
            </w:r>
          </w:p>
          <w:p w14:paraId="3A336064" w14:textId="77777777" w:rsidR="000279EE" w:rsidRPr="00A51A3B" w:rsidRDefault="00000000" w:rsidP="00056AFE">
            <w:pPr>
              <w:spacing w:after="0" w:line="240" w:lineRule="auto"/>
              <w:contextualSpacing/>
              <w:rPr>
                <w:rFonts w:asciiTheme="majorBidi" w:hAnsiTheme="majorBidi" w:cstheme="majorBidi"/>
                <w:color w:val="0000FF"/>
                <w:sz w:val="18"/>
                <w:szCs w:val="18"/>
                <w:u w:val="single"/>
              </w:rPr>
            </w:pPr>
            <w:hyperlink r:id="rId19" w:history="1">
              <w:r w:rsidR="000279EE" w:rsidRPr="00A51A3B">
                <w:rPr>
                  <w:rStyle w:val="Hyperlink"/>
                  <w:rFonts w:asciiTheme="majorBidi" w:hAnsiTheme="majorBidi" w:cstheme="majorBidi"/>
                  <w:color w:val="0000FF"/>
                  <w:sz w:val="18"/>
                  <w:szCs w:val="18"/>
                </w:rPr>
                <w:t>Būvniecības izmaksu indeksi pa objektu grupām un resursu veidiem (2015=100) 2010Q1 - 2023Q2. PxWeb (stat.gov.lv)</w:t>
              </w:r>
            </w:hyperlink>
          </w:p>
        </w:tc>
      </w:tr>
      <w:tr w:rsidR="000279EE" w:rsidRPr="00A51A3B" w14:paraId="396D2D28" w14:textId="77777777" w:rsidTr="004A584A">
        <w:trPr>
          <w:trHeight w:val="851"/>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52EBA6AB"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CCI_E  (aprīkojums, mašinērija)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65C93C"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d</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1CE5D7D8"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3896332A"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RCB040c</w:t>
            </w:r>
            <w:r w:rsidRPr="00A51A3B">
              <w:rPr>
                <w:rFonts w:asciiTheme="majorBidi" w:hAnsiTheme="majorBidi" w:cstheme="majorBidi"/>
                <w:sz w:val="18"/>
                <w:szCs w:val="18"/>
              </w:rPr>
              <w:t xml:space="preserve">. Būvniecības izmaksu indeksi pa objektu grupām un resursu veidiem(2015=100) </w:t>
            </w:r>
            <w:r w:rsidRPr="00A51A3B">
              <w:rPr>
                <w:rFonts w:asciiTheme="majorBidi" w:hAnsiTheme="majorBidi" w:cstheme="majorBidi"/>
                <w:b/>
                <w:bCs/>
                <w:sz w:val="18"/>
                <w:szCs w:val="18"/>
              </w:rPr>
              <w:t>transporta objektiem</w:t>
            </w:r>
            <w:r w:rsidRPr="00A51A3B">
              <w:rPr>
                <w:rFonts w:asciiTheme="majorBidi" w:hAnsiTheme="majorBidi" w:cstheme="majorBidi"/>
                <w:sz w:val="18"/>
                <w:szCs w:val="18"/>
              </w:rPr>
              <w:t xml:space="preserve">. </w:t>
            </w:r>
          </w:p>
          <w:p w14:paraId="7535A6D9"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Resursi  -</w:t>
            </w:r>
            <w:r w:rsidRPr="00A51A3B">
              <w:rPr>
                <w:rFonts w:asciiTheme="majorBidi" w:hAnsiTheme="majorBidi" w:cstheme="majorBidi"/>
                <w:b/>
                <w:bCs/>
                <w:sz w:val="18"/>
                <w:szCs w:val="18"/>
              </w:rPr>
              <w:t>Izmaksas mašīnu un mehānismu uzturēšanai un ekspluatācijai</w:t>
            </w:r>
            <w:r w:rsidRPr="00A51A3B">
              <w:rPr>
                <w:rFonts w:asciiTheme="majorBidi" w:hAnsiTheme="majorBidi" w:cstheme="majorBidi"/>
                <w:sz w:val="18"/>
                <w:szCs w:val="18"/>
              </w:rPr>
              <w:t>. Tiek publicēts reizi ceturksnī.</w:t>
            </w:r>
          </w:p>
          <w:p w14:paraId="264ED5CF" w14:textId="77777777" w:rsidR="000279EE" w:rsidRPr="00A51A3B" w:rsidRDefault="00000000" w:rsidP="00056AFE">
            <w:pPr>
              <w:spacing w:after="0" w:line="240" w:lineRule="auto"/>
              <w:contextualSpacing/>
              <w:rPr>
                <w:rFonts w:asciiTheme="majorBidi" w:hAnsiTheme="majorBidi" w:cstheme="majorBidi"/>
                <w:color w:val="0000FF"/>
                <w:sz w:val="18"/>
                <w:szCs w:val="18"/>
                <w:u w:val="single"/>
              </w:rPr>
            </w:pPr>
            <w:hyperlink r:id="rId20" w:history="1">
              <w:r w:rsidR="000279EE" w:rsidRPr="00A51A3B">
                <w:rPr>
                  <w:rStyle w:val="Hyperlink"/>
                  <w:rFonts w:asciiTheme="majorBidi" w:hAnsiTheme="majorBidi" w:cstheme="majorBidi"/>
                  <w:color w:val="0000FF"/>
                  <w:sz w:val="18"/>
                  <w:szCs w:val="18"/>
                </w:rPr>
                <w:t>Būvniecības izmaksu indeksi pa objektu grupām un resursu veidiem (2015=100) 2010Q1 - 2023Q2. PxWeb (stat.gov.lv)</w:t>
              </w:r>
            </w:hyperlink>
          </w:p>
        </w:tc>
      </w:tr>
      <w:tr w:rsidR="000279EE" w:rsidRPr="00A51A3B" w14:paraId="22030E84" w14:textId="77777777" w:rsidTr="004A584A">
        <w:trPr>
          <w:trHeight w:val="638"/>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2C6A31E5"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CCI_T (kopējais)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08FA48"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e</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507658B3"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tcPr>
          <w:p w14:paraId="67359BE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RCB040c</w:t>
            </w:r>
            <w:r w:rsidRPr="00A51A3B">
              <w:rPr>
                <w:rFonts w:asciiTheme="majorBidi" w:hAnsiTheme="majorBidi" w:cstheme="majorBidi"/>
                <w:sz w:val="18"/>
                <w:szCs w:val="18"/>
              </w:rPr>
              <w:t xml:space="preserve">. Būvniecības izmaksu indeksi pa objektu grupām un resursu veidiem(2015=100) </w:t>
            </w:r>
            <w:r w:rsidRPr="00A51A3B">
              <w:rPr>
                <w:rFonts w:asciiTheme="majorBidi" w:hAnsiTheme="majorBidi" w:cstheme="majorBidi"/>
                <w:b/>
                <w:bCs/>
                <w:sz w:val="18"/>
                <w:szCs w:val="18"/>
              </w:rPr>
              <w:t>transporta objektiem</w:t>
            </w:r>
            <w:r w:rsidRPr="00A51A3B">
              <w:rPr>
                <w:rFonts w:asciiTheme="majorBidi" w:hAnsiTheme="majorBidi" w:cstheme="majorBidi"/>
                <w:sz w:val="18"/>
                <w:szCs w:val="18"/>
              </w:rPr>
              <w:t xml:space="preserve">. </w:t>
            </w:r>
            <w:r w:rsidRPr="00A51A3B">
              <w:rPr>
                <w:rFonts w:asciiTheme="majorBidi" w:hAnsiTheme="majorBidi" w:cstheme="majorBidi"/>
                <w:b/>
                <w:bCs/>
                <w:sz w:val="18"/>
                <w:szCs w:val="18"/>
              </w:rPr>
              <w:t>Būvniecība - pavisam</w:t>
            </w:r>
            <w:r w:rsidRPr="00A51A3B">
              <w:rPr>
                <w:rFonts w:asciiTheme="majorBidi" w:hAnsiTheme="majorBidi" w:cstheme="majorBidi"/>
                <w:sz w:val="18"/>
                <w:szCs w:val="18"/>
              </w:rPr>
              <w:t>. Tiek publicēts reizi ceturksnī.</w:t>
            </w:r>
          </w:p>
          <w:p w14:paraId="0EA9C54F" w14:textId="77777777" w:rsidR="000279EE" w:rsidRPr="00A51A3B" w:rsidRDefault="00000000" w:rsidP="00056AFE">
            <w:pPr>
              <w:spacing w:after="0" w:line="240" w:lineRule="auto"/>
              <w:contextualSpacing/>
              <w:rPr>
                <w:rFonts w:asciiTheme="majorBidi" w:hAnsiTheme="majorBidi" w:cstheme="majorBidi"/>
                <w:color w:val="0000FF"/>
                <w:sz w:val="18"/>
                <w:szCs w:val="18"/>
                <w:u w:val="single"/>
              </w:rPr>
            </w:pPr>
            <w:hyperlink r:id="rId21" w:history="1">
              <w:r w:rsidR="000279EE" w:rsidRPr="00A51A3B">
                <w:rPr>
                  <w:rStyle w:val="Hyperlink"/>
                  <w:rFonts w:asciiTheme="majorBidi" w:hAnsiTheme="majorBidi" w:cstheme="majorBidi"/>
                  <w:color w:val="0000FF"/>
                  <w:sz w:val="18"/>
                  <w:szCs w:val="18"/>
                </w:rPr>
                <w:t>Būvniecības izmaksu indeksi pa objektu grupām un resursu veidiem (2015=100) 2010Q1 - 2023Q2. PxWeb (stat.gov.lv)</w:t>
              </w:r>
            </w:hyperlink>
          </w:p>
        </w:tc>
      </w:tr>
      <w:tr w:rsidR="000279EE" w:rsidRPr="00A51A3B" w14:paraId="57BE02F6" w14:textId="77777777" w:rsidTr="004A584A">
        <w:trPr>
          <w:trHeight w:val="685"/>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6A5094E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L</w:t>
            </w:r>
          </w:p>
          <w:p w14:paraId="306C34AF"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(darbaspēks kopējais)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2DF936"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f</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78BE6C13"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3C44FE7A"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DII010c</w:t>
            </w:r>
            <w:r w:rsidRPr="00A51A3B">
              <w:rPr>
                <w:rFonts w:asciiTheme="majorBidi" w:hAnsiTheme="majorBidi" w:cstheme="majorBidi"/>
                <w:sz w:val="18"/>
                <w:szCs w:val="18"/>
              </w:rPr>
              <w:t xml:space="preserve">. Darbaspēka izmaksu indeksi pa darbības veidiem. Rādītāji: </w:t>
            </w:r>
            <w:r w:rsidRPr="00A51A3B">
              <w:rPr>
                <w:rFonts w:asciiTheme="majorBidi" w:hAnsiTheme="majorBidi" w:cstheme="majorBidi"/>
                <w:b/>
                <w:bCs/>
                <w:sz w:val="18"/>
                <w:szCs w:val="18"/>
              </w:rPr>
              <w:t>Darbaspēka izmaksas</w:t>
            </w:r>
            <w:r w:rsidRPr="00A51A3B">
              <w:rPr>
                <w:rFonts w:asciiTheme="majorBidi" w:hAnsiTheme="majorBidi" w:cstheme="majorBidi"/>
                <w:sz w:val="18"/>
                <w:szCs w:val="18"/>
              </w:rPr>
              <w:t xml:space="preserve">. Darbības veids (NACE 2. red.): </w:t>
            </w:r>
            <w:r w:rsidRPr="00A51A3B">
              <w:rPr>
                <w:rFonts w:asciiTheme="majorBidi" w:hAnsiTheme="majorBidi" w:cstheme="majorBidi"/>
                <w:b/>
                <w:bCs/>
                <w:sz w:val="18"/>
                <w:szCs w:val="18"/>
              </w:rPr>
              <w:t xml:space="preserve">F Būvniecība. </w:t>
            </w:r>
            <w:r w:rsidRPr="00A51A3B">
              <w:rPr>
                <w:rFonts w:asciiTheme="majorBidi" w:hAnsiTheme="majorBidi" w:cstheme="majorBidi"/>
                <w:sz w:val="18"/>
                <w:szCs w:val="18"/>
              </w:rPr>
              <w:t>Nekoriģēti dati. Tiek publicēts reizi ceturksnī.</w:t>
            </w:r>
          </w:p>
          <w:p w14:paraId="3DE3659D" w14:textId="77777777" w:rsidR="000279EE" w:rsidRPr="00A51A3B" w:rsidRDefault="00000000" w:rsidP="00056AFE">
            <w:pPr>
              <w:spacing w:after="0" w:line="240" w:lineRule="auto"/>
              <w:contextualSpacing/>
              <w:rPr>
                <w:rFonts w:asciiTheme="majorBidi" w:hAnsiTheme="majorBidi" w:cstheme="majorBidi"/>
                <w:sz w:val="18"/>
                <w:szCs w:val="18"/>
                <w:lang w:val="en-GB"/>
              </w:rPr>
            </w:pPr>
            <w:hyperlink r:id="rId22" w:history="1">
              <w:r w:rsidR="000279EE" w:rsidRPr="00A51A3B">
                <w:rPr>
                  <w:rStyle w:val="Hyperlink"/>
                  <w:rFonts w:asciiTheme="majorBidi" w:hAnsiTheme="majorBidi" w:cstheme="majorBidi"/>
                  <w:color w:val="0000FF"/>
                  <w:sz w:val="18"/>
                  <w:szCs w:val="18"/>
                </w:rPr>
                <w:t>Darbaspēka izmaksu indeksi pa darbības veidiem 2000Q1 - 2023Q2. PxWeb (stat.gov.lv)</w:t>
              </w:r>
            </w:hyperlink>
          </w:p>
        </w:tc>
      </w:tr>
      <w:tr w:rsidR="000279EE" w:rsidRPr="00A51A3B" w14:paraId="48276862" w14:textId="77777777" w:rsidTr="004A584A">
        <w:trPr>
          <w:trHeight w:val="685"/>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2F8489C9"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PPI_Q</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A6A583"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g</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36283CA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tcPr>
          <w:p w14:paraId="40AA9C25"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 xml:space="preserve">RCI020c. </w:t>
            </w:r>
            <w:r w:rsidRPr="00A51A3B">
              <w:rPr>
                <w:rFonts w:asciiTheme="majorBidi" w:hAnsiTheme="majorBidi" w:cstheme="majorBidi"/>
                <w:sz w:val="18"/>
                <w:szCs w:val="18"/>
              </w:rPr>
              <w:t xml:space="preserve">Ražotāju cenu indeksi un pārmaiņas rūpniecības nozarēs (2015=100). Produkcijas realizācijas virziens: Vietējā tirgū realizēta produkcija. Rūpniecības nozare/ Ražošanas pamatgrupējums (NACE Rev.2): </w:t>
            </w:r>
            <w:r w:rsidRPr="00A51A3B">
              <w:rPr>
                <w:rFonts w:asciiTheme="majorBidi" w:hAnsiTheme="majorBidi" w:cstheme="majorBidi"/>
                <w:b/>
                <w:bCs/>
                <w:sz w:val="18"/>
                <w:szCs w:val="18"/>
              </w:rPr>
              <w:t>B08 Pārējā ieguves rūpniecība un karjeru izstrāde.</w:t>
            </w:r>
            <w:r w:rsidRPr="00A51A3B">
              <w:rPr>
                <w:rFonts w:asciiTheme="majorBidi" w:hAnsiTheme="majorBidi" w:cstheme="majorBidi"/>
                <w:sz w:val="18"/>
                <w:szCs w:val="18"/>
              </w:rPr>
              <w:t>Tiek publicēts reizi ceturksnī.</w:t>
            </w:r>
          </w:p>
          <w:p w14:paraId="6C34FEFF" w14:textId="77777777" w:rsidR="000279EE" w:rsidRPr="00A51A3B" w:rsidRDefault="00000000" w:rsidP="00056AFE">
            <w:pPr>
              <w:spacing w:after="0" w:line="240" w:lineRule="auto"/>
              <w:contextualSpacing/>
              <w:rPr>
                <w:rFonts w:asciiTheme="majorBidi" w:hAnsiTheme="majorBidi" w:cstheme="majorBidi"/>
                <w:sz w:val="18"/>
                <w:szCs w:val="18"/>
                <w:lang w:val="en-GB"/>
              </w:rPr>
            </w:pPr>
            <w:hyperlink r:id="rId23" w:history="1">
              <w:r w:rsidR="000279EE" w:rsidRPr="00A51A3B">
                <w:rPr>
                  <w:rStyle w:val="Hyperlink"/>
                  <w:rFonts w:asciiTheme="majorBidi" w:hAnsiTheme="majorBidi" w:cstheme="majorBidi"/>
                  <w:color w:val="0000FF"/>
                  <w:sz w:val="18"/>
                  <w:szCs w:val="18"/>
                </w:rPr>
                <w:t>Ražotāju cenu indeksi un pārmaiņas rūpniecības nozarēs 2000Q1 - 2023Q3. PxWeb (stat.gov.lv)</w:t>
              </w:r>
            </w:hyperlink>
          </w:p>
        </w:tc>
      </w:tr>
      <w:tr w:rsidR="000279EE" w:rsidRPr="00A51A3B" w14:paraId="4C7B84E3" w14:textId="77777777" w:rsidTr="004A584A">
        <w:trPr>
          <w:trHeight w:val="638"/>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2ADC593C"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S (tērauds)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82045"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h</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69DAF039"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 xml:space="preserve">MEPS International </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0F3EAFE6" w14:textId="77777777" w:rsidR="000279EE" w:rsidRPr="00A51A3B" w:rsidRDefault="000279EE" w:rsidP="00056AFE">
            <w:pPr>
              <w:spacing w:after="0" w:line="240" w:lineRule="auto"/>
              <w:contextualSpacing/>
              <w:rPr>
                <w:rFonts w:asciiTheme="majorBidi" w:hAnsiTheme="majorBidi" w:cstheme="majorBidi"/>
                <w:b/>
                <w:bCs/>
                <w:sz w:val="18"/>
                <w:szCs w:val="18"/>
              </w:rPr>
            </w:pPr>
            <w:r w:rsidRPr="00A51A3B">
              <w:rPr>
                <w:rFonts w:asciiTheme="majorBidi" w:hAnsiTheme="majorBidi" w:cstheme="majorBidi"/>
                <w:b/>
                <w:bCs/>
                <w:sz w:val="18"/>
                <w:szCs w:val="18"/>
              </w:rPr>
              <w:t>Eiropas būvniecības nozares tērauda cenu indekss.</w:t>
            </w:r>
          </w:p>
          <w:p w14:paraId="72EEC153" w14:textId="77777777" w:rsidR="000279EE" w:rsidRPr="00A51A3B" w:rsidRDefault="00000000" w:rsidP="00056AFE">
            <w:pPr>
              <w:spacing w:after="0" w:line="240" w:lineRule="auto"/>
              <w:contextualSpacing/>
              <w:rPr>
                <w:rFonts w:asciiTheme="majorBidi" w:hAnsiTheme="majorBidi" w:cstheme="majorBidi"/>
                <w:sz w:val="18"/>
                <w:szCs w:val="18"/>
                <w:u w:val="single"/>
              </w:rPr>
            </w:pPr>
            <w:hyperlink r:id="rId24" w:history="1">
              <w:r w:rsidR="000279EE" w:rsidRPr="00A51A3B">
                <w:rPr>
                  <w:rStyle w:val="Hyperlink"/>
                  <w:rFonts w:asciiTheme="majorBidi" w:hAnsiTheme="majorBidi" w:cstheme="majorBidi"/>
                  <w:color w:val="0000FF"/>
                  <w:sz w:val="18"/>
                  <w:szCs w:val="18"/>
                </w:rPr>
                <w:t>MEPS Global Steel Prices &amp; Indices | Historical Steel Prices (mepsinternational.com)</w:t>
              </w:r>
            </w:hyperlink>
            <w:r w:rsidR="000279EE" w:rsidRPr="00A51A3B">
              <w:rPr>
                <w:rFonts w:asciiTheme="majorBidi" w:hAnsiTheme="majorBidi" w:cstheme="majorBidi"/>
                <w:sz w:val="18"/>
                <w:szCs w:val="18"/>
                <w:u w:val="single"/>
              </w:rPr>
              <w:t xml:space="preserve"> </w:t>
            </w:r>
          </w:p>
        </w:tc>
      </w:tr>
      <w:tr w:rsidR="000279EE" w:rsidRPr="00A51A3B" w14:paraId="557006DE" w14:textId="77777777" w:rsidTr="004A584A">
        <w:trPr>
          <w:trHeight w:val="708"/>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39A5DC7F"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C (cements)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08BA6C"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i</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08E4834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Eiropas Centrālā banka</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tcPr>
          <w:p w14:paraId="418BE2B3" w14:textId="79F4842E"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 xml:space="preserve">Eirozona 19 - </w:t>
            </w:r>
            <w:r w:rsidRPr="00A51A3B">
              <w:rPr>
                <w:rFonts w:asciiTheme="majorBidi" w:hAnsiTheme="majorBidi" w:cstheme="majorBidi"/>
                <w:b/>
                <w:bCs/>
                <w:sz w:val="18"/>
                <w:szCs w:val="18"/>
              </w:rPr>
              <w:t>Ražotāju cenu indekss, pavisam, Cementa ražošana, kaļķi un apmetums - NACE 2. red</w:t>
            </w:r>
            <w:r w:rsidRPr="00A51A3B">
              <w:rPr>
                <w:rFonts w:asciiTheme="majorBidi" w:hAnsiTheme="majorBidi" w:cstheme="majorBidi"/>
                <w:sz w:val="18"/>
                <w:szCs w:val="18"/>
              </w:rPr>
              <w:t xml:space="preserve">.; </w:t>
            </w:r>
            <w:r w:rsidR="002C5510" w:rsidRPr="002C5510">
              <w:rPr>
                <w:rFonts w:asciiTheme="majorBidi" w:hAnsiTheme="majorBidi" w:cstheme="majorBidi"/>
                <w:i/>
                <w:sz w:val="18"/>
                <w:szCs w:val="18"/>
              </w:rPr>
              <w:t>Euro</w:t>
            </w:r>
            <w:r w:rsidRPr="00A51A3B">
              <w:rPr>
                <w:rFonts w:asciiTheme="majorBidi" w:hAnsiTheme="majorBidi" w:cstheme="majorBidi"/>
                <w:sz w:val="18"/>
                <w:szCs w:val="18"/>
              </w:rPr>
              <w:t>stat;</w:t>
            </w:r>
          </w:p>
          <w:p w14:paraId="2E84CC90"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Ne sezonāli, ne darba dienas koriģētas. Publicēts katru mēnesi. (STS: Īstermiņa Statistika; Sērijas atslēga: STS. M.I8. N.PRON.2C2350.4.000; 2015=100)</w:t>
            </w:r>
          </w:p>
          <w:p w14:paraId="37A87A7E" w14:textId="347FCA4E" w:rsidR="000279EE" w:rsidRPr="00F46FD5" w:rsidRDefault="00000000" w:rsidP="00056AFE">
            <w:pPr>
              <w:spacing w:after="0" w:line="240" w:lineRule="auto"/>
              <w:contextualSpacing/>
              <w:rPr>
                <w:rFonts w:asciiTheme="majorBidi" w:hAnsiTheme="majorBidi" w:cstheme="majorBidi"/>
                <w:sz w:val="18"/>
                <w:szCs w:val="18"/>
              </w:rPr>
            </w:pPr>
            <w:hyperlink r:id="rId25" w:history="1">
              <w:r w:rsidR="000279EE" w:rsidRPr="00A51A3B">
                <w:rPr>
                  <w:rStyle w:val="Hyperlink"/>
                  <w:rFonts w:asciiTheme="majorBidi" w:hAnsiTheme="majorBidi" w:cstheme="majorBidi"/>
                  <w:color w:val="0000FF"/>
                  <w:sz w:val="18"/>
                  <w:szCs w:val="18"/>
                </w:rPr>
                <w:t>STS.M.I8.N.PRON.2C2350.4.000 | ECB Data Portal (</w:t>
              </w:r>
              <w:r w:rsidR="002C5510" w:rsidRPr="002C5510">
                <w:rPr>
                  <w:rStyle w:val="Hyperlink"/>
                  <w:rFonts w:asciiTheme="majorBidi" w:hAnsiTheme="majorBidi" w:cstheme="majorBidi"/>
                  <w:i/>
                  <w:color w:val="0000FF"/>
                  <w:sz w:val="18"/>
                  <w:szCs w:val="18"/>
                </w:rPr>
                <w:t>euro</w:t>
              </w:r>
              <w:r w:rsidR="000279EE" w:rsidRPr="00A51A3B">
                <w:rPr>
                  <w:rStyle w:val="Hyperlink"/>
                  <w:rFonts w:asciiTheme="majorBidi" w:hAnsiTheme="majorBidi" w:cstheme="majorBidi"/>
                  <w:color w:val="0000FF"/>
                  <w:sz w:val="18"/>
                  <w:szCs w:val="18"/>
                </w:rPr>
                <w:t>pa.eu)</w:t>
              </w:r>
            </w:hyperlink>
          </w:p>
        </w:tc>
      </w:tr>
      <w:tr w:rsidR="000279EE" w:rsidRPr="00A51A3B" w14:paraId="781C3E8B" w14:textId="77777777" w:rsidTr="004A584A">
        <w:trPr>
          <w:trHeight w:val="729"/>
        </w:trPr>
        <w:tc>
          <w:tcPr>
            <w:tcW w:w="127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45C45D59"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PPI_T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3DEBFD" w14:textId="77777777" w:rsidR="000279EE" w:rsidRPr="00A51A3B" w:rsidRDefault="000279EE" w:rsidP="00056AFE">
            <w:pPr>
              <w:spacing w:after="0" w:line="240" w:lineRule="auto"/>
              <w:contextualSpacing/>
              <w:jc w:val="center"/>
              <w:rPr>
                <w:rFonts w:asciiTheme="majorBidi" w:hAnsiTheme="majorBidi" w:cstheme="majorBidi"/>
                <w:b/>
                <w:bCs/>
                <w:sz w:val="18"/>
                <w:szCs w:val="18"/>
              </w:rPr>
            </w:pPr>
            <w:r w:rsidRPr="00A51A3B">
              <w:rPr>
                <w:rFonts w:asciiTheme="majorBidi" w:hAnsiTheme="majorBidi" w:cstheme="majorBidi"/>
                <w:b/>
                <w:bCs/>
                <w:sz w:val="18"/>
                <w:szCs w:val="18"/>
              </w:rPr>
              <w:t>j</w:t>
            </w:r>
          </w:p>
        </w:tc>
        <w:tc>
          <w:tcPr>
            <w:tcW w:w="1276"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7792F56A"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sz w:val="18"/>
                <w:szCs w:val="18"/>
              </w:rPr>
              <w:t>CS</w:t>
            </w:r>
            <w:r>
              <w:rPr>
                <w:rFonts w:asciiTheme="majorBidi" w:hAnsiTheme="majorBidi" w:cstheme="majorBidi"/>
                <w:sz w:val="18"/>
                <w:szCs w:val="18"/>
              </w:rPr>
              <w:t>P</w:t>
            </w:r>
          </w:p>
        </w:tc>
        <w:tc>
          <w:tcPr>
            <w:tcW w:w="6241" w:type="dxa"/>
            <w:tcBorders>
              <w:top w:val="single" w:sz="4" w:space="0" w:color="auto"/>
              <w:left w:val="single" w:sz="4" w:space="0" w:color="auto"/>
              <w:bottom w:val="single" w:sz="4" w:space="0" w:color="auto"/>
              <w:right w:val="single" w:sz="4" w:space="0" w:color="auto"/>
            </w:tcBorders>
            <w:tcMar>
              <w:top w:w="15" w:type="dxa"/>
              <w:left w:w="66" w:type="dxa"/>
              <w:bottom w:w="0" w:type="dxa"/>
              <w:right w:w="66" w:type="dxa"/>
            </w:tcMar>
            <w:vAlign w:val="center"/>
            <w:hideMark/>
          </w:tcPr>
          <w:p w14:paraId="5BDDDFAA" w14:textId="77777777" w:rsidR="000279EE" w:rsidRPr="00A51A3B" w:rsidRDefault="000279EE" w:rsidP="00056AFE">
            <w:pPr>
              <w:spacing w:after="0" w:line="240" w:lineRule="auto"/>
              <w:contextualSpacing/>
              <w:rPr>
                <w:rFonts w:asciiTheme="majorBidi" w:hAnsiTheme="majorBidi" w:cstheme="majorBidi"/>
                <w:sz w:val="18"/>
                <w:szCs w:val="18"/>
              </w:rPr>
            </w:pPr>
            <w:r w:rsidRPr="00A51A3B">
              <w:rPr>
                <w:rFonts w:asciiTheme="majorBidi" w:hAnsiTheme="majorBidi" w:cstheme="majorBidi"/>
                <w:b/>
                <w:bCs/>
                <w:sz w:val="18"/>
                <w:szCs w:val="18"/>
              </w:rPr>
              <w:t xml:space="preserve">RCP010c. </w:t>
            </w:r>
            <w:r w:rsidRPr="00A51A3B">
              <w:rPr>
                <w:rFonts w:asciiTheme="majorBidi" w:hAnsiTheme="majorBidi" w:cstheme="majorBidi"/>
                <w:sz w:val="18"/>
                <w:szCs w:val="18"/>
              </w:rPr>
              <w:t xml:space="preserve">Biznesa pakalpojumu cenu indeksi un pārmaiņas pa pakalpojumu nozarēm (2015=100). Darbības veids (NACE 2. red.): </w:t>
            </w:r>
            <w:r w:rsidRPr="00A51A3B">
              <w:rPr>
                <w:rFonts w:asciiTheme="majorBidi" w:hAnsiTheme="majorBidi" w:cstheme="majorBidi"/>
                <w:b/>
                <w:bCs/>
                <w:sz w:val="18"/>
                <w:szCs w:val="18"/>
              </w:rPr>
              <w:t>H4941 Kravu pārvadājumi pa autoceļiem</w:t>
            </w:r>
            <w:r w:rsidRPr="00A51A3B">
              <w:rPr>
                <w:rFonts w:asciiTheme="majorBidi" w:hAnsiTheme="majorBidi" w:cstheme="majorBidi"/>
                <w:sz w:val="18"/>
                <w:szCs w:val="18"/>
              </w:rPr>
              <w:t>. Tiek publicēts reizi ceturksnī.</w:t>
            </w:r>
          </w:p>
          <w:p w14:paraId="69DA55D8" w14:textId="77777777" w:rsidR="000279EE" w:rsidRPr="00A51A3B" w:rsidRDefault="00000000" w:rsidP="00056AFE">
            <w:pPr>
              <w:spacing w:after="0" w:line="240" w:lineRule="auto"/>
              <w:contextualSpacing/>
              <w:rPr>
                <w:rFonts w:asciiTheme="majorBidi" w:hAnsiTheme="majorBidi" w:cstheme="majorBidi"/>
                <w:sz w:val="18"/>
                <w:szCs w:val="18"/>
                <w:lang w:val="en-GB"/>
              </w:rPr>
            </w:pPr>
            <w:hyperlink r:id="rId26" w:history="1">
              <w:r w:rsidR="000279EE" w:rsidRPr="00A51A3B">
                <w:rPr>
                  <w:rStyle w:val="Hyperlink"/>
                  <w:rFonts w:asciiTheme="majorBidi" w:hAnsiTheme="majorBidi" w:cstheme="majorBidi"/>
                  <w:color w:val="0000FF"/>
                  <w:sz w:val="18"/>
                  <w:szCs w:val="18"/>
                </w:rPr>
                <w:t>Biznesa pakalpojumu cenu indeksi un pārmaiņas pa pakalpojumu nozarēm 2006Q1 - 2023Q2. PxWeb (stat.gov.lv)</w:t>
              </w:r>
            </w:hyperlink>
          </w:p>
        </w:tc>
      </w:tr>
    </w:tbl>
    <w:p w14:paraId="043A129D" w14:textId="77777777" w:rsidR="005D02B7" w:rsidRPr="00660EB3" w:rsidRDefault="005D02B7" w:rsidP="00056AFE">
      <w:pPr>
        <w:spacing w:after="0" w:line="240" w:lineRule="auto"/>
        <w:contextualSpacing/>
        <w:rPr>
          <w:rFonts w:eastAsia="Calibri" w:cs="Times New Roman"/>
          <w:b/>
          <w:bCs/>
          <w:kern w:val="2"/>
          <w:sz w:val="24"/>
          <w:szCs w:val="24"/>
          <w14:ligatures w14:val="standardContextual"/>
        </w:rPr>
      </w:pPr>
    </w:p>
    <w:p w14:paraId="7554C2E2" w14:textId="77777777" w:rsidR="00234D4E" w:rsidRPr="00697FCB" w:rsidRDefault="00234D4E" w:rsidP="00056AFE">
      <w:pPr>
        <w:spacing w:after="0" w:line="240" w:lineRule="auto"/>
        <w:contextualSpacing/>
        <w:jc w:val="both"/>
        <w:rPr>
          <w:rFonts w:asciiTheme="majorBidi" w:hAnsiTheme="majorBidi" w:cstheme="majorBidi"/>
          <w:kern w:val="2"/>
          <w:sz w:val="20"/>
          <w:szCs w:val="20"/>
          <w14:ligatures w14:val="standardContextual"/>
        </w:rPr>
      </w:pPr>
      <w:r w:rsidRPr="00A51A3B">
        <w:rPr>
          <w:rFonts w:asciiTheme="majorBidi" w:hAnsiTheme="majorBidi" w:cstheme="majorBidi"/>
          <w:sz w:val="20"/>
          <w:szCs w:val="20"/>
        </w:rPr>
        <w:t>*Saskaņā ar Līguma noteikumiem, ja kāds no iepriekšminētajiem indeksiem/radītājiem vairs nav pieejams, pēc Inženiera un Pasūtītāja ieskata tiks izmantots vislīdzīgākais Latvijas Republikas Centrālās statistikas pārvaldes vai cita ārvalstu/ES statistikas datu īpašnieka publicētais indekss/rādītājs.</w:t>
      </w:r>
    </w:p>
    <w:p w14:paraId="0302E23B" w14:textId="33E9B5D6" w:rsidR="00CE7D23" w:rsidRPr="00C77F25" w:rsidRDefault="00CE7D23" w:rsidP="00056AFE">
      <w:pPr>
        <w:spacing w:after="0"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 </w:t>
      </w:r>
      <w:r w:rsidR="0074220C">
        <w:rPr>
          <w:rFonts w:asciiTheme="majorBidi" w:hAnsiTheme="majorBidi" w:cstheme="majorBidi"/>
          <w:sz w:val="20"/>
          <w:szCs w:val="20"/>
        </w:rPr>
        <w:t>EDZL</w:t>
      </w:r>
      <w:r w:rsidRPr="00C77F25">
        <w:rPr>
          <w:rFonts w:asciiTheme="majorBidi" w:hAnsiTheme="majorBidi" w:cstheme="majorBidi"/>
          <w:sz w:val="20"/>
          <w:szCs w:val="20"/>
        </w:rPr>
        <w:t xml:space="preserve"> izvēlētais statistikas indeksu grozs ir izvēlēts kā riskus mazinošs pasākums visām līgumā iesaistītajām pusēm. Ņemot vērā gan </w:t>
      </w:r>
      <w:r>
        <w:rPr>
          <w:rFonts w:asciiTheme="majorBidi" w:hAnsiTheme="majorBidi" w:cstheme="majorBidi"/>
          <w:sz w:val="20"/>
          <w:szCs w:val="20"/>
        </w:rPr>
        <w:t xml:space="preserve">līguma summu, gan </w:t>
      </w:r>
      <w:r w:rsidRPr="00C77F25">
        <w:rPr>
          <w:rFonts w:asciiTheme="majorBidi" w:hAnsiTheme="majorBidi" w:cstheme="majorBidi"/>
          <w:sz w:val="20"/>
          <w:szCs w:val="20"/>
        </w:rPr>
        <w:t>darbības laiku</w:t>
      </w:r>
      <w:r>
        <w:rPr>
          <w:rFonts w:asciiTheme="majorBidi" w:hAnsiTheme="majorBidi" w:cstheme="majorBidi"/>
          <w:sz w:val="20"/>
          <w:szCs w:val="20"/>
        </w:rPr>
        <w:t xml:space="preserve">, kā arī ņemot vērā </w:t>
      </w:r>
      <w:r w:rsidR="0074220C">
        <w:rPr>
          <w:rFonts w:asciiTheme="majorBidi" w:hAnsiTheme="majorBidi" w:cstheme="majorBidi"/>
          <w:sz w:val="20"/>
          <w:szCs w:val="20"/>
        </w:rPr>
        <w:t>EDZL</w:t>
      </w:r>
      <w:r>
        <w:rPr>
          <w:rFonts w:asciiTheme="majorBidi" w:hAnsiTheme="majorBidi" w:cstheme="majorBidi"/>
          <w:sz w:val="20"/>
          <w:szCs w:val="20"/>
        </w:rPr>
        <w:t xml:space="preserve"> </w:t>
      </w:r>
      <w:r w:rsidR="003B5FC1">
        <w:rPr>
          <w:rFonts w:asciiTheme="majorBidi" w:hAnsiTheme="majorBidi" w:cstheme="majorBidi"/>
          <w:sz w:val="20"/>
          <w:szCs w:val="20"/>
        </w:rPr>
        <w:t xml:space="preserve">uzkrāto </w:t>
      </w:r>
      <w:r>
        <w:rPr>
          <w:rFonts w:asciiTheme="majorBidi" w:hAnsiTheme="majorBidi" w:cstheme="majorBidi"/>
          <w:sz w:val="20"/>
          <w:szCs w:val="20"/>
        </w:rPr>
        <w:t xml:space="preserve">pieredzi ar Rīgas Centrālās </w:t>
      </w:r>
      <w:r>
        <w:rPr>
          <w:rFonts w:asciiTheme="majorBidi" w:hAnsiTheme="majorBidi" w:cstheme="majorBidi"/>
          <w:sz w:val="20"/>
          <w:szCs w:val="20"/>
        </w:rPr>
        <w:lastRenderedPageBreak/>
        <w:t xml:space="preserve">stacijas un starptautiskās lidostas “Rīga” būvniecību COVID-19 un kara apstākļos, </w:t>
      </w:r>
      <w:r w:rsidR="0074220C">
        <w:rPr>
          <w:rFonts w:asciiTheme="majorBidi" w:hAnsiTheme="majorBidi" w:cstheme="majorBidi"/>
          <w:sz w:val="20"/>
          <w:szCs w:val="20"/>
        </w:rPr>
        <w:t>EDZL</w:t>
      </w:r>
      <w:r>
        <w:rPr>
          <w:rFonts w:asciiTheme="majorBidi" w:hAnsiTheme="majorBidi" w:cstheme="majorBidi"/>
          <w:sz w:val="20"/>
          <w:szCs w:val="20"/>
        </w:rPr>
        <w:t xml:space="preserve"> ieskatā š</w:t>
      </w:r>
      <w:r w:rsidRPr="00C77F25">
        <w:rPr>
          <w:rFonts w:asciiTheme="majorBidi" w:hAnsiTheme="majorBidi" w:cstheme="majorBidi"/>
          <w:sz w:val="20"/>
          <w:szCs w:val="20"/>
        </w:rPr>
        <w:t>aurāks indeksu groza pielietojums palielina risku abām līguma pusēm, jo:</w:t>
      </w:r>
    </w:p>
    <w:p w14:paraId="20ADA5E3" w14:textId="6953B29C" w:rsidR="00CE7D23" w:rsidRPr="00C77F25" w:rsidRDefault="00CE7D23" w:rsidP="00056AFE">
      <w:pPr>
        <w:spacing w:after="0" w:line="240" w:lineRule="auto"/>
        <w:contextualSpacing/>
        <w:jc w:val="both"/>
        <w:rPr>
          <w:rFonts w:asciiTheme="majorBidi" w:hAnsiTheme="majorBidi" w:cstheme="majorBidi"/>
          <w:sz w:val="20"/>
          <w:szCs w:val="20"/>
        </w:rPr>
      </w:pPr>
      <w:r w:rsidRPr="00C77F25">
        <w:rPr>
          <w:rFonts w:asciiTheme="majorBidi" w:hAnsiTheme="majorBidi" w:cstheme="majorBidi"/>
          <w:sz w:val="20"/>
          <w:szCs w:val="20"/>
        </w:rPr>
        <w:t>-</w:t>
      </w:r>
      <w:r w:rsidRPr="00C77F25">
        <w:rPr>
          <w:rFonts w:asciiTheme="majorBidi" w:hAnsiTheme="majorBidi" w:cstheme="majorBidi"/>
          <w:sz w:val="20"/>
          <w:szCs w:val="20"/>
        </w:rPr>
        <w:tab/>
      </w:r>
      <w:r w:rsidR="003B5FC1">
        <w:rPr>
          <w:rFonts w:asciiTheme="majorBidi" w:hAnsiTheme="majorBidi" w:cstheme="majorBidi"/>
          <w:sz w:val="20"/>
          <w:szCs w:val="20"/>
        </w:rPr>
        <w:t>n</w:t>
      </w:r>
      <w:r w:rsidRPr="00C77F25">
        <w:rPr>
          <w:rFonts w:asciiTheme="majorBidi" w:hAnsiTheme="majorBidi" w:cstheme="majorBidi"/>
          <w:sz w:val="20"/>
          <w:szCs w:val="20"/>
        </w:rPr>
        <w:t xml:space="preserve">egaidītu apstākļu </w:t>
      </w:r>
      <w:r w:rsidR="00C607A3">
        <w:rPr>
          <w:rFonts w:asciiTheme="majorBidi" w:hAnsiTheme="majorBidi" w:cstheme="majorBidi"/>
          <w:sz w:val="20"/>
          <w:szCs w:val="20"/>
        </w:rPr>
        <w:t>izcelsmes</w:t>
      </w:r>
      <w:r w:rsidRPr="00C77F25">
        <w:rPr>
          <w:rFonts w:asciiTheme="majorBidi" w:hAnsiTheme="majorBidi" w:cstheme="majorBidi"/>
          <w:sz w:val="20"/>
          <w:szCs w:val="20"/>
        </w:rPr>
        <w:t xml:space="preserve"> sākuma posmā atsevišķu izejmateriālu cenas daudzus mēnešus, vai pat gadus, apsteidz CSP statistikas indeksus. Šādā situācijā izpildītajam rodas problēmas ar darbu turpināšu, jo indeksācijas maksājums nenosedz materiālu patiesās izmaksas, kuras pieaugušas nepārvaramas varas rezultātā;</w:t>
      </w:r>
    </w:p>
    <w:p w14:paraId="40C1AEA3" w14:textId="5F1FE5D8" w:rsidR="00CE7D23" w:rsidRPr="00697FCB" w:rsidRDefault="00CE7D23" w:rsidP="6075987E">
      <w:pPr>
        <w:spacing w:after="0" w:line="240" w:lineRule="auto"/>
        <w:contextualSpacing/>
        <w:jc w:val="both"/>
        <w:rPr>
          <w:rFonts w:asciiTheme="majorBidi" w:hAnsiTheme="majorBidi" w:cstheme="majorBidi"/>
          <w:kern w:val="2"/>
          <w:sz w:val="20"/>
          <w:szCs w:val="20"/>
          <w14:ligatures w14:val="standardContextual"/>
        </w:rPr>
      </w:pPr>
      <w:r w:rsidRPr="6075987E">
        <w:rPr>
          <w:rFonts w:asciiTheme="majorBidi" w:hAnsiTheme="majorBidi" w:cstheme="majorBidi"/>
          <w:sz w:val="20"/>
          <w:szCs w:val="20"/>
        </w:rPr>
        <w:t>-</w:t>
      </w:r>
      <w:r>
        <w:tab/>
      </w:r>
      <w:r w:rsidR="003B5FC1" w:rsidRPr="6075987E">
        <w:rPr>
          <w:rFonts w:asciiTheme="majorBidi" w:hAnsiTheme="majorBidi" w:cstheme="majorBidi"/>
          <w:sz w:val="20"/>
          <w:szCs w:val="20"/>
        </w:rPr>
        <w:t>p</w:t>
      </w:r>
      <w:r w:rsidRPr="6075987E">
        <w:rPr>
          <w:rFonts w:asciiTheme="majorBidi" w:hAnsiTheme="majorBidi" w:cstheme="majorBidi"/>
          <w:sz w:val="20"/>
          <w:szCs w:val="20"/>
        </w:rPr>
        <w:t>ielāgojoties piegādes ķēdēm un situācijai pēc krīzēm stabilizējoties, tirgus indeksi uzsāk strauju lejupslīdi, kamēr CSP indeksi turpina uzrādīt augstu rādījumu vai pat kāpumu. Kā piemēru var minēt tērauda tirgus indeksu MEPS, kurš uzrāda stabilu kritumu tirgus cenās jau kopš 2022.gada jūlija, kamēr CSP statistikas indeksi turpina pieaugt. Šādā situācijā pasūtītājs ievērojami virs patiesās ietekmes pārmaksātu inflācijas indeksācijas maksājumu.</w:t>
      </w:r>
    </w:p>
    <w:p w14:paraId="06D9DFDA" w14:textId="753BCE38" w:rsidR="6075987E" w:rsidRDefault="6075987E" w:rsidP="6075987E">
      <w:pPr>
        <w:spacing w:after="0" w:line="240" w:lineRule="auto"/>
        <w:contextualSpacing/>
        <w:jc w:val="both"/>
        <w:rPr>
          <w:rFonts w:asciiTheme="majorBidi" w:hAnsiTheme="majorBidi" w:cstheme="majorBidi"/>
          <w:sz w:val="20"/>
          <w:szCs w:val="20"/>
        </w:rPr>
      </w:pPr>
    </w:p>
    <w:p w14:paraId="2005F94B" w14:textId="17B99729" w:rsidR="6075987E" w:rsidRDefault="6075987E" w:rsidP="6075987E">
      <w:pPr>
        <w:spacing w:after="0" w:line="240" w:lineRule="auto"/>
        <w:contextualSpacing/>
        <w:jc w:val="both"/>
        <w:rPr>
          <w:rFonts w:asciiTheme="majorBidi" w:hAnsiTheme="majorBidi" w:cstheme="majorBidi"/>
          <w:sz w:val="20"/>
          <w:szCs w:val="20"/>
        </w:rPr>
      </w:pPr>
    </w:p>
    <w:p w14:paraId="64417430" w14:textId="5B3C8126" w:rsidR="00DA35D1" w:rsidRDefault="00DA35D1">
      <w:pPr>
        <w:rPr>
          <w:rFonts w:eastAsia="Times New Roman" w:cs="Times New Roman"/>
          <w:sz w:val="24"/>
          <w:szCs w:val="24"/>
          <w:lang w:eastAsia="lv-LV"/>
        </w:rPr>
      </w:pPr>
      <w:r>
        <w:rPr>
          <w:rFonts w:eastAsia="Times New Roman" w:cs="Times New Roman"/>
          <w:sz w:val="24"/>
          <w:szCs w:val="24"/>
          <w:lang w:eastAsia="lv-LV"/>
        </w:rPr>
        <w:br w:type="page"/>
      </w:r>
    </w:p>
    <w:p w14:paraId="6A444D4C" w14:textId="5B3C8126" w:rsidR="00351D56" w:rsidRPr="00660EB3" w:rsidRDefault="00351D56" w:rsidP="00056AFE">
      <w:pPr>
        <w:spacing w:after="0" w:line="240" w:lineRule="auto"/>
        <w:contextualSpacing/>
        <w:jc w:val="both"/>
        <w:rPr>
          <w:rFonts w:eastAsia="Times New Roman" w:cs="Times New Roman"/>
          <w:sz w:val="24"/>
          <w:szCs w:val="24"/>
          <w:lang w:eastAsia="lv-LV"/>
        </w:rPr>
      </w:pPr>
    </w:p>
    <w:p w14:paraId="1A1AA0AD" w14:textId="536A4A47" w:rsidR="00351D56" w:rsidRPr="00415A5E" w:rsidRDefault="00415A5E" w:rsidP="00415A5E">
      <w:pPr>
        <w:spacing w:after="0"/>
        <w:jc w:val="right"/>
        <w:rPr>
          <w:rFonts w:eastAsia="Calibri" w:cs="Times New Roman"/>
          <w:b/>
          <w:bCs/>
          <w:sz w:val="24"/>
          <w:szCs w:val="24"/>
        </w:rPr>
      </w:pPr>
      <w:r w:rsidRPr="00415A5E">
        <w:rPr>
          <w:rFonts w:eastAsia="Calibri" w:cs="Times New Roman"/>
          <w:b/>
          <w:bCs/>
          <w:sz w:val="24"/>
          <w:szCs w:val="24"/>
        </w:rPr>
        <w:t xml:space="preserve">3. </w:t>
      </w:r>
      <w:r w:rsidR="00CA20DA" w:rsidRPr="00415A5E">
        <w:rPr>
          <w:rFonts w:eastAsia="Calibri" w:cs="Times New Roman"/>
          <w:b/>
          <w:bCs/>
          <w:sz w:val="24"/>
          <w:szCs w:val="24"/>
        </w:rPr>
        <w:t>p</w:t>
      </w:r>
      <w:r w:rsidR="5636A476" w:rsidRPr="00415A5E">
        <w:rPr>
          <w:rFonts w:eastAsia="Calibri" w:cs="Times New Roman"/>
          <w:b/>
          <w:bCs/>
          <w:sz w:val="24"/>
          <w:szCs w:val="24"/>
        </w:rPr>
        <w:t>ielikums</w:t>
      </w:r>
    </w:p>
    <w:p w14:paraId="672B4D8B" w14:textId="61282699" w:rsidR="00351D56" w:rsidRPr="00415A5E" w:rsidRDefault="5636A476" w:rsidP="00415A5E">
      <w:pPr>
        <w:spacing w:after="0" w:line="240" w:lineRule="auto"/>
        <w:contextualSpacing/>
        <w:jc w:val="right"/>
        <w:rPr>
          <w:rFonts w:eastAsia="Times New Roman" w:cs="Times New Roman"/>
          <w:sz w:val="24"/>
          <w:szCs w:val="24"/>
        </w:rPr>
      </w:pPr>
      <w:r w:rsidRPr="00415A5E">
        <w:rPr>
          <w:rFonts w:eastAsia="Calibri" w:cs="Times New Roman"/>
          <w:b/>
          <w:bCs/>
          <w:sz w:val="24"/>
          <w:szCs w:val="24"/>
        </w:rPr>
        <w:t>Iepirkum</w:t>
      </w:r>
      <w:r w:rsidR="005E50A6" w:rsidRPr="00415A5E">
        <w:rPr>
          <w:rFonts w:eastAsia="Calibri" w:cs="Times New Roman"/>
          <w:b/>
          <w:bCs/>
          <w:sz w:val="24"/>
          <w:szCs w:val="24"/>
        </w:rPr>
        <w:t>a</w:t>
      </w:r>
      <w:r w:rsidRPr="00415A5E">
        <w:rPr>
          <w:rFonts w:eastAsia="Calibri" w:cs="Times New Roman"/>
          <w:b/>
          <w:bCs/>
          <w:sz w:val="24"/>
          <w:szCs w:val="24"/>
        </w:rPr>
        <w:t xml:space="preserve"> komisijas sastāvs</w:t>
      </w:r>
    </w:p>
    <w:p w14:paraId="23CD67EC" w14:textId="77777777" w:rsidR="0013180E" w:rsidRPr="00660EB3" w:rsidRDefault="0013180E" w:rsidP="00056AFE">
      <w:pPr>
        <w:spacing w:after="0" w:line="240" w:lineRule="auto"/>
        <w:contextualSpacing/>
        <w:jc w:val="both"/>
        <w:rPr>
          <w:rFonts w:cs="Times New Roman"/>
          <w:b/>
          <w:sz w:val="24"/>
          <w:szCs w:val="24"/>
        </w:rPr>
      </w:pPr>
    </w:p>
    <w:tbl>
      <w:tblPr>
        <w:tblW w:w="9405" w:type="dxa"/>
        <w:tblLayout w:type="fixed"/>
        <w:tblLook w:val="04A0" w:firstRow="1" w:lastRow="0" w:firstColumn="1" w:lastColumn="0" w:noHBand="0" w:noVBand="1"/>
      </w:tblPr>
      <w:tblGrid>
        <w:gridCol w:w="2005"/>
        <w:gridCol w:w="1864"/>
        <w:gridCol w:w="3067"/>
        <w:gridCol w:w="1212"/>
        <w:gridCol w:w="1257"/>
      </w:tblGrid>
      <w:tr w:rsidR="6075987E" w14:paraId="70D2AC51"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199045" w14:textId="3604A42D" w:rsidR="6075987E" w:rsidRPr="003F1977" w:rsidRDefault="6075987E" w:rsidP="005C2536">
            <w:pPr>
              <w:spacing w:after="0"/>
              <w:jc w:val="center"/>
              <w:rPr>
                <w:rFonts w:eastAsia="Times New Roman" w:cs="Times New Roman"/>
                <w:b/>
                <w:bCs/>
                <w:color w:val="000000" w:themeColor="text1"/>
                <w:sz w:val="20"/>
                <w:szCs w:val="20"/>
              </w:rPr>
            </w:pPr>
            <w:r w:rsidRPr="003F1977">
              <w:rPr>
                <w:rFonts w:eastAsia="Times New Roman" w:cs="Times New Roman"/>
                <w:b/>
                <w:bCs/>
                <w:color w:val="000000" w:themeColor="text1"/>
                <w:sz w:val="20"/>
                <w:szCs w:val="20"/>
              </w:rPr>
              <w:t xml:space="preserve">Iepirkumu komisijas sastāvs </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EDC7D6" w14:textId="73ECBCD2" w:rsidR="6075987E" w:rsidRPr="003F1977" w:rsidRDefault="6075987E" w:rsidP="005C2536">
            <w:pPr>
              <w:spacing w:after="0"/>
              <w:jc w:val="center"/>
              <w:rPr>
                <w:rFonts w:eastAsia="Times New Roman" w:cs="Times New Roman"/>
                <w:b/>
                <w:bCs/>
                <w:color w:val="000000" w:themeColor="text1"/>
                <w:sz w:val="20"/>
                <w:szCs w:val="20"/>
              </w:rPr>
            </w:pPr>
            <w:r w:rsidRPr="003F1977">
              <w:rPr>
                <w:rFonts w:eastAsia="Times New Roman" w:cs="Times New Roman"/>
                <w:b/>
                <w:bCs/>
                <w:color w:val="000000" w:themeColor="text1"/>
                <w:sz w:val="20"/>
                <w:szCs w:val="20"/>
              </w:rPr>
              <w:t>Vārds Uzvārds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E1D20" w14:textId="7131B9FC" w:rsidR="6075987E" w:rsidRPr="003F1977" w:rsidRDefault="6075987E" w:rsidP="005C2536">
            <w:pPr>
              <w:spacing w:after="0"/>
              <w:jc w:val="center"/>
              <w:rPr>
                <w:rFonts w:eastAsia="Times New Roman" w:cs="Times New Roman"/>
                <w:b/>
                <w:bCs/>
                <w:color w:val="000000" w:themeColor="text1"/>
                <w:sz w:val="20"/>
                <w:szCs w:val="20"/>
              </w:rPr>
            </w:pPr>
            <w:r w:rsidRPr="003F1977">
              <w:rPr>
                <w:rFonts w:eastAsia="Times New Roman" w:cs="Times New Roman"/>
                <w:b/>
                <w:bCs/>
                <w:color w:val="000000" w:themeColor="text1"/>
                <w:sz w:val="20"/>
                <w:szCs w:val="20"/>
              </w:rPr>
              <w:t>Ieņemamais amats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3015A8E" w14:textId="23541FDE" w:rsidR="6075987E" w:rsidRPr="003F1977" w:rsidRDefault="6075987E" w:rsidP="005C2536">
            <w:pPr>
              <w:spacing w:after="0"/>
              <w:jc w:val="center"/>
              <w:rPr>
                <w:rFonts w:eastAsia="Times New Roman" w:cs="Times New Roman"/>
                <w:b/>
                <w:bCs/>
                <w:color w:val="000000" w:themeColor="text1"/>
                <w:sz w:val="20"/>
                <w:szCs w:val="20"/>
              </w:rPr>
            </w:pPr>
            <w:r w:rsidRPr="003F1977">
              <w:rPr>
                <w:rFonts w:eastAsia="Times New Roman" w:cs="Times New Roman"/>
                <w:b/>
                <w:bCs/>
                <w:color w:val="000000" w:themeColor="text1"/>
                <w:sz w:val="20"/>
                <w:szCs w:val="20"/>
              </w:rPr>
              <w:t>Datums no</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915CF01" w14:textId="6A7A726C" w:rsidR="6075987E" w:rsidRPr="003F1977" w:rsidRDefault="6075987E" w:rsidP="005C2536">
            <w:pPr>
              <w:spacing w:after="0"/>
              <w:jc w:val="center"/>
              <w:rPr>
                <w:rFonts w:eastAsia="Times New Roman" w:cs="Times New Roman"/>
                <w:b/>
                <w:bCs/>
                <w:color w:val="000000" w:themeColor="text1"/>
                <w:sz w:val="20"/>
                <w:szCs w:val="20"/>
              </w:rPr>
            </w:pPr>
            <w:r w:rsidRPr="003F1977">
              <w:rPr>
                <w:rFonts w:eastAsia="Times New Roman" w:cs="Times New Roman"/>
                <w:b/>
                <w:bCs/>
                <w:color w:val="000000" w:themeColor="text1"/>
                <w:sz w:val="20"/>
                <w:szCs w:val="20"/>
              </w:rPr>
              <w:t xml:space="preserve">Datums līdz </w:t>
            </w:r>
          </w:p>
        </w:tc>
      </w:tr>
      <w:tr w:rsidR="6075987E" w14:paraId="793AB9F5"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89580" w14:textId="3B63112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Priekšsēdētājs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E31201" w14:textId="2C76E27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Einārs Jaunzems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B9050" w14:textId="2E382CC6"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339114C" w14:textId="37E1000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35BF23" w14:textId="67EE4B7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58DD5EA2"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DC985" w14:textId="6EB0614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73A63F" w14:textId="06FFFEC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Aiga Benfelde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49C688" w14:textId="28F0B6BC"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iepirkumu vadītāja;</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B24C4C1" w14:textId="555E4F4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CAB388" w14:textId="1AD47E5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3CFDF13A"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1373A" w14:textId="4C938A9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B35F9" w14:textId="7B779FC2"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Alvydas Jagminas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E7CC4" w14:textId="7C48DF46"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vecākais līgumu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852A5EA" w14:textId="3F33CC4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D2E8063" w14:textId="15EE590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04.02.2022</w:t>
            </w:r>
          </w:p>
        </w:tc>
      </w:tr>
      <w:tr w:rsidR="6075987E" w14:paraId="6395CB0F"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0326FE" w14:textId="18DFC50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E9B6A" w14:textId="2D4D364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Andrea Laudanna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DBBA78" w14:textId="17CDEB7A"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Galvenais inženieris;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B94F4BE" w14:textId="46154C3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4B6CA87" w14:textId="6174215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5015A95"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098A65" w14:textId="17D32B4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EC47E9" w14:textId="25DBB5E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Dairis Brokāns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07500" w14:textId="6E72513E"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vecākais tehniskais eksperts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944C761" w14:textId="508F4E8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04.04.2023</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EB5D370" w14:textId="695D36A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62BDED28"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3BE74" w14:textId="2B29BE5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C5D10F" w14:textId="6B0880E2"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Edmunds Pieķis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4478D" w14:textId="43A8E762"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Administratīvā atbalsta departamenta finanšu risku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4C1E408" w14:textId="359BD7F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D09694D" w14:textId="4AD71B22"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04.04.2023</w:t>
            </w:r>
          </w:p>
        </w:tc>
      </w:tr>
      <w:tr w:rsidR="6075987E" w14:paraId="2DE9E7B5"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4DCC48" w14:textId="5076D63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E6E0E3" w14:textId="300620F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Ēriks Diļevs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E6678" w14:textId="485148D4"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tehniskais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928332" w14:textId="6AA746C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15B970F" w14:textId="1E5B386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15.12.2021</w:t>
            </w:r>
          </w:p>
        </w:tc>
      </w:tr>
      <w:tr w:rsidR="6075987E" w14:paraId="015D329D"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9BB1E" w14:textId="52AAB2A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1FDF7A" w14:textId="050F404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Gatis Gaņģītis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285332" w14:textId="5BF091A4"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projekta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90FDF49" w14:textId="1713250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2908613" w14:textId="42A6C2C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15.09.2022</w:t>
            </w:r>
          </w:p>
        </w:tc>
      </w:tr>
      <w:tr w:rsidR="6075987E" w14:paraId="5A53CDEE"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98856B" w14:textId="2C087B5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969DE" w14:textId="3CA7AAE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Giacomo Capitano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804A2" w14:textId="49826F17"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Projekta vadības departamenta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DE3CBE" w14:textId="04A5C77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04.02.2022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51A177F" w14:textId="6905B4F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01.04.2022</w:t>
            </w:r>
          </w:p>
        </w:tc>
      </w:tr>
      <w:tr w:rsidR="6075987E" w14:paraId="6E95826B"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B0409" w14:textId="5B93DF32"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DE8E0" w14:textId="31DC436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Igors Oļeiņikovs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0D23B" w14:textId="7E753C86"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 SIA „EIROPAS DZELZCEĻA LĪNIJAS” Projekta ieviešanas un vadības departamenta būvdarbu līgumu eksperts; </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0B97E68" w14:textId="09A203E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A332868" w14:textId="59A153A1"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04.04.2023</w:t>
            </w:r>
          </w:p>
        </w:tc>
      </w:tr>
      <w:tr w:rsidR="6075987E" w14:paraId="2981443B"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20655" w14:textId="2B47181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182277" w14:textId="23B908A1"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Kaspars Baikovskis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02235" w14:textId="5F308D98"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 SIA „EIROPAS DZELZCEĻA LĪNIJAS” Projekta ieviešanas un vadības departamenta tehniskā atbalsta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6C4FE2C" w14:textId="7DF2829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D18121D" w14:textId="09697A5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7ED97873"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37E40" w14:textId="3763740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786C2" w14:textId="563693D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Krists Kārlis Dāvids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CDE324" w14:textId="60012196"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jaunākais tehniskais speciālists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3D6B98D" w14:textId="447596C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04.04.2023</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14DA129" w14:textId="6F45BAC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4B468A38"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E4BD6" w14:textId="3BC4620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Komisijas loceklis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E781E" w14:textId="76E3072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Rolands Počs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B413F9" w14:textId="28977504"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 SIA „EIROPAS DZELZCEĻA LĪNIJAS” Administratīvā atbalsta departamenta jurists;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440F631" w14:textId="7A2E276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71A1023" w14:textId="7076AC2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3D72BC12"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0EDD4" w14:textId="23B2048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7D2DD3" w14:textId="079BA42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A.Mislēvičs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DA04F" w14:textId="4039E3C9"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Signalizācijas un telekomunikāciju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03D57D6" w14:textId="4DDDC14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01.04.2022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2A6D1E5" w14:textId="69DF6C8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C257CD4"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B8FC47" w14:textId="2BD3EBA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lastRenderedPageBreak/>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870695" w14:textId="5B98B94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Aleksandrs Solodkins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5E08E" w14:textId="350FB7AE"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 SIA „EIROPAS DZELZCEĻA LĪNIJAS” Projekta ieviešanas un vadības departamenta vecākais eksperts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4E89785" w14:textId="0FFCC23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8F357BB" w14:textId="30E7BC6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4C5E40DA"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BED75" w14:textId="5CBE415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CD937A" w14:textId="703F03E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Anthony Wadeson</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402D6" w14:textId="48CABC6B"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4BB7AB8" w14:textId="1E9AC3C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42C1FA" w14:textId="0EAB5699"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75CEF54B"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C8B259" w14:textId="0102357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70ABFF" w14:textId="16DB533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Arturs Kļaviņš</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DC94A" w14:textId="1830919F"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projekta koordinators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7426E0" w14:textId="3E464BB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8C346F5" w14:textId="509E5F1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03.11.2023</w:t>
            </w:r>
          </w:p>
        </w:tc>
      </w:tr>
      <w:tr w:rsidR="6075987E" w14:paraId="2890B722"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88989" w14:textId="5A91DFE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5F919" w14:textId="61A936D9"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Atis Saulītis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AECD15" w14:textId="0E999FED"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darba aizsardzības vadītāju</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F9565F6" w14:textId="1C8365B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15.12.2021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CCEFD39" w14:textId="2AFADB1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40B8363C"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88C91D" w14:textId="17B3DA6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12B2BD" w14:textId="55FCD0F9"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Baiba Zauere</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28A5ED" w14:textId="069FCA6C"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Juridiskā departamenta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2D95327" w14:textId="7B539A1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04.02.2022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6E429AE" w14:textId="2875BB3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7ABC5025"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B7176A" w14:textId="0CA8FCF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1D97" w14:textId="70A7F1F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Dairis Brokāns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437077" w14:textId="23FE5E1A"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SIA „EIROPAS DZELZCEĻA LĪNIJAS” Projekta ieviešanas un vadības departamenta tehnisko ekspertu </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1D05802" w14:textId="4A5439E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03.01.2022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B6113C3" w14:textId="7EAC33F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04.04.2023</w:t>
            </w:r>
          </w:p>
        </w:tc>
      </w:tr>
      <w:tr w:rsidR="6075987E" w14:paraId="10022E54"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CA0A8" w14:textId="23177BB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06E7F5" w14:textId="33F1ED7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Damien Bouveresse</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20E1B" w14:textId="2D2B6F15"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vadītājs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7A64427" w14:textId="2A028E4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0D3C387" w14:textId="07935CE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6D84340E"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852DA" w14:textId="541D8D7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54C35" w14:textId="738982E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Darren Foy</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E0430" w14:textId="1B20FC19"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direktors, vecākais izmaksu inženieris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A335DA7" w14:textId="5CFBC35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170DAFE" w14:textId="42DBC1B1"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040008F4"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AFADFC" w14:textId="60E2CF6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0C160" w14:textId="16771C9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Dion Malollari</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53A72" w14:textId="419F4BF0"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izmaksu konsultanta asistents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720379" w14:textId="36FC9E2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175C1E" w14:textId="1AD116F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CA415EB"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6C6410" w14:textId="7D5C221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F0897" w14:textId="6C063C4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Ēriks Diļevs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9F1A8" w14:textId="72A451C2"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tehniskais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D151FD5" w14:textId="090D22A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15.12.2021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F2FBEF9" w14:textId="4CE56CE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3F13114F"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520066" w14:textId="4BB9ACC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9EE52B" w14:textId="45F3504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Francis Ryan</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49373" w14:textId="76B55DE9"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līdzdibinātājs un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0472DF0" w14:textId="62435AC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CDB5359" w14:textId="6C1FF83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486696D8"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44BE28" w14:textId="2885506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CC23D0" w14:textId="4F86DD6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Gundega Kārkliņa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2C8D6B" w14:textId="69A77DDB"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„ERNST &amp; YOUNG BALTIC” zvērināta advokāte</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3365C02" w14:textId="75979EB9"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C6E103A" w14:textId="4B59302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51BDC14D"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BB1CC" w14:textId="75098B7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16CD3" w14:textId="1685E3F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Indre Pelėdaitė</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76811" w14:textId="6B424E90"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„Sorainen ZAB” zvērināta advokāta palīdze</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A8785CB" w14:textId="35303EA2"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25.03.2022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131C42D" w14:textId="3BCAECE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2F71C56D"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A26EE" w14:textId="4FF66A6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8DE97" w14:textId="728D72D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Jūlija Kļikina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BF071" w14:textId="782008C0"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tehnisko projektu vadītāja dzelzceļa atbilstības novērtēšanas pakalpojumiem</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238C50F" w14:textId="7E1C217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01.04.2022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8C04210" w14:textId="0C80E2B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78673D3"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B53D8A" w14:textId="609DCE6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251ED" w14:textId="2FB6E32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Jānis Freimanis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2CE1A7" w14:textId="03A11BD8"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SIA „EIROPAS DZELZCEĻA LĪNIJAS” Projekta ieviešanas un </w:t>
            </w:r>
            <w:r w:rsidRPr="003F1977">
              <w:rPr>
                <w:rFonts w:eastAsia="Times New Roman" w:cs="Times New Roman"/>
                <w:color w:val="000000" w:themeColor="text1"/>
                <w:sz w:val="20"/>
                <w:szCs w:val="20"/>
              </w:rPr>
              <w:lastRenderedPageBreak/>
              <w:t>vadības departamenta tehnisko eksperts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64A2C8F" w14:textId="5CB88D2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lastRenderedPageBreak/>
              <w:t>31.08.2021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BEDCF8B" w14:textId="0775700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3142258"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F0966" w14:textId="5BBA128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8CC8BE" w14:textId="091F3FB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Jorens Jaunozols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D43DA6" w14:textId="62DC7989"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„Sorainen ZAB” vecākais jurists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8171AFD" w14:textId="67B762E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BE0B0EC" w14:textId="664F796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568D65A4"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D26278" w14:textId="586A7FD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E9123" w14:textId="211030C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Kaspars Ābele</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36DD53" w14:textId="596B1E69"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jaunākais tehniskais eksperts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CDCFAC2" w14:textId="0F09EA8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7838B62" w14:textId="0199B0D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2AE15DDF"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CD5710" w14:textId="6BC19705"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8469FF" w14:textId="3B8A543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Kristaps Zilberts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C5D765" w14:textId="0D6995D5"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SIA „R&amp;D apdrošināšanas brokers” Finanšu līniju un apdrošināšanas produktu izstrādes vadītāju </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6779963" w14:textId="2ADE0F3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01.04.2022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31AC025" w14:textId="40F38D3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005872F9"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8B463" w14:textId="3ADFD3A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C675E" w14:textId="74CFD9C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Krists Kārlis Dāvids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B2F0A" w14:textId="436AEBD2"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Projekta ieviešanas un vadības departamenta projekta jaunākais tehniskais eksperts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01C482" w14:textId="1E67C30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24.05.2022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B7FBA2D" w14:textId="5D9B09D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04.04.2023</w:t>
            </w:r>
          </w:p>
        </w:tc>
      </w:tr>
      <w:tr w:rsidR="6075987E" w14:paraId="5F43E6EC"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D0CA83" w14:textId="212B855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8FB87" w14:textId="51BC2D1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Lelde Laviņa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B7475" w14:textId="32DBEC84"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„Sorainen ZAB” zvērinātu advokāte</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7AB0CA7" w14:textId="2699220C"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01.03.2022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664D039" w14:textId="17F0D67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2F40D095"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03E1F" w14:textId="70029CF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DF583" w14:textId="0C81269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Līga Jirgensone</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018CF" w14:textId="3C8E10C6"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SIA „EIROPAS DZELZCEĻA LĪNIJAS” Projekta ieviešanas un vadības departamenta jaunākā iepirkumu speciāliste </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3A2862A" w14:textId="34C66B28"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12.08.2022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992B0F3" w14:textId="42E587C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6FB4F30F"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A0215" w14:textId="73C62659"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781AB" w14:textId="290646A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Ludmila Juškevica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FF255" w14:textId="5FED213D"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Satiksmes ministrijas Dzelzceļa infrastruktūras un politikas departamenta Rail Baltica projekta tiesiskā nodrošinājuma nodaļas vadītāja </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277EB23" w14:textId="47009FD5"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09.06.2021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992C088" w14:textId="43ACE3DA" w:rsidR="6075987E" w:rsidRPr="003F1977" w:rsidRDefault="5BC66DFB" w:rsidP="005C2536">
            <w:pPr>
              <w:spacing w:after="0"/>
              <w:jc w:val="center"/>
              <w:rPr>
                <w:rFonts w:eastAsia="Times New Roman" w:cs="Times New Roman"/>
                <w:color w:val="000000" w:themeColor="text1"/>
                <w:sz w:val="20"/>
                <w:szCs w:val="20"/>
              </w:rPr>
            </w:pPr>
            <w:r w:rsidRPr="0459C73A">
              <w:rPr>
                <w:rFonts w:eastAsia="Times New Roman" w:cs="Times New Roman"/>
                <w:color w:val="000000" w:themeColor="text1"/>
                <w:sz w:val="20"/>
                <w:szCs w:val="20"/>
              </w:rPr>
              <w:t>202</w:t>
            </w:r>
            <w:r w:rsidR="00415A5E">
              <w:rPr>
                <w:rFonts w:eastAsia="Times New Roman" w:cs="Times New Roman"/>
                <w:color w:val="000000" w:themeColor="text1"/>
                <w:sz w:val="20"/>
                <w:szCs w:val="20"/>
              </w:rPr>
              <w:t>2</w:t>
            </w:r>
            <w:r w:rsidRPr="0459C73A">
              <w:rPr>
                <w:rFonts w:eastAsia="Times New Roman" w:cs="Times New Roman"/>
                <w:color w:val="000000" w:themeColor="text1"/>
                <w:sz w:val="20"/>
                <w:szCs w:val="20"/>
              </w:rPr>
              <w:t>.</w:t>
            </w:r>
          </w:p>
        </w:tc>
      </w:tr>
      <w:tr w:rsidR="6075987E" w14:paraId="3C8FEEF9"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AC45AD" w14:textId="0FAE2B7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93C4D" w14:textId="2122A0E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Mark Jeffs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81466B" w14:textId="52C2E081"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direktors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5B1282D" w14:textId="5636CA7C" w:rsidR="6075987E" w:rsidRPr="003B0530" w:rsidRDefault="6075987E" w:rsidP="0459C73A">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13E5244" w14:textId="4ECDB509"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28D116F8"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7A3D0" w14:textId="10C081F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9369D" w14:textId="6691C55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Melvin Maddox </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B08CD5" w14:textId="6F1350FB"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asociētais darbinieks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9BCC614" w14:textId="762B59E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E87A400" w14:textId="0BA58CD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6BEB75FF"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A5743A" w14:textId="2F047B3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64395" w14:textId="471A995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Mick Casey</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7D991" w14:textId="69143EEB"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izmaksu noteicējs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2BF18A" w14:textId="5065C899"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56C1AF4" w14:textId="55F01CA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479EAAF"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538D25" w14:textId="6F859812"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2FB1B9" w14:textId="5BE9B01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Normunds Orols</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754E7" w14:textId="6843C9A7"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"ZAB Kronbergs Čukste LEVIN"vecākais jurists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D87E75D" w14:textId="3D3F9F88"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 xml:space="preserve"> 22.04.2022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88C01BE" w14:textId="6F65FB8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5595B554"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3B4E1" w14:textId="29C5E70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B287E" w14:textId="6A4651E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Oksana Gorjunova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4C581" w14:textId="4D55CA45"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„EIROPAS DZELZCEĻA LĪNIJAS” Projektu ieviešanas un vadības departamenta būvniecības līgumu izmaksu kontroliere</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BFBD79A" w14:textId="785407E8"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04.08.2021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C57718C" w14:textId="28547B7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5611F230"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75610" w14:textId="368433A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F7F41" w14:textId="0410F1F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Paul Robinson</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5F5BB0" w14:textId="40EEC5C4"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apvienība, kas sastāv no uzņēmumiem Linnum Consult Ltd </w:t>
            </w:r>
            <w:r w:rsidRPr="003F1977">
              <w:rPr>
                <w:rFonts w:eastAsia="Times New Roman" w:cs="Times New Roman"/>
                <w:color w:val="000000" w:themeColor="text1"/>
                <w:sz w:val="20"/>
                <w:szCs w:val="20"/>
              </w:rPr>
              <w:lastRenderedPageBreak/>
              <w:t>un Currie&amp;Brown(France), direktora vietnieks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59C24E" w14:textId="5FE43721" w:rsidR="6075987E" w:rsidRPr="003B0530" w:rsidRDefault="6075987E" w:rsidP="005C2536">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lastRenderedPageBreak/>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FD4F959" w14:textId="1EAAD4C1"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02D3EB03"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F8438" w14:textId="411BA2F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EAE6D3" w14:textId="14B57A2E"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Rodney Alder</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0A7CB" w14:textId="60FCE3BF"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vecākais izmaksu noteicējs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FA9055C" w14:textId="7D5B6A98" w:rsidR="6075987E" w:rsidRPr="003B0530" w:rsidRDefault="6075987E" w:rsidP="0459C73A">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2E1D19E" w14:textId="62F8025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11DD1D8B"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E554A5" w14:textId="281A06E6"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2BFC17" w14:textId="64A09ABC"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Thomas Guy</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024EF6" w14:textId="73B74A32"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apvienība, kas sastāv no uzņēmumiem Linnum Consult Ltd un Currie&amp;Brown(France), konsultants</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2AD864F" w14:textId="1FBEB4B8" w:rsidR="6075987E" w:rsidRPr="003B0530" w:rsidRDefault="6075987E" w:rsidP="0459C73A">
            <w:pPr>
              <w:spacing w:after="0"/>
              <w:jc w:val="center"/>
              <w:rPr>
                <w:rFonts w:eastAsia="Times New Roman" w:cs="Times New Roman"/>
                <w:color w:val="000000" w:themeColor="text1"/>
                <w:sz w:val="20"/>
                <w:szCs w:val="20"/>
              </w:rPr>
            </w:pPr>
            <w:r w:rsidRPr="003B0530">
              <w:rPr>
                <w:rFonts w:eastAsia="Times New Roman" w:cs="Times New Roman"/>
                <w:color w:val="000000" w:themeColor="text1"/>
                <w:sz w:val="20"/>
                <w:szCs w:val="20"/>
              </w:rPr>
              <w:t>18.01.2022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9D4995F" w14:textId="16471B03"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09447D35"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8A6CE" w14:textId="0F1FEB1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05808" w14:textId="66226594"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Una Bajic</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A51CE" w14:textId="378F4A10"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SIA „EIROPAS DZELZCEĻA LĪNIJAS” Projekta ieviešanas un vadības departamenta Plānošanas inženiere </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8A3DC1A" w14:textId="7FC2972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02.09.2021</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46D83D" w14:textId="0E43CD7D"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469433BC"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BCA8D" w14:textId="0BC88248"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31FCF" w14:textId="189F6A6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Vineta Čukste-Jurjeva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8CE56" w14:textId="725DFF57"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SIA "ZAB Kronbergs Čukste LEVIN"partnere, zvērināta advokāte</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A4C60E3" w14:textId="23887DE7"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 xml:space="preserve">22.04.2022 </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0F3BC42" w14:textId="54390450"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šim brīdim</w:t>
            </w:r>
          </w:p>
        </w:tc>
      </w:tr>
      <w:tr w:rsidR="6075987E" w14:paraId="56F22E32" w14:textId="77777777" w:rsidTr="003F1977">
        <w:trPr>
          <w:trHeight w:val="315"/>
        </w:trPr>
        <w:tc>
          <w:tcPr>
            <w:tcW w:w="20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E80551" w14:textId="12E9DABB"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Eksperts</w:t>
            </w:r>
          </w:p>
        </w:tc>
        <w:tc>
          <w:tcPr>
            <w:tcW w:w="18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53A77" w14:textId="1A3EDBFF"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Zanda Zaļuma</w:t>
            </w:r>
          </w:p>
        </w:tc>
        <w:tc>
          <w:tcPr>
            <w:tcW w:w="30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D7595" w14:textId="59CCD0D3" w:rsidR="6075987E" w:rsidRPr="003F1977" w:rsidRDefault="6075987E" w:rsidP="005C2536">
            <w:pPr>
              <w:spacing w:after="0"/>
              <w:rPr>
                <w:rFonts w:eastAsia="Times New Roman" w:cs="Times New Roman"/>
                <w:color w:val="000000" w:themeColor="text1"/>
                <w:sz w:val="20"/>
                <w:szCs w:val="20"/>
              </w:rPr>
            </w:pPr>
            <w:r w:rsidRPr="003F1977">
              <w:rPr>
                <w:rFonts w:eastAsia="Times New Roman" w:cs="Times New Roman"/>
                <w:color w:val="000000" w:themeColor="text1"/>
                <w:sz w:val="20"/>
                <w:szCs w:val="20"/>
              </w:rPr>
              <w:t>RB Rail AS Juridiskā departamenta juriste</w:t>
            </w:r>
          </w:p>
        </w:tc>
        <w:tc>
          <w:tcPr>
            <w:tcW w:w="121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1B480E0" w14:textId="35B8685A" w:rsidR="6075987E" w:rsidRPr="003F1977" w:rsidRDefault="6075987E" w:rsidP="005C2536">
            <w:pPr>
              <w:spacing w:after="0"/>
              <w:jc w:val="center"/>
              <w:rPr>
                <w:rFonts w:eastAsia="Times New Roman" w:cs="Times New Roman"/>
                <w:color w:val="000000" w:themeColor="text1"/>
                <w:sz w:val="20"/>
                <w:szCs w:val="20"/>
              </w:rPr>
            </w:pPr>
            <w:r w:rsidRPr="003F1977">
              <w:rPr>
                <w:rFonts w:eastAsia="Times New Roman" w:cs="Times New Roman"/>
                <w:color w:val="000000" w:themeColor="text1"/>
                <w:sz w:val="20"/>
                <w:szCs w:val="20"/>
              </w:rPr>
              <w:t>04.02.2022</w:t>
            </w:r>
          </w:p>
        </w:tc>
        <w:tc>
          <w:tcPr>
            <w:tcW w:w="125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BE8EA05" w14:textId="25A657EA" w:rsidR="6075987E" w:rsidRPr="003F1977" w:rsidRDefault="6075987E" w:rsidP="005C2536">
            <w:pPr>
              <w:spacing w:after="0"/>
              <w:jc w:val="center"/>
              <w:rPr>
                <w:rFonts w:eastAsia="Times New Roman" w:cs="Times New Roman"/>
                <w:color w:val="000000" w:themeColor="text1"/>
                <w:sz w:val="20"/>
                <w:szCs w:val="20"/>
              </w:rPr>
            </w:pPr>
          </w:p>
        </w:tc>
      </w:tr>
    </w:tbl>
    <w:p w14:paraId="6D2DFB0C" w14:textId="6C29F65C" w:rsidR="00B56B0C" w:rsidRPr="00660EB3" w:rsidRDefault="00B56B0C" w:rsidP="6075987E">
      <w:pPr>
        <w:tabs>
          <w:tab w:val="left" w:pos="7088"/>
        </w:tabs>
        <w:spacing w:after="0" w:line="240" w:lineRule="auto"/>
        <w:contextualSpacing/>
        <w:jc w:val="both"/>
        <w:rPr>
          <w:rFonts w:eastAsia="Times New Roman" w:cs="Times New Roman"/>
          <w:sz w:val="24"/>
          <w:szCs w:val="24"/>
        </w:rPr>
      </w:pPr>
    </w:p>
    <w:p w14:paraId="60CA4200" w14:textId="5B3C8126" w:rsidR="00DA35D1" w:rsidRDefault="00DA35D1">
      <w:pPr>
        <w:rPr>
          <w:rFonts w:cs="Times New Roman"/>
          <w:bCs/>
          <w:sz w:val="24"/>
          <w:szCs w:val="24"/>
        </w:rPr>
      </w:pPr>
      <w:r>
        <w:rPr>
          <w:rFonts w:cs="Times New Roman"/>
          <w:bCs/>
          <w:sz w:val="24"/>
          <w:szCs w:val="24"/>
        </w:rPr>
        <w:br w:type="page"/>
      </w:r>
    </w:p>
    <w:p w14:paraId="59563DDD" w14:textId="5B3C8126" w:rsidR="00DA35D1" w:rsidRPr="00660EB3" w:rsidRDefault="00DA35D1" w:rsidP="00DA35D1">
      <w:pPr>
        <w:spacing w:after="0" w:line="240" w:lineRule="auto"/>
        <w:contextualSpacing/>
        <w:jc w:val="both"/>
        <w:rPr>
          <w:rFonts w:eastAsia="Times New Roman" w:cs="Times New Roman"/>
          <w:sz w:val="24"/>
          <w:szCs w:val="24"/>
          <w:lang w:eastAsia="lv-LV"/>
        </w:rPr>
      </w:pPr>
    </w:p>
    <w:p w14:paraId="5C903EA5" w14:textId="77A5F266" w:rsidR="00DA35D1" w:rsidRPr="003B0530" w:rsidRDefault="003B0530" w:rsidP="003B0530">
      <w:pPr>
        <w:spacing w:after="0" w:line="240" w:lineRule="auto"/>
        <w:contextualSpacing/>
        <w:jc w:val="right"/>
        <w:rPr>
          <w:rFonts w:eastAsia="Calibri" w:cs="Times New Roman"/>
          <w:b/>
          <w:bCs/>
          <w:sz w:val="24"/>
          <w:szCs w:val="24"/>
        </w:rPr>
      </w:pPr>
      <w:r w:rsidRPr="003B0530">
        <w:rPr>
          <w:rFonts w:eastAsia="Calibri" w:cs="Times New Roman"/>
          <w:b/>
          <w:bCs/>
          <w:sz w:val="24"/>
          <w:szCs w:val="24"/>
        </w:rPr>
        <w:t>4.</w:t>
      </w:r>
      <w:r w:rsidR="00CA20DA" w:rsidRPr="003B0530">
        <w:rPr>
          <w:rFonts w:eastAsia="Calibri" w:cs="Times New Roman"/>
          <w:b/>
          <w:bCs/>
          <w:sz w:val="24"/>
          <w:szCs w:val="24"/>
        </w:rPr>
        <w:t>p</w:t>
      </w:r>
      <w:r w:rsidR="00DA35D1" w:rsidRPr="003B0530">
        <w:rPr>
          <w:rFonts w:eastAsia="Calibri" w:cs="Times New Roman"/>
          <w:b/>
          <w:bCs/>
          <w:sz w:val="24"/>
          <w:szCs w:val="24"/>
        </w:rPr>
        <w:t>ielikums</w:t>
      </w:r>
    </w:p>
    <w:p w14:paraId="37987D75" w14:textId="5B3C8126" w:rsidR="00873BC8" w:rsidRPr="003B0530" w:rsidRDefault="00DA35D1" w:rsidP="003B0530">
      <w:pPr>
        <w:spacing w:after="0" w:line="240" w:lineRule="auto"/>
        <w:contextualSpacing/>
        <w:jc w:val="right"/>
        <w:rPr>
          <w:rFonts w:cs="Times New Roman"/>
          <w:bCs/>
          <w:sz w:val="24"/>
          <w:szCs w:val="24"/>
        </w:rPr>
      </w:pPr>
      <w:r w:rsidRPr="003B0530">
        <w:rPr>
          <w:rFonts w:eastAsia="Calibri" w:cs="Times New Roman"/>
          <w:b/>
          <w:bCs/>
          <w:sz w:val="24"/>
          <w:szCs w:val="24"/>
        </w:rPr>
        <w:t>Iepirkumā iesaistītie konsultanti</w:t>
      </w:r>
    </w:p>
    <w:p w14:paraId="771A1079" w14:textId="5B3C8126" w:rsidR="00DA35D1" w:rsidRDefault="00DA35D1" w:rsidP="00056AFE">
      <w:pPr>
        <w:spacing w:after="0" w:line="240" w:lineRule="auto"/>
        <w:contextualSpacing/>
        <w:jc w:val="both"/>
        <w:rPr>
          <w:rFonts w:cs="Times New Roman"/>
          <w:bCs/>
          <w:sz w:val="24"/>
          <w:szCs w:val="24"/>
        </w:rPr>
      </w:pPr>
    </w:p>
    <w:p w14:paraId="6CCCBE4D" w14:textId="077BDB3B" w:rsidR="00B65AC4" w:rsidRDefault="00B65AC4" w:rsidP="00B65AC4">
      <w:pPr>
        <w:pStyle w:val="FootnoteText"/>
        <w:rPr>
          <w:rFonts w:eastAsiaTheme="minorEastAsia"/>
          <w:sz w:val="24"/>
          <w:szCs w:val="24"/>
        </w:rPr>
      </w:pPr>
      <w:r>
        <w:rPr>
          <w:rFonts w:eastAsiaTheme="minorEastAsia"/>
          <w:sz w:val="24"/>
          <w:szCs w:val="24"/>
        </w:rPr>
        <w:t xml:space="preserve">Iepirkuma sagatavošanas </w:t>
      </w:r>
      <w:r w:rsidR="007857F3">
        <w:rPr>
          <w:rFonts w:eastAsiaTheme="minorEastAsia"/>
          <w:sz w:val="24"/>
          <w:szCs w:val="24"/>
        </w:rPr>
        <w:t>procesā tika iesaistīti šādi eksperti:</w:t>
      </w:r>
    </w:p>
    <w:p w14:paraId="6CD7733B" w14:textId="77777777" w:rsidR="00B65AC4" w:rsidRPr="00B65AC4" w:rsidRDefault="00B65AC4" w:rsidP="00B65AC4">
      <w:pPr>
        <w:pStyle w:val="FootnoteText"/>
        <w:rPr>
          <w:rFonts w:eastAsiaTheme="minorEastAsia"/>
          <w:sz w:val="24"/>
          <w:szCs w:val="24"/>
        </w:rPr>
      </w:pPr>
    </w:p>
    <w:p w14:paraId="0A07EC37" w14:textId="6B13AC7A" w:rsidR="00DA35D1" w:rsidRPr="00DA35D1" w:rsidRDefault="00DA35D1" w:rsidP="00DA35D1">
      <w:pPr>
        <w:pStyle w:val="FootnoteText"/>
        <w:numPr>
          <w:ilvl w:val="0"/>
          <w:numId w:val="22"/>
        </w:numPr>
        <w:rPr>
          <w:rFonts w:eastAsiaTheme="minorEastAsia"/>
          <w:sz w:val="24"/>
          <w:szCs w:val="24"/>
        </w:rPr>
      </w:pPr>
      <w:r w:rsidRPr="00DA35D1">
        <w:rPr>
          <w:rFonts w:eastAsiaTheme="minorEastAsia"/>
          <w:b/>
          <w:bCs/>
          <w:i/>
          <w:iCs/>
          <w:sz w:val="24"/>
          <w:szCs w:val="24"/>
        </w:rPr>
        <w:t>Currie &amp; Brown and Linum Consult Ltd</w:t>
      </w:r>
      <w:r w:rsidRPr="00DA35D1">
        <w:rPr>
          <w:rFonts w:eastAsiaTheme="minorEastAsia"/>
          <w:sz w:val="24"/>
          <w:szCs w:val="24"/>
        </w:rPr>
        <w:t xml:space="preserve"> – finanšu formas sagatavošana (konsultanta darba stundas 1951 h);</w:t>
      </w:r>
    </w:p>
    <w:p w14:paraId="6CFDBE50" w14:textId="5B3C8126" w:rsidR="00DA35D1" w:rsidRPr="00DA35D1" w:rsidRDefault="00DA35D1" w:rsidP="00DA35D1">
      <w:pPr>
        <w:pStyle w:val="ListParagraph"/>
        <w:numPr>
          <w:ilvl w:val="0"/>
          <w:numId w:val="22"/>
        </w:numPr>
        <w:rPr>
          <w:rFonts w:eastAsiaTheme="minorEastAsia" w:cs="Times New Roman"/>
          <w:lang w:eastAsia="lv-LV"/>
        </w:rPr>
      </w:pPr>
      <w:r w:rsidRPr="346E6AE6">
        <w:rPr>
          <w:rFonts w:eastAsiaTheme="minorEastAsia" w:cs="Times New Roman"/>
          <w:b/>
          <w:i/>
          <w:lang w:eastAsia="lv-LV"/>
        </w:rPr>
        <w:t>Vintage Consulting AWB Sp. zo.o.Sp. k</w:t>
      </w:r>
      <w:r w:rsidRPr="346E6AE6">
        <w:rPr>
          <w:rFonts w:eastAsiaTheme="minorEastAsia" w:cs="Times New Roman"/>
          <w:lang w:eastAsia="lv-LV"/>
        </w:rPr>
        <w:t xml:space="preserve"> - FIDIC līguma vadības konsultācijas - </w:t>
      </w:r>
      <w:r w:rsidRPr="346E6AE6">
        <w:rPr>
          <w:rFonts w:eastAsiaTheme="minorEastAsia" w:cs="Times New Roman"/>
          <w:i/>
          <w:lang w:eastAsia="lv-LV"/>
        </w:rPr>
        <w:t>Early Contractor Involvement</w:t>
      </w:r>
      <w:r w:rsidRPr="346E6AE6">
        <w:rPr>
          <w:rFonts w:eastAsiaTheme="minorEastAsia" w:cs="Times New Roman"/>
          <w:lang w:eastAsia="lv-LV"/>
        </w:rPr>
        <w:t xml:space="preserve"> fāze, indeksācijas pieeja (konsultanta darba stundas 164 h);</w:t>
      </w:r>
    </w:p>
    <w:p w14:paraId="5D7AF613" w14:textId="5B3C8126" w:rsidR="00DA35D1" w:rsidRPr="00DA35D1" w:rsidRDefault="00DA35D1" w:rsidP="00DA35D1">
      <w:pPr>
        <w:pStyle w:val="ListParagraph"/>
        <w:numPr>
          <w:ilvl w:val="0"/>
          <w:numId w:val="22"/>
        </w:numPr>
        <w:rPr>
          <w:rFonts w:eastAsiaTheme="minorEastAsia" w:cs="Times New Roman"/>
          <w:lang w:eastAsia="lv-LV"/>
        </w:rPr>
      </w:pPr>
      <w:r w:rsidRPr="346E6AE6">
        <w:rPr>
          <w:rFonts w:eastAsiaTheme="minorEastAsia" w:cs="Times New Roman"/>
          <w:b/>
          <w:i/>
          <w:lang w:eastAsia="lv-LV"/>
        </w:rPr>
        <w:t>Ernst&amp;Young Baltic un ZAB EY LAW SIA</w:t>
      </w:r>
      <w:r w:rsidRPr="346E6AE6">
        <w:rPr>
          <w:rFonts w:eastAsiaTheme="minorEastAsia" w:cs="Times New Roman"/>
          <w:lang w:eastAsia="lv-LV"/>
        </w:rPr>
        <w:t xml:space="preserve"> - līguma sagatavošana (konsultanta darba stundas vairāk kā 1000 h);</w:t>
      </w:r>
    </w:p>
    <w:p w14:paraId="513F3036" w14:textId="2580D3E6" w:rsidR="00DA35D1" w:rsidRPr="00DA35D1" w:rsidRDefault="00DA35D1" w:rsidP="00DA35D1">
      <w:pPr>
        <w:pStyle w:val="ListParagraph"/>
        <w:numPr>
          <w:ilvl w:val="0"/>
          <w:numId w:val="22"/>
        </w:numPr>
        <w:rPr>
          <w:rFonts w:eastAsiaTheme="minorEastAsia" w:cs="Times New Roman"/>
          <w:lang w:eastAsia="lv-LV"/>
        </w:rPr>
      </w:pPr>
      <w:r w:rsidRPr="346E6AE6">
        <w:rPr>
          <w:rFonts w:eastAsiaTheme="minorEastAsia" w:cs="Times New Roman"/>
          <w:b/>
          <w:i/>
          <w:lang w:eastAsia="lv-LV"/>
        </w:rPr>
        <w:t>ZAB Sorainen SIA</w:t>
      </w:r>
      <w:r w:rsidRPr="346E6AE6">
        <w:rPr>
          <w:rFonts w:eastAsiaTheme="minorEastAsia" w:cs="Times New Roman"/>
          <w:lang w:eastAsia="lv-LV"/>
        </w:rPr>
        <w:t xml:space="preserve"> - FIDIC līguma pamatprasību sagatavošana visam Rail Baltica projektam – sadarbībā ar  </w:t>
      </w:r>
      <w:r w:rsidR="003524D9">
        <w:rPr>
          <w:rFonts w:eastAsiaTheme="minorEastAsia" w:cs="Times New Roman"/>
          <w:lang w:eastAsia="lv-LV"/>
        </w:rPr>
        <w:t>RBR.</w:t>
      </w:r>
      <w:r w:rsidRPr="346E6AE6">
        <w:rPr>
          <w:rFonts w:eastAsiaTheme="minorEastAsia" w:cs="Times New Roman"/>
          <w:lang w:eastAsia="lv-LV"/>
        </w:rPr>
        <w:t xml:space="preserve"> Sagatavotā līguma ar papildinājumiem izskatīšana un apstiprināšana;</w:t>
      </w:r>
    </w:p>
    <w:p w14:paraId="00296462" w14:textId="5B3C8126" w:rsidR="00DA35D1" w:rsidRPr="00DA35D1" w:rsidRDefault="00DA35D1" w:rsidP="00DA35D1">
      <w:pPr>
        <w:pStyle w:val="ListParagraph"/>
        <w:numPr>
          <w:ilvl w:val="0"/>
          <w:numId w:val="22"/>
        </w:numPr>
        <w:rPr>
          <w:rFonts w:eastAsiaTheme="minorEastAsia" w:cs="Times New Roman"/>
          <w:lang w:eastAsia="lv-LV"/>
        </w:rPr>
      </w:pPr>
      <w:r w:rsidRPr="346E6AE6">
        <w:rPr>
          <w:rFonts w:eastAsiaTheme="minorEastAsia" w:cs="Times New Roman"/>
          <w:b/>
          <w:i/>
          <w:lang w:eastAsia="lv-LV"/>
        </w:rPr>
        <w:t xml:space="preserve">R&amp;D Apdrošināšanas Brokers SIA </w:t>
      </w:r>
      <w:r w:rsidRPr="346E6AE6">
        <w:rPr>
          <w:rFonts w:eastAsiaTheme="minorEastAsia" w:cs="Times New Roman"/>
          <w:lang w:eastAsia="lv-LV"/>
        </w:rPr>
        <w:t>- konsultācijas un dokumentācijas izstāde apdrošināšanas jautājumos (konsultanta darba stundas 115h);</w:t>
      </w:r>
    </w:p>
    <w:p w14:paraId="4EFCB222" w14:textId="5B3C8126" w:rsidR="00DA35D1" w:rsidRPr="00DA35D1" w:rsidRDefault="00DA35D1" w:rsidP="00DA35D1">
      <w:pPr>
        <w:pStyle w:val="ListParagraph"/>
        <w:numPr>
          <w:ilvl w:val="0"/>
          <w:numId w:val="22"/>
        </w:numPr>
        <w:rPr>
          <w:rFonts w:eastAsiaTheme="minorEastAsia" w:cs="Times New Roman"/>
          <w:lang w:eastAsia="lv-LV"/>
        </w:rPr>
      </w:pPr>
      <w:r w:rsidRPr="346E6AE6">
        <w:rPr>
          <w:rFonts w:eastAsiaTheme="minorEastAsia" w:cs="Times New Roman"/>
          <w:b/>
          <w:i/>
          <w:lang w:eastAsia="lv-LV"/>
        </w:rPr>
        <w:t>Brainteam OÜ and Vison OY</w:t>
      </w:r>
      <w:r w:rsidRPr="346E6AE6">
        <w:rPr>
          <w:rFonts w:eastAsiaTheme="minorEastAsia" w:cs="Times New Roman"/>
          <w:lang w:eastAsia="lv-LV"/>
        </w:rPr>
        <w:t xml:space="preserve"> – konsultācijas attiecībā uz </w:t>
      </w:r>
      <w:r w:rsidRPr="346E6AE6">
        <w:rPr>
          <w:rFonts w:eastAsiaTheme="minorEastAsia" w:cs="Times New Roman"/>
          <w:i/>
          <w:lang w:eastAsia="lv-LV"/>
        </w:rPr>
        <w:t xml:space="preserve">Early Contractor Involvement </w:t>
      </w:r>
      <w:r w:rsidRPr="346E6AE6">
        <w:rPr>
          <w:rFonts w:eastAsiaTheme="minorEastAsia" w:cs="Times New Roman"/>
          <w:lang w:eastAsia="lv-LV"/>
        </w:rPr>
        <w:t>fāzi, t.sk., izmaksu optimizācijas darbības principu atbilstoši Eiropas Savienībā pieņemtajai praksei (konsultanta darba stundas 49h);</w:t>
      </w:r>
    </w:p>
    <w:p w14:paraId="4F4A9479" w14:textId="5B3C8126" w:rsidR="00DA35D1" w:rsidRPr="00DA35D1" w:rsidRDefault="00DA35D1" w:rsidP="00DA35D1">
      <w:pPr>
        <w:pStyle w:val="ListParagraph"/>
        <w:numPr>
          <w:ilvl w:val="0"/>
          <w:numId w:val="22"/>
        </w:numPr>
        <w:rPr>
          <w:rFonts w:eastAsiaTheme="minorEastAsia" w:cs="Times New Roman"/>
          <w:i/>
          <w:lang w:eastAsia="lv-LV"/>
        </w:rPr>
      </w:pPr>
      <w:r w:rsidRPr="346E6AE6">
        <w:rPr>
          <w:rFonts w:eastAsiaTheme="minorEastAsia" w:cs="Times New Roman"/>
          <w:b/>
          <w:i/>
          <w:lang w:eastAsia="lv-LV"/>
        </w:rPr>
        <w:t>Berg research</w:t>
      </w:r>
      <w:r w:rsidRPr="346E6AE6">
        <w:rPr>
          <w:rFonts w:eastAsiaTheme="minorEastAsia" w:cs="Times New Roman"/>
          <w:lang w:eastAsia="lv-LV"/>
        </w:rPr>
        <w:t xml:space="preserve"> – tirgus (gan vietējā, gan starptautiskā) izpētes veikšana par vispārpieņemto līgumisko praksi un publiskā iepirkuma pieeju;</w:t>
      </w:r>
    </w:p>
    <w:p w14:paraId="7B2ED12D" w14:textId="5853F17C" w:rsidR="00DA35D1" w:rsidRPr="00DA35D1" w:rsidRDefault="00DA35D1" w:rsidP="00DA35D1">
      <w:pPr>
        <w:pStyle w:val="ListParagraph"/>
        <w:numPr>
          <w:ilvl w:val="0"/>
          <w:numId w:val="22"/>
        </w:numPr>
        <w:rPr>
          <w:rFonts w:eastAsiaTheme="minorEastAsia" w:cs="Times New Roman"/>
          <w:lang w:eastAsia="lv-LV"/>
        </w:rPr>
      </w:pPr>
      <w:r w:rsidRPr="346E6AE6">
        <w:rPr>
          <w:rFonts w:eastAsiaTheme="minorEastAsia" w:cs="Times New Roman"/>
          <w:b/>
          <w:i/>
          <w:lang w:eastAsia="lv-LV"/>
        </w:rPr>
        <w:t>ED</w:t>
      </w:r>
      <w:r w:rsidR="00F01375">
        <w:rPr>
          <w:rFonts w:eastAsiaTheme="minorEastAsia" w:cs="Times New Roman"/>
          <w:b/>
          <w:i/>
          <w:lang w:eastAsia="lv-LV"/>
        </w:rPr>
        <w:t>Z</w:t>
      </w:r>
      <w:r w:rsidRPr="346E6AE6">
        <w:rPr>
          <w:rFonts w:eastAsiaTheme="minorEastAsia" w:cs="Times New Roman"/>
          <w:b/>
          <w:i/>
          <w:lang w:eastAsia="lv-LV"/>
        </w:rPr>
        <w:t>L eksperti ar RBR ekspertu atbalstu</w:t>
      </w:r>
      <w:r w:rsidRPr="346E6AE6">
        <w:rPr>
          <w:rFonts w:eastAsiaTheme="minorEastAsia" w:cs="Times New Roman"/>
          <w:lang w:eastAsia="lv-LV"/>
        </w:rPr>
        <w:t>– iepirkuma dokumentācijas izstrāde:</w:t>
      </w:r>
    </w:p>
    <w:p w14:paraId="4E1BA8C7" w14:textId="5B3C8126" w:rsidR="00DA35D1" w:rsidRPr="00DA35D1" w:rsidRDefault="00DA35D1" w:rsidP="00DA35D1">
      <w:pPr>
        <w:pStyle w:val="ListParagraph"/>
        <w:numPr>
          <w:ilvl w:val="1"/>
          <w:numId w:val="22"/>
        </w:numPr>
        <w:rPr>
          <w:rFonts w:eastAsiaTheme="minorEastAsia" w:cs="Times New Roman"/>
          <w:lang w:eastAsia="lv-LV"/>
        </w:rPr>
      </w:pPr>
      <w:r w:rsidRPr="346E6AE6">
        <w:rPr>
          <w:rFonts w:eastAsiaTheme="minorEastAsia" w:cs="Times New Roman"/>
          <w:lang w:eastAsia="lv-LV"/>
        </w:rPr>
        <w:t xml:space="preserve">konsolidēto materiālu prasības, </w:t>
      </w:r>
    </w:p>
    <w:p w14:paraId="1626B6D5" w14:textId="5B3C8126" w:rsidR="00DA35D1" w:rsidRPr="00DA35D1" w:rsidRDefault="00DA35D1" w:rsidP="00DA35D1">
      <w:pPr>
        <w:pStyle w:val="ListParagraph"/>
        <w:numPr>
          <w:ilvl w:val="1"/>
          <w:numId w:val="22"/>
        </w:numPr>
        <w:rPr>
          <w:rFonts w:eastAsiaTheme="minorEastAsia" w:cs="Times New Roman"/>
          <w:lang w:eastAsia="lv-LV"/>
        </w:rPr>
      </w:pPr>
      <w:r w:rsidRPr="346E6AE6">
        <w:rPr>
          <w:rFonts w:eastAsiaTheme="minorEastAsia" w:cs="Times New Roman"/>
          <w:lang w:eastAsia="lv-LV"/>
        </w:rPr>
        <w:t xml:space="preserve">darba drošības un vides prasības, </w:t>
      </w:r>
    </w:p>
    <w:p w14:paraId="6640C95E" w14:textId="5B3C8126" w:rsidR="00DA35D1" w:rsidRPr="00DA35D1" w:rsidRDefault="00DA35D1" w:rsidP="00DA35D1">
      <w:pPr>
        <w:pStyle w:val="ListParagraph"/>
        <w:numPr>
          <w:ilvl w:val="1"/>
          <w:numId w:val="22"/>
        </w:numPr>
        <w:rPr>
          <w:rFonts w:eastAsiaTheme="minorEastAsia" w:cs="Times New Roman"/>
          <w:lang w:eastAsia="lv-LV"/>
        </w:rPr>
      </w:pPr>
      <w:r w:rsidRPr="346E6AE6">
        <w:rPr>
          <w:rFonts w:eastAsiaTheme="minorEastAsia" w:cs="Times New Roman"/>
          <w:lang w:eastAsia="lv-LV"/>
        </w:rPr>
        <w:t xml:space="preserve">tehniskā specifikācija, </w:t>
      </w:r>
    </w:p>
    <w:p w14:paraId="5E79F9A2" w14:textId="5A88080E" w:rsidR="00DA35D1" w:rsidRPr="00DA35D1" w:rsidRDefault="00DA35D1" w:rsidP="00DA35D1">
      <w:pPr>
        <w:pStyle w:val="ListParagraph"/>
        <w:numPr>
          <w:ilvl w:val="1"/>
          <w:numId w:val="22"/>
        </w:numPr>
        <w:rPr>
          <w:rFonts w:eastAsiaTheme="minorEastAsia" w:cs="Times New Roman"/>
          <w:lang w:eastAsia="lv-LV"/>
        </w:rPr>
      </w:pPr>
      <w:r w:rsidRPr="346E6AE6">
        <w:rPr>
          <w:rFonts w:eastAsiaTheme="minorEastAsia" w:cs="Times New Roman"/>
          <w:lang w:eastAsia="lv-LV"/>
        </w:rPr>
        <w:t xml:space="preserve">ENE/CCS prasības, kurās definēta savstarpējās sadarbības vadības un koordinēšanas, kā arī pārbaudes un apstiprināšanas </w:t>
      </w:r>
      <w:r w:rsidRPr="346E6AE6">
        <w:rPr>
          <w:rFonts w:eastAsiaTheme="minorEastAsia" w:cs="Times New Roman"/>
          <w:i/>
          <w:lang w:eastAsia="lv-LV"/>
        </w:rPr>
        <w:t>(verification&amp;validation)</w:t>
      </w:r>
      <w:r w:rsidRPr="346E6AE6">
        <w:rPr>
          <w:rFonts w:eastAsiaTheme="minorEastAsia" w:cs="Times New Roman"/>
          <w:lang w:eastAsia="lv-LV"/>
        </w:rPr>
        <w:t xml:space="preserve"> procesi</w:t>
      </w:r>
      <w:r w:rsidR="001F374A">
        <w:rPr>
          <w:rFonts w:eastAsiaTheme="minorEastAsia" w:cs="Times New Roman"/>
          <w:lang w:eastAsia="lv-LV"/>
        </w:rPr>
        <w:t>,</w:t>
      </w:r>
    </w:p>
    <w:p w14:paraId="086A9791" w14:textId="5B3C8126" w:rsidR="00DA35D1" w:rsidRDefault="00DA35D1" w:rsidP="00DA35D1">
      <w:pPr>
        <w:pStyle w:val="ListParagraph"/>
        <w:numPr>
          <w:ilvl w:val="1"/>
          <w:numId w:val="22"/>
        </w:numPr>
        <w:rPr>
          <w:rFonts w:eastAsiaTheme="minorEastAsia" w:cs="Times New Roman"/>
          <w:lang w:eastAsia="lv-LV"/>
        </w:rPr>
      </w:pPr>
      <w:r w:rsidRPr="346E6AE6">
        <w:rPr>
          <w:rFonts w:eastAsiaTheme="minorEastAsia" w:cs="Times New Roman"/>
          <w:lang w:eastAsia="lv-LV"/>
        </w:rPr>
        <w:t>NoBo/AsBo, būvprojektu ekspertīzes un autoruzraudzības noteikumi.</w:t>
      </w:r>
    </w:p>
    <w:p w14:paraId="60A4A289" w14:textId="5B3C8126" w:rsidR="00484D99" w:rsidRDefault="00484D99" w:rsidP="00484D99">
      <w:pPr>
        <w:rPr>
          <w:rFonts w:eastAsiaTheme="minorEastAsia" w:cs="Times New Roman"/>
          <w:lang w:eastAsia="lv-LV"/>
        </w:rPr>
      </w:pPr>
    </w:p>
    <w:p w14:paraId="38051933" w14:textId="5B3C8126" w:rsidR="00484D99" w:rsidRDefault="00484D99">
      <w:pPr>
        <w:rPr>
          <w:rFonts w:eastAsiaTheme="minorEastAsia" w:cs="Times New Roman"/>
          <w:lang w:eastAsia="lv-LV"/>
        </w:rPr>
      </w:pPr>
      <w:r w:rsidRPr="346E6AE6">
        <w:rPr>
          <w:rFonts w:eastAsiaTheme="minorEastAsia" w:cs="Times New Roman"/>
          <w:lang w:eastAsia="lv-LV"/>
        </w:rPr>
        <w:br w:type="page"/>
      </w:r>
    </w:p>
    <w:p w14:paraId="746D25ED" w14:textId="4A6A88E8" w:rsidR="00484D99" w:rsidRPr="003B0530" w:rsidRDefault="003B0530" w:rsidP="003B0530">
      <w:pPr>
        <w:spacing w:after="0"/>
        <w:jc w:val="right"/>
        <w:rPr>
          <w:rFonts w:eastAsia="Calibri" w:cs="Times New Roman"/>
          <w:b/>
          <w:bCs/>
          <w:sz w:val="24"/>
          <w:szCs w:val="24"/>
        </w:rPr>
      </w:pPr>
      <w:r w:rsidRPr="003B0530">
        <w:rPr>
          <w:rFonts w:eastAsia="Calibri" w:cs="Times New Roman"/>
          <w:b/>
          <w:bCs/>
          <w:sz w:val="24"/>
          <w:szCs w:val="24"/>
        </w:rPr>
        <w:lastRenderedPageBreak/>
        <w:t>5.</w:t>
      </w:r>
      <w:r w:rsidR="00CA20DA" w:rsidRPr="003B0530">
        <w:rPr>
          <w:rFonts w:eastAsia="Calibri" w:cs="Times New Roman"/>
          <w:b/>
          <w:bCs/>
          <w:sz w:val="24"/>
          <w:szCs w:val="24"/>
        </w:rPr>
        <w:t>p</w:t>
      </w:r>
      <w:r w:rsidR="00484D99" w:rsidRPr="003B0530">
        <w:rPr>
          <w:rFonts w:eastAsia="Calibri" w:cs="Times New Roman"/>
          <w:b/>
          <w:bCs/>
          <w:sz w:val="24"/>
          <w:szCs w:val="24"/>
        </w:rPr>
        <w:t>ielikums</w:t>
      </w:r>
    </w:p>
    <w:p w14:paraId="3A854A0A" w14:textId="71B8A057" w:rsidR="00484D99" w:rsidRDefault="009603D8" w:rsidP="003B0530">
      <w:pPr>
        <w:spacing w:after="0" w:line="240" w:lineRule="auto"/>
        <w:contextualSpacing/>
        <w:jc w:val="right"/>
        <w:rPr>
          <w:rFonts w:cs="Times New Roman"/>
          <w:bCs/>
          <w:sz w:val="24"/>
          <w:szCs w:val="24"/>
        </w:rPr>
      </w:pPr>
      <w:r w:rsidRPr="003B0530">
        <w:rPr>
          <w:rFonts w:eastAsia="Calibri" w:cs="Times New Roman"/>
          <w:b/>
          <w:bCs/>
          <w:sz w:val="24"/>
          <w:szCs w:val="24"/>
        </w:rPr>
        <w:t>EDZ</w:t>
      </w:r>
      <w:r w:rsidR="00362862" w:rsidRPr="003B0530">
        <w:rPr>
          <w:rFonts w:eastAsia="Calibri" w:cs="Times New Roman"/>
          <w:b/>
          <w:bCs/>
          <w:sz w:val="24"/>
          <w:szCs w:val="24"/>
        </w:rPr>
        <w:t>L</w:t>
      </w:r>
      <w:r w:rsidRPr="003B0530">
        <w:rPr>
          <w:rFonts w:eastAsia="Calibri" w:cs="Times New Roman"/>
          <w:b/>
          <w:bCs/>
          <w:sz w:val="24"/>
          <w:szCs w:val="24"/>
        </w:rPr>
        <w:t xml:space="preserve"> s</w:t>
      </w:r>
      <w:r w:rsidR="00692C01" w:rsidRPr="003B0530">
        <w:rPr>
          <w:rFonts w:eastAsia="Calibri" w:cs="Times New Roman"/>
          <w:b/>
          <w:bCs/>
          <w:sz w:val="24"/>
          <w:szCs w:val="24"/>
        </w:rPr>
        <w:t xml:space="preserve">kaidrojums par </w:t>
      </w:r>
      <w:r w:rsidR="00214234" w:rsidRPr="003B0530">
        <w:rPr>
          <w:rFonts w:eastAsia="Calibri" w:cs="Times New Roman"/>
          <w:b/>
          <w:bCs/>
          <w:sz w:val="24"/>
          <w:szCs w:val="24"/>
        </w:rPr>
        <w:t>iesniegto prasību tiesā</w:t>
      </w:r>
    </w:p>
    <w:p w14:paraId="487182EE" w14:textId="77777777" w:rsidR="003B0530" w:rsidRPr="003B0530" w:rsidRDefault="003B0530" w:rsidP="003B0530">
      <w:pPr>
        <w:spacing w:after="0" w:line="240" w:lineRule="auto"/>
        <w:contextualSpacing/>
        <w:jc w:val="right"/>
        <w:rPr>
          <w:rFonts w:cs="Times New Roman"/>
          <w:bCs/>
          <w:sz w:val="24"/>
          <w:szCs w:val="24"/>
        </w:rPr>
      </w:pPr>
    </w:p>
    <w:p w14:paraId="3FDA36C2" w14:textId="6C085234" w:rsidR="00484D99" w:rsidRDefault="00484D99" w:rsidP="003B0530">
      <w:pPr>
        <w:tabs>
          <w:tab w:val="left" w:pos="567"/>
        </w:tabs>
        <w:spacing w:after="0" w:line="240" w:lineRule="auto"/>
        <w:ind w:firstLine="567"/>
        <w:contextualSpacing/>
        <w:jc w:val="both"/>
        <w:rPr>
          <w:rFonts w:eastAsia="Times New Roman" w:cs="Times New Roman"/>
          <w:sz w:val="24"/>
          <w:szCs w:val="24"/>
          <w:lang w:val="lv"/>
        </w:rPr>
      </w:pPr>
      <w:r w:rsidRPr="6075987E">
        <w:rPr>
          <w:rFonts w:eastAsia="Times New Roman" w:cs="Times New Roman"/>
          <w:sz w:val="24"/>
          <w:szCs w:val="24"/>
          <w:lang w:val="lv"/>
        </w:rPr>
        <w:t xml:space="preserve">Personu apvienība ICTAS – DOGUS Lēmumu </w:t>
      </w:r>
      <w:r w:rsidR="00670F07">
        <w:rPr>
          <w:rFonts w:eastAsia="Times New Roman" w:cs="Times New Roman"/>
          <w:sz w:val="24"/>
          <w:szCs w:val="24"/>
          <w:lang w:val="lv"/>
        </w:rPr>
        <w:t>pārsūdzēja</w:t>
      </w:r>
      <w:r w:rsidRPr="6075987E">
        <w:rPr>
          <w:rFonts w:eastAsia="Times New Roman" w:cs="Times New Roman"/>
          <w:sz w:val="24"/>
          <w:szCs w:val="24"/>
          <w:lang w:val="lv"/>
        </w:rPr>
        <w:t xml:space="preserve"> Administratīvajā rajona tiesā, iesniedzot </w:t>
      </w:r>
      <w:r w:rsidR="00357DCF">
        <w:rPr>
          <w:rFonts w:eastAsia="Times New Roman" w:cs="Times New Roman"/>
          <w:sz w:val="24"/>
          <w:szCs w:val="24"/>
          <w:lang w:val="lv"/>
        </w:rPr>
        <w:t>p</w:t>
      </w:r>
      <w:r w:rsidRPr="6075987E">
        <w:rPr>
          <w:rFonts w:eastAsia="Times New Roman" w:cs="Times New Roman"/>
          <w:sz w:val="24"/>
          <w:szCs w:val="24"/>
          <w:lang w:val="lv"/>
        </w:rPr>
        <w:t xml:space="preserve">ieteikumu par Lēmuma atzīšanu par prettiesisku un tā atcelšanu (turpmāk – Pieteikums), kā arī pieteikumu </w:t>
      </w:r>
      <w:r w:rsidR="00AF64AB">
        <w:rPr>
          <w:rFonts w:eastAsia="Times New Roman" w:cs="Times New Roman"/>
          <w:sz w:val="24"/>
          <w:szCs w:val="24"/>
          <w:lang w:val="lv"/>
        </w:rPr>
        <w:t xml:space="preserve">par </w:t>
      </w:r>
      <w:r w:rsidRPr="6075987E">
        <w:rPr>
          <w:rFonts w:eastAsia="Times New Roman" w:cs="Times New Roman"/>
          <w:sz w:val="24"/>
          <w:szCs w:val="24"/>
          <w:lang w:val="lv"/>
        </w:rPr>
        <w:t xml:space="preserve">pagaidu </w:t>
      </w:r>
      <w:r w:rsidR="00C92441">
        <w:rPr>
          <w:rFonts w:eastAsia="Times New Roman" w:cs="Times New Roman"/>
          <w:sz w:val="24"/>
          <w:szCs w:val="24"/>
          <w:lang w:val="lv"/>
        </w:rPr>
        <w:t>noregulējuma</w:t>
      </w:r>
      <w:r w:rsidR="00C92441" w:rsidRPr="6075987E">
        <w:rPr>
          <w:rFonts w:eastAsia="Times New Roman" w:cs="Times New Roman"/>
          <w:sz w:val="24"/>
          <w:szCs w:val="24"/>
          <w:lang w:val="lv"/>
        </w:rPr>
        <w:t xml:space="preserve"> </w:t>
      </w:r>
      <w:r w:rsidRPr="6075987E">
        <w:rPr>
          <w:rFonts w:eastAsia="Times New Roman" w:cs="Times New Roman"/>
          <w:sz w:val="24"/>
          <w:szCs w:val="24"/>
          <w:lang w:val="lv"/>
        </w:rPr>
        <w:t>– Lēmuma darbības apturēšan</w:t>
      </w:r>
      <w:r w:rsidR="00C92441">
        <w:rPr>
          <w:rFonts w:eastAsia="Times New Roman" w:cs="Times New Roman"/>
          <w:sz w:val="24"/>
          <w:szCs w:val="24"/>
          <w:lang w:val="lv"/>
        </w:rPr>
        <w:t>as</w:t>
      </w:r>
      <w:r w:rsidRPr="6075987E">
        <w:rPr>
          <w:rFonts w:eastAsia="Times New Roman" w:cs="Times New Roman"/>
          <w:sz w:val="24"/>
          <w:szCs w:val="24"/>
          <w:lang w:val="lv"/>
        </w:rPr>
        <w:t xml:space="preserve"> – piemērošanu (turpmāk – Pieteikums par Lēmuma darbības apturēšanu). Administratīvā rajona tiesa ar 2023.</w:t>
      </w:r>
      <w:r w:rsidR="00C92441">
        <w:rPr>
          <w:rFonts w:eastAsia="Times New Roman" w:cs="Times New Roman"/>
          <w:sz w:val="24"/>
          <w:szCs w:val="24"/>
          <w:lang w:val="lv"/>
        </w:rPr>
        <w:t xml:space="preserve"> </w:t>
      </w:r>
      <w:r w:rsidRPr="6075987E">
        <w:rPr>
          <w:rFonts w:eastAsia="Times New Roman" w:cs="Times New Roman"/>
          <w:sz w:val="24"/>
          <w:szCs w:val="24"/>
          <w:lang w:val="lv"/>
        </w:rPr>
        <w:t>gada 9.</w:t>
      </w:r>
      <w:r w:rsidR="00C92441">
        <w:rPr>
          <w:rFonts w:eastAsia="Times New Roman" w:cs="Times New Roman"/>
          <w:sz w:val="24"/>
          <w:szCs w:val="24"/>
          <w:lang w:val="lv"/>
        </w:rPr>
        <w:t xml:space="preserve"> </w:t>
      </w:r>
      <w:r w:rsidRPr="6075987E">
        <w:rPr>
          <w:rFonts w:eastAsia="Times New Roman" w:cs="Times New Roman"/>
          <w:sz w:val="24"/>
          <w:szCs w:val="24"/>
          <w:lang w:val="lv"/>
        </w:rPr>
        <w:t xml:space="preserve">novembra lēmumu lietā A420238223; A0509-23/13 </w:t>
      </w:r>
      <w:r w:rsidR="00670F07">
        <w:rPr>
          <w:rFonts w:eastAsia="Times New Roman" w:cs="Times New Roman"/>
          <w:sz w:val="24"/>
          <w:szCs w:val="24"/>
          <w:lang w:val="lv"/>
        </w:rPr>
        <w:t>ierosināja</w:t>
      </w:r>
      <w:r w:rsidRPr="6075987E">
        <w:rPr>
          <w:rFonts w:eastAsia="Times New Roman" w:cs="Times New Roman"/>
          <w:sz w:val="24"/>
          <w:szCs w:val="24"/>
          <w:lang w:val="lv"/>
        </w:rPr>
        <w:t xml:space="preserve"> tiesvedību sakarā ar personu apvienības ICTAS-DOGUS Pieteikumu un Pieteikumu par Lēmuma darbības apturēšanu. </w:t>
      </w:r>
    </w:p>
    <w:p w14:paraId="3173854C" w14:textId="5B3C8126" w:rsidR="00484D99" w:rsidRDefault="00484D99" w:rsidP="003B0530">
      <w:pPr>
        <w:tabs>
          <w:tab w:val="left" w:pos="567"/>
        </w:tabs>
        <w:spacing w:after="0" w:line="240" w:lineRule="auto"/>
        <w:ind w:firstLine="567"/>
        <w:contextualSpacing/>
        <w:jc w:val="both"/>
        <w:rPr>
          <w:rFonts w:eastAsia="Times New Roman" w:cs="Times New Roman"/>
          <w:sz w:val="24"/>
          <w:szCs w:val="24"/>
          <w:lang w:val="lv"/>
        </w:rPr>
      </w:pPr>
      <w:r w:rsidRPr="6075987E">
        <w:rPr>
          <w:rFonts w:eastAsia="Times New Roman" w:cs="Times New Roman"/>
          <w:sz w:val="24"/>
          <w:szCs w:val="24"/>
          <w:lang w:val="lv"/>
        </w:rPr>
        <w:t>Pieteikum</w:t>
      </w:r>
      <w:r w:rsidR="005155D7">
        <w:rPr>
          <w:rFonts w:eastAsia="Times New Roman" w:cs="Times New Roman"/>
          <w:sz w:val="24"/>
          <w:szCs w:val="24"/>
          <w:lang w:val="lv"/>
        </w:rPr>
        <w:t>ā</w:t>
      </w:r>
      <w:r w:rsidRPr="6075987E">
        <w:rPr>
          <w:rFonts w:eastAsia="Times New Roman" w:cs="Times New Roman"/>
          <w:sz w:val="24"/>
          <w:szCs w:val="24"/>
          <w:lang w:val="lv"/>
        </w:rPr>
        <w:t xml:space="preserve"> par Lēmuma darbības apturēšanu </w:t>
      </w:r>
      <w:r w:rsidR="005155D7">
        <w:rPr>
          <w:rFonts w:eastAsia="Times New Roman" w:cs="Times New Roman"/>
          <w:sz w:val="24"/>
          <w:szCs w:val="24"/>
          <w:lang w:val="lv"/>
        </w:rPr>
        <w:t xml:space="preserve">norādītais </w:t>
      </w:r>
      <w:r w:rsidRPr="6075987E">
        <w:rPr>
          <w:rFonts w:eastAsia="Times New Roman" w:cs="Times New Roman"/>
          <w:sz w:val="24"/>
          <w:szCs w:val="24"/>
          <w:lang w:val="lv"/>
        </w:rPr>
        <w:t xml:space="preserve">mērķis </w:t>
      </w:r>
      <w:r w:rsidR="005155D7">
        <w:rPr>
          <w:rFonts w:eastAsia="Times New Roman" w:cs="Times New Roman"/>
          <w:sz w:val="24"/>
          <w:szCs w:val="24"/>
          <w:lang w:val="lv"/>
        </w:rPr>
        <w:t>bija</w:t>
      </w:r>
      <w:r w:rsidRPr="6075987E">
        <w:rPr>
          <w:rFonts w:eastAsia="Times New Roman" w:cs="Times New Roman"/>
          <w:sz w:val="24"/>
          <w:szCs w:val="24"/>
          <w:lang w:val="lv"/>
        </w:rPr>
        <w:t xml:space="preserve"> aizliegt pasūtītājam – EDZL – noslēgt būvdarbu līgumu ar Iepirkuma uzvarētāju. </w:t>
      </w:r>
    </w:p>
    <w:p w14:paraId="37CD7FC3" w14:textId="1CAB5EE7" w:rsidR="00484D99" w:rsidRDefault="00484D99" w:rsidP="003B0530">
      <w:pPr>
        <w:tabs>
          <w:tab w:val="left" w:pos="567"/>
        </w:tabs>
        <w:spacing w:after="0" w:line="240" w:lineRule="auto"/>
        <w:ind w:firstLine="567"/>
        <w:contextualSpacing/>
        <w:jc w:val="both"/>
        <w:rPr>
          <w:rFonts w:eastAsia="Times New Roman" w:cs="Times New Roman"/>
          <w:sz w:val="24"/>
          <w:szCs w:val="24"/>
          <w:lang w:val="lv"/>
        </w:rPr>
      </w:pPr>
      <w:r w:rsidRPr="6075987E">
        <w:rPr>
          <w:rFonts w:eastAsia="Times New Roman" w:cs="Times New Roman"/>
          <w:b/>
          <w:bCs/>
          <w:sz w:val="24"/>
          <w:szCs w:val="24"/>
          <w:lang w:val="lv"/>
        </w:rPr>
        <w:t>Administratīvā rajona tiesa ar 2023.</w:t>
      </w:r>
      <w:r w:rsidR="00626F86">
        <w:rPr>
          <w:rFonts w:eastAsia="Times New Roman" w:cs="Times New Roman"/>
          <w:b/>
          <w:bCs/>
          <w:sz w:val="24"/>
          <w:szCs w:val="24"/>
          <w:lang w:val="lv"/>
        </w:rPr>
        <w:t xml:space="preserve"> </w:t>
      </w:r>
      <w:r w:rsidRPr="6075987E">
        <w:rPr>
          <w:rFonts w:eastAsia="Times New Roman" w:cs="Times New Roman"/>
          <w:b/>
          <w:bCs/>
          <w:sz w:val="24"/>
          <w:szCs w:val="24"/>
          <w:lang w:val="lv"/>
        </w:rPr>
        <w:t>gada 28.</w:t>
      </w:r>
      <w:r w:rsidR="00626F86">
        <w:rPr>
          <w:rFonts w:eastAsia="Times New Roman" w:cs="Times New Roman"/>
          <w:b/>
          <w:bCs/>
          <w:sz w:val="24"/>
          <w:szCs w:val="24"/>
          <w:lang w:val="lv"/>
        </w:rPr>
        <w:t xml:space="preserve"> </w:t>
      </w:r>
      <w:r w:rsidRPr="6075987E">
        <w:rPr>
          <w:rFonts w:eastAsia="Times New Roman" w:cs="Times New Roman"/>
          <w:b/>
          <w:bCs/>
          <w:sz w:val="24"/>
          <w:szCs w:val="24"/>
          <w:lang w:val="lv"/>
        </w:rPr>
        <w:t>novembra lēmumu lietā A420238223; A0509-23/13 nolēma noraidīt personu apvienības ICTAS-DOGUS Pieteikumu par Lēmuma darbības apturēšanu, atzīstot, ka EDZL lēmums par Iepirkuma rezultātiem pirmškietami ir tiesisks un pamatots.</w:t>
      </w:r>
      <w:r w:rsidRPr="6075987E">
        <w:rPr>
          <w:rFonts w:eastAsia="Times New Roman" w:cs="Times New Roman"/>
          <w:sz w:val="24"/>
          <w:szCs w:val="24"/>
          <w:lang w:val="lv"/>
        </w:rPr>
        <w:t xml:space="preserve"> </w:t>
      </w:r>
    </w:p>
    <w:p w14:paraId="61AB3CCC" w14:textId="33E07D47" w:rsidR="00484D99" w:rsidRDefault="00484D99" w:rsidP="003B0530">
      <w:pPr>
        <w:tabs>
          <w:tab w:val="left" w:pos="567"/>
        </w:tabs>
        <w:spacing w:after="0" w:line="240" w:lineRule="auto"/>
        <w:ind w:firstLine="567"/>
        <w:contextualSpacing/>
        <w:jc w:val="both"/>
        <w:rPr>
          <w:rFonts w:eastAsia="Times New Roman" w:cs="Times New Roman"/>
          <w:sz w:val="24"/>
          <w:szCs w:val="24"/>
          <w:lang w:val="lv"/>
        </w:rPr>
      </w:pPr>
      <w:r w:rsidRPr="6075987E">
        <w:rPr>
          <w:rFonts w:eastAsia="Times New Roman" w:cs="Times New Roman"/>
          <w:sz w:val="24"/>
          <w:szCs w:val="24"/>
          <w:lang w:val="lv"/>
        </w:rPr>
        <w:t>Administratīvā rajona tiesa savu lēmumu pamatojusi ar Latvijas Republikas Augstākās tiesas judikatūru, kurā atzīts, ka negatīva dienesta rekomendācija pielīdzināma kvalifikācijas prasībai, kas vērsta uz to, lai pasūtījuma izpilde tiktu piešķirta pretendentam, kurš spēs izpildīt tieši konkrēto pasūtījumu (</w:t>
      </w:r>
      <w:r w:rsidRPr="6075987E">
        <w:rPr>
          <w:rFonts w:eastAsia="Times New Roman" w:cs="Times New Roman"/>
          <w:i/>
          <w:iCs/>
          <w:sz w:val="24"/>
          <w:szCs w:val="24"/>
          <w:lang w:val="lv"/>
        </w:rPr>
        <w:t>skat. Latvijas Republikas Augstākās tiesas Senāta</w:t>
      </w:r>
      <w:r w:rsidRPr="6075987E">
        <w:rPr>
          <w:rFonts w:eastAsia="Times New Roman" w:cs="Times New Roman"/>
          <w:i/>
          <w:iCs/>
          <w:color w:val="000000" w:themeColor="text1"/>
          <w:sz w:val="23"/>
          <w:szCs w:val="23"/>
          <w:lang w:val="lv"/>
        </w:rPr>
        <w:t xml:space="preserve"> </w:t>
      </w:r>
      <w:r w:rsidRPr="6075987E">
        <w:rPr>
          <w:rFonts w:eastAsia="Times New Roman" w:cs="Times New Roman"/>
          <w:i/>
          <w:iCs/>
          <w:sz w:val="24"/>
          <w:szCs w:val="24"/>
          <w:lang w:val="lv"/>
        </w:rPr>
        <w:t>2021. gada 23. aprīļa rīcības sēdes lēmuma lietā A A420137521 (SKA-991/2021) 4. punktu, arī Administratīvās rajona tiesas 2021. gada 21. decembra sprieduma minētajā lietā 13. punktu</w:t>
      </w:r>
      <w:r w:rsidRPr="6075987E">
        <w:rPr>
          <w:rFonts w:eastAsia="Times New Roman" w:cs="Times New Roman"/>
          <w:sz w:val="24"/>
          <w:szCs w:val="24"/>
          <w:lang w:val="lv"/>
        </w:rPr>
        <w:t>). Administratīvā rajona tiesa atzina, ka Valsts drošības dienesta negatīva rekomendācija pasūtītājam ir saistoša atbilstoši Nacionālās drošības likuma 22.</w:t>
      </w:r>
      <w:r w:rsidRPr="6075987E">
        <w:rPr>
          <w:rFonts w:eastAsia="Times New Roman" w:cs="Times New Roman"/>
          <w:sz w:val="24"/>
          <w:szCs w:val="24"/>
          <w:vertAlign w:val="superscript"/>
          <w:lang w:val="lv"/>
        </w:rPr>
        <w:t>2</w:t>
      </w:r>
      <w:r w:rsidR="00626F86">
        <w:rPr>
          <w:rFonts w:eastAsia="Times New Roman" w:cs="Times New Roman"/>
          <w:sz w:val="24"/>
          <w:szCs w:val="24"/>
          <w:vertAlign w:val="superscript"/>
          <w:lang w:val="lv"/>
        </w:rPr>
        <w:t xml:space="preserve"> </w:t>
      </w:r>
      <w:r w:rsidRPr="6075987E">
        <w:rPr>
          <w:rFonts w:eastAsia="Times New Roman" w:cs="Times New Roman"/>
          <w:sz w:val="24"/>
          <w:szCs w:val="24"/>
          <w:lang w:val="lv"/>
        </w:rPr>
        <w:t>panta ceturtajai daļai, kuras satura (drošības risku novērtēšana) noteikšana ir dienesta uzdevums un kompetence. Administratīvā rajona tiesa atzinusi, ka atbilstoši tiesu prakses atziņām dienesta secinājumus par to, ka pastāv drošības riski, ne iestādes, ne tiesa nevar saturiski pārvērtēt.</w:t>
      </w:r>
    </w:p>
    <w:p w14:paraId="0148399A" w14:textId="4E211B50" w:rsidR="00484D99" w:rsidRDefault="00C90731" w:rsidP="003B0530">
      <w:pPr>
        <w:tabs>
          <w:tab w:val="left" w:pos="567"/>
        </w:tabs>
        <w:spacing w:after="0" w:line="240" w:lineRule="auto"/>
        <w:contextualSpacing/>
        <w:jc w:val="both"/>
        <w:rPr>
          <w:rFonts w:eastAsia="Times New Roman" w:cs="Times New Roman"/>
          <w:sz w:val="24"/>
          <w:szCs w:val="24"/>
          <w:lang w:val="lv"/>
        </w:rPr>
      </w:pPr>
      <w:r>
        <w:rPr>
          <w:rFonts w:eastAsia="Times New Roman" w:cs="Times New Roman"/>
          <w:sz w:val="24"/>
          <w:szCs w:val="24"/>
          <w:lang w:val="lv"/>
        </w:rPr>
        <w:tab/>
      </w:r>
      <w:r w:rsidR="00484D99" w:rsidRPr="6075987E">
        <w:rPr>
          <w:rFonts w:eastAsia="Times New Roman" w:cs="Times New Roman"/>
          <w:sz w:val="24"/>
          <w:szCs w:val="24"/>
          <w:lang w:val="lv"/>
        </w:rPr>
        <w:t>Tas nozīmē, ka EDZL, izpildot Valsts drošības dienesta rekomendāciju, ir rīkojusies tiesiski un atbilstoši Latvijas Republikas Augstākās tiesas judikatūrai par Valsts drošības dienesta rekomendāciju juridiski saistošo raksturu publisko iepirkumu procedūrās.</w:t>
      </w:r>
    </w:p>
    <w:p w14:paraId="127E8E3B" w14:textId="46D45895" w:rsidR="00BD425D" w:rsidRDefault="00BD425D" w:rsidP="00C90731">
      <w:pPr>
        <w:tabs>
          <w:tab w:val="left" w:pos="567"/>
        </w:tabs>
        <w:jc w:val="both"/>
        <w:rPr>
          <w:rFonts w:eastAsia="Times New Roman" w:cs="Times New Roman"/>
          <w:sz w:val="24"/>
          <w:szCs w:val="24"/>
          <w:lang w:val="lv"/>
        </w:rPr>
      </w:pPr>
    </w:p>
    <w:p w14:paraId="092B6DE9" w14:textId="3FA49D14" w:rsidR="00BD425D" w:rsidRDefault="00BD425D">
      <w:pPr>
        <w:rPr>
          <w:rFonts w:eastAsia="Times New Roman" w:cs="Times New Roman"/>
          <w:sz w:val="24"/>
          <w:szCs w:val="24"/>
          <w:lang w:val="lv"/>
        </w:rPr>
      </w:pPr>
      <w:r>
        <w:rPr>
          <w:rFonts w:eastAsia="Times New Roman" w:cs="Times New Roman"/>
          <w:sz w:val="24"/>
          <w:szCs w:val="24"/>
          <w:lang w:val="lv"/>
        </w:rPr>
        <w:br w:type="page"/>
      </w:r>
    </w:p>
    <w:p w14:paraId="314C5197" w14:textId="2AC6CB6D" w:rsidR="00362862" w:rsidRPr="003B0530" w:rsidRDefault="003B0530" w:rsidP="003B0530">
      <w:pPr>
        <w:spacing w:after="0"/>
        <w:jc w:val="right"/>
        <w:rPr>
          <w:rFonts w:eastAsia="Calibri" w:cs="Times New Roman"/>
          <w:b/>
          <w:bCs/>
          <w:sz w:val="24"/>
          <w:szCs w:val="24"/>
        </w:rPr>
      </w:pPr>
      <w:r w:rsidRPr="003B0530">
        <w:rPr>
          <w:rFonts w:eastAsia="Calibri" w:cs="Times New Roman"/>
          <w:b/>
          <w:bCs/>
          <w:sz w:val="24"/>
          <w:szCs w:val="24"/>
        </w:rPr>
        <w:lastRenderedPageBreak/>
        <w:t>6.</w:t>
      </w:r>
      <w:r w:rsidR="00CA20DA" w:rsidRPr="003B0530">
        <w:rPr>
          <w:rFonts w:eastAsia="Calibri" w:cs="Times New Roman"/>
          <w:b/>
          <w:bCs/>
          <w:sz w:val="24"/>
          <w:szCs w:val="24"/>
        </w:rPr>
        <w:t>p</w:t>
      </w:r>
      <w:r w:rsidR="00362862" w:rsidRPr="003B0530">
        <w:rPr>
          <w:rFonts w:eastAsia="Calibri" w:cs="Times New Roman"/>
          <w:b/>
          <w:bCs/>
          <w:sz w:val="24"/>
          <w:szCs w:val="24"/>
        </w:rPr>
        <w:t>ielikums</w:t>
      </w:r>
    </w:p>
    <w:p w14:paraId="4716FD70" w14:textId="75724301" w:rsidR="00BD425D" w:rsidRDefault="00EC1BA8" w:rsidP="003B0530">
      <w:pPr>
        <w:spacing w:after="0" w:line="240" w:lineRule="auto"/>
        <w:contextualSpacing/>
        <w:jc w:val="right"/>
        <w:rPr>
          <w:rFonts w:cs="Times New Roman"/>
          <w:bCs/>
          <w:sz w:val="24"/>
          <w:szCs w:val="24"/>
        </w:rPr>
      </w:pPr>
      <w:r w:rsidRPr="003B0530">
        <w:rPr>
          <w:rFonts w:eastAsia="Calibri" w:cs="Times New Roman"/>
          <w:b/>
          <w:bCs/>
          <w:sz w:val="24"/>
          <w:szCs w:val="24"/>
        </w:rPr>
        <w:t>EDZL skaidrojums par</w:t>
      </w:r>
      <w:r w:rsidR="00C2187F" w:rsidRPr="003B0530">
        <w:rPr>
          <w:rFonts w:eastAsia="Calibri" w:cs="Times New Roman"/>
          <w:b/>
          <w:bCs/>
          <w:sz w:val="24"/>
          <w:szCs w:val="24"/>
        </w:rPr>
        <w:t xml:space="preserve"> riskiem, kas saistīti ar iesniegto prasību tiesā</w:t>
      </w:r>
      <w:r w:rsidRPr="003B0530">
        <w:rPr>
          <w:rFonts w:eastAsia="Calibri" w:cs="Times New Roman"/>
          <w:b/>
          <w:bCs/>
          <w:sz w:val="24"/>
          <w:szCs w:val="24"/>
        </w:rPr>
        <w:t xml:space="preserve"> </w:t>
      </w:r>
    </w:p>
    <w:p w14:paraId="72FCE6EF" w14:textId="77777777" w:rsidR="003B0530" w:rsidRPr="003B0530" w:rsidRDefault="003B0530" w:rsidP="003B0530">
      <w:pPr>
        <w:spacing w:after="0" w:line="240" w:lineRule="auto"/>
        <w:contextualSpacing/>
        <w:jc w:val="right"/>
        <w:rPr>
          <w:rFonts w:cs="Times New Roman"/>
          <w:bCs/>
          <w:sz w:val="24"/>
          <w:szCs w:val="24"/>
        </w:rPr>
      </w:pPr>
    </w:p>
    <w:p w14:paraId="7A8DFA74" w14:textId="1B3734B3" w:rsidR="00BD425D" w:rsidRDefault="00BD425D" w:rsidP="005C2536">
      <w:pPr>
        <w:spacing w:after="0" w:line="240" w:lineRule="auto"/>
        <w:ind w:firstLine="720"/>
        <w:jc w:val="both"/>
        <w:rPr>
          <w:rFonts w:eastAsia="Times New Roman" w:cs="Times New Roman"/>
          <w:color w:val="000000" w:themeColor="text1"/>
          <w:sz w:val="24"/>
          <w:szCs w:val="24"/>
          <w:lang w:val="lv"/>
        </w:rPr>
      </w:pPr>
      <w:r w:rsidRPr="6075987E">
        <w:rPr>
          <w:rFonts w:eastAsia="Times New Roman" w:cs="Times New Roman"/>
          <w:color w:val="000000" w:themeColor="text1"/>
          <w:sz w:val="24"/>
          <w:szCs w:val="24"/>
          <w:lang w:val="lv"/>
        </w:rPr>
        <w:t>Latvijas Republikas Augstākās tiesas Senāta Administratīvo lietu departamenta judikatūrā par neiegūtās peļņas prasījumiem publisko iepirkumu lietās ir atzīts, ka:</w:t>
      </w:r>
    </w:p>
    <w:p w14:paraId="750925B3" w14:textId="77777777" w:rsidR="00980081" w:rsidRDefault="00980081" w:rsidP="005C2536">
      <w:pPr>
        <w:spacing w:after="0" w:line="240" w:lineRule="auto"/>
        <w:ind w:firstLine="720"/>
        <w:jc w:val="both"/>
        <w:rPr>
          <w:rFonts w:eastAsia="Times New Roman" w:cs="Times New Roman"/>
          <w:color w:val="000000" w:themeColor="text1"/>
          <w:sz w:val="24"/>
          <w:szCs w:val="24"/>
          <w:lang w:val="lv"/>
        </w:rPr>
      </w:pPr>
    </w:p>
    <w:p w14:paraId="33CE1DCA" w14:textId="43CAD523" w:rsidR="00BD425D" w:rsidRDefault="40F78121" w:rsidP="005C2536">
      <w:pPr>
        <w:pStyle w:val="ListParagraph"/>
        <w:numPr>
          <w:ilvl w:val="0"/>
          <w:numId w:val="5"/>
        </w:numPr>
        <w:rPr>
          <w:rFonts w:eastAsia="Times New Roman" w:cs="Times New Roman"/>
          <w:color w:val="000000" w:themeColor="text1"/>
          <w:lang w:val="lv"/>
        </w:rPr>
      </w:pPr>
      <w:r w:rsidRPr="638FD9FE">
        <w:rPr>
          <w:rFonts w:eastAsia="Times New Roman" w:cs="Times New Roman"/>
          <w:i/>
          <w:iCs/>
          <w:color w:val="000000" w:themeColor="text1"/>
          <w:lang w:val="lv"/>
        </w:rPr>
        <w:t>Vērtējot pieteicēja izredzes iepirkumā uzvarēt, jāņem vērā ne tikai pasūtītāja lēmumā norādītie apstākļi, bet arī citi apstākļi, kas šīs izredzes, iespējams, varēja ietekmēt. Secinājumu, ka konkrētā persona noteikti būtu iepirkuma procedūrā uzvarējusi, nevar balstīt vienīgi uz to, ka ir atkritis pasūtītāja lēmumā norādītais šķērslis (tiesai atzīstot šo lēmumu par prettiesisku), ja lietā ir norādes uz vēl citiem apstākļiem, kas, iepirkuma procedūrai noritot tiesiski, liegtu konkrētajai personai uzvarēt</w:t>
      </w:r>
      <w:r w:rsidRPr="638FD9FE">
        <w:rPr>
          <w:rFonts w:eastAsia="Times New Roman" w:cs="Times New Roman"/>
          <w:color w:val="000000" w:themeColor="text1"/>
          <w:lang w:val="lv"/>
        </w:rPr>
        <w:t xml:space="preserve">. </w:t>
      </w:r>
      <w:r w:rsidR="00C2187F" w:rsidRPr="638FD9FE">
        <w:rPr>
          <w:rStyle w:val="FootnoteReference"/>
          <w:rFonts w:eastAsia="Times New Roman" w:cs="Times New Roman"/>
          <w:color w:val="000000" w:themeColor="text1"/>
          <w:lang w:val="lv"/>
        </w:rPr>
        <w:footnoteReference w:id="32"/>
      </w:r>
    </w:p>
    <w:p w14:paraId="0559ACB9" w14:textId="040F168A" w:rsidR="00C2187F" w:rsidRDefault="40F78121" w:rsidP="005C2536">
      <w:pPr>
        <w:pStyle w:val="ListParagraph"/>
        <w:numPr>
          <w:ilvl w:val="0"/>
          <w:numId w:val="5"/>
        </w:numPr>
        <w:rPr>
          <w:rFonts w:eastAsia="Times New Roman" w:cs="Times New Roman"/>
          <w:color w:val="000000" w:themeColor="text1"/>
          <w:lang w:val="lv"/>
        </w:rPr>
      </w:pPr>
      <w:r w:rsidRPr="638FD9FE">
        <w:rPr>
          <w:rFonts w:eastAsia="Times New Roman" w:cs="Times New Roman"/>
          <w:i/>
          <w:iCs/>
          <w:color w:val="000000" w:themeColor="text1"/>
          <w:lang w:val="lv"/>
        </w:rPr>
        <w:t>Zaudējumu atlīdzinājums nevar balstīties uz vispārīgiem pieņēmumiem par iespējamu notikumu attīstības gaitu, ja prettiesiskais lēmums nebūtu pieņemts. Tas nozīmē, ka gan zaudējumu esība, gan cēloņsakarība ir jākonstatē, izvērtējot lietā gūtos pierādījumus, un nav pieļaujams secinājumu par zaudējumu esību un cēloņsakarību izdarīt, balstoties uz pieņēmumiem</w:t>
      </w:r>
      <w:r w:rsidRPr="795D1DF8">
        <w:rPr>
          <w:rFonts w:eastAsia="Times New Roman" w:cs="Times New Roman"/>
          <w:color w:val="000000" w:themeColor="text1"/>
          <w:lang w:val="lv"/>
        </w:rPr>
        <w:t>.</w:t>
      </w:r>
      <w:r w:rsidR="00D15398">
        <w:rPr>
          <w:rStyle w:val="FootnoteReference"/>
          <w:rFonts w:eastAsia="Times New Roman" w:cs="Times New Roman"/>
          <w:color w:val="000000" w:themeColor="text1"/>
          <w:lang w:val="lv"/>
        </w:rPr>
        <w:footnoteReference w:id="33"/>
      </w:r>
      <w:r w:rsidR="62607B4F">
        <w:rPr>
          <w:rFonts w:eastAsia="Times New Roman" w:cs="Times New Roman"/>
          <w:color w:val="000000" w:themeColor="text1"/>
          <w:lang w:val="lv"/>
        </w:rPr>
        <w:t xml:space="preserve"> </w:t>
      </w:r>
    </w:p>
    <w:p w14:paraId="368E8E2C" w14:textId="77777777" w:rsidR="00C2187F" w:rsidRPr="00C2187F" w:rsidRDefault="00C2187F" w:rsidP="005C2536">
      <w:pPr>
        <w:spacing w:after="0" w:line="240" w:lineRule="auto"/>
        <w:rPr>
          <w:rFonts w:eastAsia="Times New Roman" w:cs="Times New Roman"/>
          <w:color w:val="000000" w:themeColor="text1"/>
          <w:szCs w:val="24"/>
          <w:lang w:val="lv"/>
        </w:rPr>
      </w:pPr>
    </w:p>
    <w:p w14:paraId="5C43DC9E" w14:textId="295A4752" w:rsidR="00BD425D" w:rsidRDefault="00BD425D" w:rsidP="005C2536">
      <w:pPr>
        <w:spacing w:after="0" w:line="240" w:lineRule="auto"/>
        <w:ind w:firstLine="720"/>
        <w:jc w:val="both"/>
        <w:rPr>
          <w:rFonts w:eastAsia="Times New Roman" w:cs="Times New Roman"/>
          <w:color w:val="000000" w:themeColor="text1"/>
          <w:sz w:val="24"/>
          <w:szCs w:val="24"/>
          <w:lang w:val="lv"/>
        </w:rPr>
      </w:pPr>
      <w:r w:rsidRPr="6075987E">
        <w:rPr>
          <w:rFonts w:eastAsia="Times New Roman" w:cs="Times New Roman"/>
          <w:color w:val="000000" w:themeColor="text1"/>
          <w:sz w:val="24"/>
          <w:szCs w:val="24"/>
          <w:lang w:val="lv"/>
        </w:rPr>
        <w:t xml:space="preserve">Konkrētajā gadījumā par ICTAS – DOGUS ir saņemta Valsts drošības dienesta negatīva rekomendācija, kas liedz šim pretendentam uzticēt Līguma izpildi. Turklāt, Iepirkuma laikā ICTAS – DOGUS netika uzaicināts uz sarunām, kas bija obligāts priekšnoteikums galīgā piedāvājuma sagatavošanai jeb citiem vārdiem, ICTAS – DOGUS nebija iespēju izstrādāt galīgo piedāvājumu, kas ir nepieciešams, lai būtu iespējams piemērot piedāvājuma vērtēšanas kritērijus, kas noteikti Iepirkuma nolikumā. ICTAS – DOGUS </w:t>
      </w:r>
      <w:r w:rsidR="0013128F">
        <w:rPr>
          <w:rFonts w:eastAsia="Times New Roman" w:cs="Times New Roman"/>
          <w:color w:val="000000" w:themeColor="text1"/>
          <w:sz w:val="24"/>
          <w:szCs w:val="24"/>
          <w:lang w:val="lv"/>
        </w:rPr>
        <w:t>ir tiesības</w:t>
      </w:r>
      <w:r w:rsidRPr="6075987E">
        <w:rPr>
          <w:rFonts w:eastAsia="Times New Roman" w:cs="Times New Roman"/>
          <w:color w:val="000000" w:themeColor="text1"/>
          <w:sz w:val="24"/>
          <w:szCs w:val="24"/>
          <w:lang w:val="lv"/>
        </w:rPr>
        <w:t xml:space="preserve"> celt prasību par </w:t>
      </w:r>
      <w:r w:rsidR="0013128F">
        <w:rPr>
          <w:rFonts w:eastAsia="Times New Roman" w:cs="Times New Roman"/>
          <w:color w:val="000000" w:themeColor="text1"/>
          <w:sz w:val="24"/>
          <w:szCs w:val="24"/>
          <w:lang w:val="lv"/>
        </w:rPr>
        <w:t>zaudējumu (</w:t>
      </w:r>
      <w:r w:rsidRPr="6075987E">
        <w:rPr>
          <w:rFonts w:eastAsia="Times New Roman" w:cs="Times New Roman"/>
          <w:color w:val="000000" w:themeColor="text1"/>
          <w:sz w:val="24"/>
          <w:szCs w:val="24"/>
          <w:lang w:val="lv"/>
        </w:rPr>
        <w:t>negūtās peļņas</w:t>
      </w:r>
      <w:r w:rsidR="0013128F">
        <w:rPr>
          <w:rFonts w:eastAsia="Times New Roman" w:cs="Times New Roman"/>
          <w:color w:val="000000" w:themeColor="text1"/>
          <w:sz w:val="24"/>
          <w:szCs w:val="24"/>
          <w:lang w:val="lv"/>
        </w:rPr>
        <w:t>)</w:t>
      </w:r>
      <w:r w:rsidRPr="6075987E">
        <w:rPr>
          <w:rFonts w:eastAsia="Times New Roman" w:cs="Times New Roman"/>
          <w:color w:val="000000" w:themeColor="text1"/>
          <w:sz w:val="24"/>
          <w:szCs w:val="24"/>
          <w:lang w:val="lv"/>
        </w:rPr>
        <w:t xml:space="preserve"> </w:t>
      </w:r>
      <w:r w:rsidR="0033152D">
        <w:rPr>
          <w:rFonts w:eastAsia="Times New Roman" w:cs="Times New Roman"/>
          <w:color w:val="000000" w:themeColor="text1"/>
          <w:sz w:val="24"/>
          <w:szCs w:val="24"/>
          <w:lang w:val="lv"/>
        </w:rPr>
        <w:t>atgūšanu</w:t>
      </w:r>
      <w:r w:rsidRPr="6075987E">
        <w:rPr>
          <w:rFonts w:eastAsia="Times New Roman" w:cs="Times New Roman"/>
          <w:color w:val="000000" w:themeColor="text1"/>
          <w:sz w:val="24"/>
          <w:szCs w:val="24"/>
          <w:lang w:val="lv"/>
        </w:rPr>
        <w:t xml:space="preserve">, taču, </w:t>
      </w:r>
      <w:r w:rsidR="00667236">
        <w:rPr>
          <w:rFonts w:eastAsia="Times New Roman" w:cs="Times New Roman"/>
          <w:color w:val="000000" w:themeColor="text1"/>
          <w:sz w:val="24"/>
          <w:szCs w:val="24"/>
          <w:lang w:val="lv"/>
        </w:rPr>
        <w:t>ņemot vērā</w:t>
      </w:r>
      <w:r w:rsidR="00667236" w:rsidRPr="6075987E">
        <w:rPr>
          <w:rFonts w:eastAsia="Times New Roman" w:cs="Times New Roman"/>
          <w:color w:val="000000" w:themeColor="text1"/>
          <w:sz w:val="24"/>
          <w:szCs w:val="24"/>
          <w:lang w:val="lv"/>
        </w:rPr>
        <w:t xml:space="preserve"> </w:t>
      </w:r>
      <w:r w:rsidRPr="6075987E">
        <w:rPr>
          <w:rFonts w:eastAsia="Times New Roman" w:cs="Times New Roman"/>
          <w:color w:val="000000" w:themeColor="text1"/>
          <w:sz w:val="24"/>
          <w:szCs w:val="24"/>
          <w:lang w:val="lv"/>
        </w:rPr>
        <w:t xml:space="preserve">iepriekš minēto </w:t>
      </w:r>
      <w:r w:rsidR="00667236">
        <w:rPr>
          <w:rFonts w:eastAsia="Times New Roman" w:cs="Times New Roman"/>
          <w:color w:val="000000" w:themeColor="text1"/>
          <w:sz w:val="24"/>
          <w:szCs w:val="24"/>
          <w:lang w:val="lv"/>
        </w:rPr>
        <w:t>tiesu praksi</w:t>
      </w:r>
      <w:r w:rsidR="00667236" w:rsidRPr="6075987E">
        <w:rPr>
          <w:rFonts w:eastAsia="Times New Roman" w:cs="Times New Roman"/>
          <w:color w:val="000000" w:themeColor="text1"/>
          <w:sz w:val="24"/>
          <w:szCs w:val="24"/>
          <w:lang w:val="lv"/>
        </w:rPr>
        <w:t xml:space="preserve"> </w:t>
      </w:r>
      <w:r w:rsidRPr="6075987E">
        <w:rPr>
          <w:rFonts w:eastAsia="Times New Roman" w:cs="Times New Roman"/>
          <w:color w:val="000000" w:themeColor="text1"/>
          <w:sz w:val="24"/>
          <w:szCs w:val="24"/>
          <w:lang w:val="lv"/>
        </w:rPr>
        <w:t xml:space="preserve">un lietas apstākļus,  ICTAS -DOGUS varbūtība </w:t>
      </w:r>
      <w:r w:rsidR="00290DB1">
        <w:rPr>
          <w:rFonts w:eastAsia="Times New Roman" w:cs="Times New Roman"/>
          <w:color w:val="000000" w:themeColor="text1"/>
          <w:sz w:val="24"/>
          <w:szCs w:val="24"/>
          <w:lang w:val="lv"/>
        </w:rPr>
        <w:t>atgūt</w:t>
      </w:r>
      <w:r w:rsidR="00290DB1" w:rsidRPr="6075987E">
        <w:rPr>
          <w:rFonts w:eastAsia="Times New Roman" w:cs="Times New Roman"/>
          <w:color w:val="000000" w:themeColor="text1"/>
          <w:sz w:val="24"/>
          <w:szCs w:val="24"/>
          <w:lang w:val="lv"/>
        </w:rPr>
        <w:t xml:space="preserve"> </w:t>
      </w:r>
      <w:r w:rsidRPr="6075987E">
        <w:rPr>
          <w:rFonts w:eastAsia="Times New Roman" w:cs="Times New Roman"/>
          <w:color w:val="000000" w:themeColor="text1"/>
          <w:sz w:val="24"/>
          <w:szCs w:val="24"/>
          <w:lang w:val="lv"/>
        </w:rPr>
        <w:t xml:space="preserve">zaudējumus ir vērtējama kritiski. </w:t>
      </w:r>
    </w:p>
    <w:p w14:paraId="32738812" w14:textId="076EEAE3" w:rsidR="00BD425D" w:rsidRDefault="00BD425D" w:rsidP="005C2536">
      <w:pPr>
        <w:spacing w:after="0" w:line="240" w:lineRule="auto"/>
        <w:ind w:firstLine="720"/>
        <w:jc w:val="both"/>
        <w:rPr>
          <w:rFonts w:eastAsia="Times New Roman" w:cs="Times New Roman"/>
          <w:color w:val="000000" w:themeColor="text1"/>
          <w:sz w:val="24"/>
          <w:szCs w:val="24"/>
          <w:lang w:val="lv"/>
        </w:rPr>
      </w:pPr>
      <w:r w:rsidRPr="6075987E">
        <w:rPr>
          <w:rFonts w:eastAsia="Times New Roman" w:cs="Times New Roman"/>
          <w:color w:val="000000" w:themeColor="text1"/>
          <w:sz w:val="24"/>
          <w:szCs w:val="24"/>
          <w:lang w:val="lv"/>
        </w:rPr>
        <w:t xml:space="preserve">Publisko iepirkumu likuma 73.-75.pants paredz iespēju būtisku Publisko iepirkumu likuma pārkāpumu gadījumā (iepirkuma līguma slēgšanas tiesību piešķiršana bez iepirkuma, vai piemērojot neatbilstošu iepirkuma procedūru, vai līgums noslēgts neievērojot nogaidīšanas termiņu, vai pārkāpjot aizliegumu to noslēgt, kamēr Iepirkumu uzraudzības birojs izskata sūdzību) ieinteresētajiem pretendentiem ir tiesības iesniegt pieteikumu Administratīvajā rajona tiesā par noslēgtā iepirkuma līguma atzīšanu par prettiesisku, tā noteikumu grozīšanu vai atcelšanu, tā termiņa saīsināšanu. </w:t>
      </w:r>
    </w:p>
    <w:p w14:paraId="1537D8E2" w14:textId="7F5AC5C1" w:rsidR="00BD425D" w:rsidRDefault="00BD425D" w:rsidP="005C2536">
      <w:pPr>
        <w:spacing w:after="0" w:line="240" w:lineRule="auto"/>
        <w:ind w:firstLine="720"/>
        <w:jc w:val="both"/>
        <w:rPr>
          <w:rFonts w:eastAsia="Times New Roman" w:cs="Times New Roman"/>
          <w:color w:val="000000" w:themeColor="text1"/>
          <w:sz w:val="24"/>
          <w:szCs w:val="24"/>
          <w:lang w:val="lv"/>
        </w:rPr>
      </w:pPr>
      <w:r w:rsidRPr="6075987E">
        <w:rPr>
          <w:rFonts w:eastAsia="Times New Roman" w:cs="Times New Roman"/>
          <w:color w:val="000000" w:themeColor="text1"/>
          <w:sz w:val="24"/>
          <w:szCs w:val="24"/>
          <w:lang w:val="lv"/>
        </w:rPr>
        <w:t>EDZL līguma slēgšanas tiesības ir piešķīrusi Konkursa ar sa</w:t>
      </w:r>
      <w:r w:rsidR="001E60BA">
        <w:rPr>
          <w:rFonts w:eastAsia="Times New Roman" w:cs="Times New Roman"/>
          <w:color w:val="000000" w:themeColor="text1"/>
          <w:sz w:val="24"/>
          <w:szCs w:val="24"/>
          <w:lang w:val="lv"/>
        </w:rPr>
        <w:t>r</w:t>
      </w:r>
      <w:r w:rsidRPr="6075987E">
        <w:rPr>
          <w:rFonts w:eastAsia="Times New Roman" w:cs="Times New Roman"/>
          <w:color w:val="000000" w:themeColor="text1"/>
          <w:sz w:val="24"/>
          <w:szCs w:val="24"/>
          <w:lang w:val="lv"/>
        </w:rPr>
        <w:t xml:space="preserve">unām rezultātā, kas ir </w:t>
      </w:r>
      <w:r w:rsidR="006B25C3">
        <w:rPr>
          <w:rFonts w:eastAsia="Times New Roman" w:cs="Times New Roman"/>
          <w:color w:val="000000" w:themeColor="text1"/>
          <w:sz w:val="24"/>
          <w:szCs w:val="24"/>
          <w:lang w:val="lv"/>
        </w:rPr>
        <w:t xml:space="preserve">noteikta </w:t>
      </w:r>
      <w:r w:rsidRPr="6075987E">
        <w:rPr>
          <w:rFonts w:eastAsia="Times New Roman" w:cs="Times New Roman"/>
          <w:color w:val="000000" w:themeColor="text1"/>
          <w:sz w:val="24"/>
          <w:szCs w:val="24"/>
          <w:lang w:val="lv"/>
        </w:rPr>
        <w:t>Publisko iepirkumu likuma 8.</w:t>
      </w:r>
      <w:r w:rsidR="00294854">
        <w:rPr>
          <w:rFonts w:eastAsia="Times New Roman" w:cs="Times New Roman"/>
          <w:color w:val="000000" w:themeColor="text1"/>
          <w:sz w:val="24"/>
          <w:szCs w:val="24"/>
          <w:lang w:val="lv"/>
        </w:rPr>
        <w:t xml:space="preserve"> </w:t>
      </w:r>
      <w:r w:rsidRPr="6075987E">
        <w:rPr>
          <w:rFonts w:eastAsia="Times New Roman" w:cs="Times New Roman"/>
          <w:color w:val="000000" w:themeColor="text1"/>
          <w:sz w:val="24"/>
          <w:szCs w:val="24"/>
          <w:lang w:val="lv"/>
        </w:rPr>
        <w:t>panta pirmās daļas 3.</w:t>
      </w:r>
      <w:r w:rsidR="00294854">
        <w:rPr>
          <w:rFonts w:eastAsia="Times New Roman" w:cs="Times New Roman"/>
          <w:color w:val="000000" w:themeColor="text1"/>
          <w:sz w:val="24"/>
          <w:szCs w:val="24"/>
          <w:lang w:val="lv"/>
        </w:rPr>
        <w:t xml:space="preserve"> </w:t>
      </w:r>
      <w:r w:rsidRPr="6075987E">
        <w:rPr>
          <w:rFonts w:eastAsia="Times New Roman" w:cs="Times New Roman"/>
          <w:color w:val="000000" w:themeColor="text1"/>
          <w:sz w:val="24"/>
          <w:szCs w:val="24"/>
          <w:lang w:val="lv"/>
        </w:rPr>
        <w:t xml:space="preserve">punktā. Tāpat, EDZL ir ievērojusi visas Publisko iepirkumu likuma prasības par rezultātu paziņošanu. Šo iemeslu dēļ kritiski vērtējama iespēja, ka tiesa varētu apmierināt ICTAS - DOGUS prasījumu, kas ietekmētu Līguma juridisko spēku tā noslēgšanas gadījumā. </w:t>
      </w:r>
    </w:p>
    <w:p w14:paraId="1A880E60" w14:textId="2C242E39" w:rsidR="00BD425D" w:rsidRDefault="00BD425D" w:rsidP="0079358A">
      <w:pPr>
        <w:spacing w:after="0" w:line="240" w:lineRule="auto"/>
        <w:ind w:firstLine="720"/>
        <w:jc w:val="both"/>
        <w:rPr>
          <w:rFonts w:eastAsia="Times New Roman" w:cs="Times New Roman"/>
          <w:color w:val="000000" w:themeColor="text1"/>
          <w:sz w:val="24"/>
          <w:szCs w:val="24"/>
          <w:lang w:val="lv"/>
        </w:rPr>
      </w:pPr>
      <w:r w:rsidRPr="6075987E">
        <w:rPr>
          <w:rFonts w:eastAsia="Times New Roman" w:cs="Times New Roman"/>
          <w:color w:val="000000" w:themeColor="text1"/>
          <w:sz w:val="24"/>
          <w:szCs w:val="24"/>
          <w:lang w:val="lv"/>
        </w:rPr>
        <w:t>Ja Administratīvā tiesa atzītu ICTAS – DOGUS Pieteikumu par pamatotu un apmierināmu, ICTAS – DOGUS pastāv teorētiska iespēja vērsties vispārējās jurisdikcijas tiesā ar prasījumu saskaņā ar Publisko iepirkumu likuma 73.panta sesto daļu, kas noteic, ka “</w:t>
      </w:r>
      <w:r w:rsidRPr="6075987E">
        <w:rPr>
          <w:rFonts w:eastAsia="Times New Roman" w:cs="Times New Roman"/>
          <w:i/>
          <w:iCs/>
          <w:color w:val="000000" w:themeColor="text1"/>
          <w:sz w:val="24"/>
          <w:szCs w:val="24"/>
          <w:lang w:val="lv"/>
        </w:rPr>
        <w:t xml:space="preserve">pieteikuma par iepirkuma līguma vai vispārīgās vienošanās atzīšanu par spēkā neesošu, to noteikumu grozīšanu vai atcelšanu vai iepirkuma līguma vai vispārīgās vienošanās termiņa saīsināšanu pamatā ir </w:t>
      </w:r>
      <w:r w:rsidRPr="6075987E">
        <w:rPr>
          <w:rFonts w:eastAsia="Times New Roman" w:cs="Times New Roman"/>
          <w:i/>
          <w:iCs/>
          <w:color w:val="000000" w:themeColor="text1"/>
          <w:sz w:val="24"/>
          <w:szCs w:val="24"/>
          <w:lang w:val="lv"/>
        </w:rPr>
        <w:lastRenderedPageBreak/>
        <w:t>gadījums, kas nav minēts šā likuma 74. pantā, prasība iesniedzama vispārējās jurisdikcijas tiesā Civilprocesa likumā noteiktajā kārtībā.</w:t>
      </w:r>
      <w:r w:rsidRPr="6075987E">
        <w:rPr>
          <w:rFonts w:eastAsia="Times New Roman" w:cs="Times New Roman"/>
          <w:color w:val="000000" w:themeColor="text1"/>
          <w:sz w:val="24"/>
          <w:szCs w:val="24"/>
          <w:lang w:val="lv"/>
        </w:rPr>
        <w:t xml:space="preserve">” </w:t>
      </w:r>
    </w:p>
    <w:p w14:paraId="6525E9FA" w14:textId="0D84ADC6" w:rsidR="00BD425D" w:rsidRPr="00C2187F" w:rsidRDefault="00BD425D" w:rsidP="005F6E42">
      <w:pPr>
        <w:spacing w:after="0" w:line="240" w:lineRule="auto"/>
        <w:ind w:firstLine="720"/>
        <w:jc w:val="both"/>
        <w:rPr>
          <w:rFonts w:eastAsia="Times New Roman" w:cs="Times New Roman"/>
          <w:color w:val="000000" w:themeColor="text1"/>
          <w:sz w:val="24"/>
          <w:szCs w:val="24"/>
          <w:lang w:val="lv"/>
        </w:rPr>
      </w:pPr>
      <w:r w:rsidRPr="6075987E">
        <w:rPr>
          <w:rFonts w:eastAsia="Times New Roman" w:cs="Times New Roman"/>
          <w:color w:val="000000" w:themeColor="text1"/>
          <w:sz w:val="24"/>
          <w:szCs w:val="24"/>
          <w:lang w:val="lv"/>
        </w:rPr>
        <w:t xml:space="preserve">Ievērojot, to, ka Administratīvā rajona tiesa, balstoties uz Latvijas Republikas Augstākās tiesas judikatūras atziņām par Valsts drošības dienesta negatīvas rekomendācijas tiesiskajām sekām iepirkumos, ir atzinusi, ka pirmšķietami EDZL un Iepirkumu uzraudzības birojs ir rīkojušies tiesiski, pārsūdzētā lēmuma prettiesiskuma konstatēšanas varbūtība ir </w:t>
      </w:r>
      <w:r>
        <w:rPr>
          <w:rFonts w:eastAsia="Times New Roman" w:cs="Times New Roman"/>
          <w:color w:val="000000" w:themeColor="text1"/>
          <w:sz w:val="24"/>
          <w:szCs w:val="24"/>
          <w:lang w:val="lv"/>
        </w:rPr>
        <w:t>zemāka.</w:t>
      </w:r>
    </w:p>
    <w:p w14:paraId="222D531D" w14:textId="5B3C8126" w:rsidR="00484D99" w:rsidRPr="00484D99" w:rsidRDefault="00484D99" w:rsidP="00484D99">
      <w:pPr>
        <w:rPr>
          <w:rFonts w:eastAsiaTheme="minorEastAsia" w:cs="Times New Roman"/>
          <w:lang w:eastAsia="lv-LV"/>
        </w:rPr>
      </w:pPr>
    </w:p>
    <w:p w14:paraId="4330FD9C" w14:textId="5B3C8126" w:rsidR="00DA35D1" w:rsidRPr="001A755E" w:rsidRDefault="00DA35D1" w:rsidP="00056AFE">
      <w:pPr>
        <w:spacing w:after="0" w:line="240" w:lineRule="auto"/>
        <w:contextualSpacing/>
        <w:jc w:val="both"/>
        <w:rPr>
          <w:rFonts w:cs="Times New Roman"/>
          <w:bCs/>
          <w:sz w:val="24"/>
          <w:szCs w:val="24"/>
        </w:rPr>
      </w:pPr>
    </w:p>
    <w:sectPr w:rsidR="00DA35D1" w:rsidRPr="001A755E" w:rsidSect="00525D52">
      <w:type w:val="continuous"/>
      <w:pgSz w:w="11906" w:h="16838"/>
      <w:pgMar w:top="2098" w:right="1077" w:bottom="737" w:left="1418" w:header="709" w:footer="47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AF9FE" w14:textId="77777777" w:rsidR="00A6173F" w:rsidRDefault="00A6173F" w:rsidP="00B95B0A">
      <w:pPr>
        <w:spacing w:after="0" w:line="240" w:lineRule="auto"/>
      </w:pPr>
      <w:r>
        <w:separator/>
      </w:r>
    </w:p>
  </w:endnote>
  <w:endnote w:type="continuationSeparator" w:id="0">
    <w:p w14:paraId="09E4DD1A" w14:textId="77777777" w:rsidR="00A6173F" w:rsidRDefault="00A6173F" w:rsidP="00B95B0A">
      <w:pPr>
        <w:spacing w:after="0" w:line="240" w:lineRule="auto"/>
      </w:pPr>
      <w:r>
        <w:continuationSeparator/>
      </w:r>
    </w:p>
  </w:endnote>
  <w:endnote w:type="continuationNotice" w:id="1">
    <w:p w14:paraId="08E666C7" w14:textId="77777777" w:rsidR="00A6173F" w:rsidRDefault="00A61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F57B" w14:textId="77777777" w:rsidR="001F1E4C" w:rsidRDefault="001F1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176447"/>
      <w:docPartObj>
        <w:docPartGallery w:val="Page Numbers (Bottom of Page)"/>
        <w:docPartUnique/>
      </w:docPartObj>
    </w:sdtPr>
    <w:sdtEndPr>
      <w:rPr>
        <w:noProof/>
        <w:sz w:val="24"/>
        <w:szCs w:val="20"/>
      </w:rPr>
    </w:sdtEndPr>
    <w:sdtContent>
      <w:p w14:paraId="767B4211" w14:textId="09B895C0" w:rsidR="004B0786" w:rsidRDefault="004B0786" w:rsidP="004B0786">
        <w:pPr>
          <w:pStyle w:val="Footer"/>
          <w:jc w:val="center"/>
          <w:rPr>
            <w:strike/>
            <w:sz w:val="24"/>
            <w:szCs w:val="20"/>
          </w:rPr>
        </w:pPr>
        <w:r w:rsidRPr="001F1E4C">
          <w:rPr>
            <w:strike/>
            <w:sz w:val="24"/>
            <w:szCs w:val="20"/>
          </w:rPr>
          <w:t>IEROBEŽOTA PIEEJAMĪBA</w:t>
        </w:r>
      </w:p>
      <w:p w14:paraId="7917D86E" w14:textId="47E4EA94" w:rsidR="001F1E4C" w:rsidRPr="001F1E4C" w:rsidRDefault="001F1E4C" w:rsidP="001F1E4C">
        <w:pPr>
          <w:pStyle w:val="Header"/>
          <w:jc w:val="center"/>
          <w:rPr>
            <w:sz w:val="24"/>
            <w:szCs w:val="20"/>
          </w:rPr>
        </w:pPr>
        <w:r w:rsidRPr="003C131E">
          <w:rPr>
            <w:sz w:val="24"/>
            <w:szCs w:val="20"/>
          </w:rPr>
          <w:t>NAV KLASIFICĒTS</w:t>
        </w:r>
      </w:p>
      <w:p w14:paraId="45BC8D11" w14:textId="7AB9C0E0" w:rsidR="00DA3EB9" w:rsidRPr="008B1FA2" w:rsidRDefault="00DA3EB9">
        <w:pPr>
          <w:pStyle w:val="Footer"/>
          <w:jc w:val="right"/>
          <w:rPr>
            <w:sz w:val="24"/>
            <w:szCs w:val="20"/>
          </w:rPr>
        </w:pPr>
        <w:r w:rsidRPr="008B1FA2">
          <w:rPr>
            <w:sz w:val="24"/>
            <w:szCs w:val="20"/>
          </w:rPr>
          <w:fldChar w:fldCharType="begin"/>
        </w:r>
        <w:r w:rsidRPr="008B1FA2">
          <w:rPr>
            <w:sz w:val="24"/>
            <w:szCs w:val="20"/>
          </w:rPr>
          <w:instrText xml:space="preserve"> PAGE   \* MERGEFORMAT </w:instrText>
        </w:r>
        <w:r w:rsidRPr="008B1FA2">
          <w:rPr>
            <w:sz w:val="24"/>
            <w:szCs w:val="20"/>
          </w:rPr>
          <w:fldChar w:fldCharType="separate"/>
        </w:r>
        <w:r w:rsidRPr="008B1FA2">
          <w:rPr>
            <w:noProof/>
            <w:sz w:val="24"/>
            <w:szCs w:val="20"/>
          </w:rPr>
          <w:t>2</w:t>
        </w:r>
        <w:r w:rsidRPr="008B1FA2">
          <w:rPr>
            <w:noProof/>
            <w:sz w:val="24"/>
            <w:szCs w:val="20"/>
          </w:rPr>
          <w:fldChar w:fldCharType="end"/>
        </w:r>
      </w:p>
    </w:sdtContent>
  </w:sdt>
  <w:p w14:paraId="242D00CB" w14:textId="33ED5A94" w:rsidR="00290C84" w:rsidRPr="004B0786" w:rsidRDefault="00C87AB8" w:rsidP="00DA3EB9">
    <w:pPr>
      <w:pStyle w:val="Footer"/>
      <w:tabs>
        <w:tab w:val="left" w:pos="225"/>
      </w:tabs>
      <w:rPr>
        <w:sz w:val="20"/>
        <w:szCs w:val="20"/>
      </w:rPr>
    </w:pPr>
    <w:r w:rsidRPr="00C87AB8">
      <w:rPr>
        <w:sz w:val="20"/>
        <w:szCs w:val="20"/>
      </w:rPr>
      <w:t>SMzin_RB</w:t>
    </w:r>
    <w:r w:rsidR="00F1171F">
      <w:rPr>
        <w:sz w:val="20"/>
        <w:szCs w:val="20"/>
      </w:rPr>
      <w:t>buvn</w:t>
    </w:r>
    <w:r w:rsidR="00DA3EB9" w:rsidRPr="004B0786">
      <w:rPr>
        <w:sz w:val="20"/>
        <w:szCs w:val="20"/>
      </w:rPr>
      <w:tab/>
    </w:r>
    <w:r w:rsidR="00DA3EB9" w:rsidRPr="004B0786">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7270" w14:textId="77777777" w:rsidR="001F1E4C" w:rsidRDefault="001F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43D5" w14:textId="77777777" w:rsidR="00A6173F" w:rsidRDefault="00A6173F" w:rsidP="00B95B0A">
      <w:pPr>
        <w:spacing w:after="0" w:line="240" w:lineRule="auto"/>
      </w:pPr>
      <w:r>
        <w:separator/>
      </w:r>
    </w:p>
  </w:footnote>
  <w:footnote w:type="continuationSeparator" w:id="0">
    <w:p w14:paraId="20D23B83" w14:textId="77777777" w:rsidR="00A6173F" w:rsidRDefault="00A6173F" w:rsidP="00B95B0A">
      <w:pPr>
        <w:spacing w:after="0" w:line="240" w:lineRule="auto"/>
      </w:pPr>
      <w:r>
        <w:continuationSeparator/>
      </w:r>
    </w:p>
  </w:footnote>
  <w:footnote w:type="continuationNotice" w:id="1">
    <w:p w14:paraId="43EE7C1F" w14:textId="77777777" w:rsidR="00A6173F" w:rsidRDefault="00A6173F">
      <w:pPr>
        <w:spacing w:after="0" w:line="240" w:lineRule="auto"/>
      </w:pPr>
    </w:p>
  </w:footnote>
  <w:footnote w:id="2">
    <w:p w14:paraId="344069D1" w14:textId="550F1130" w:rsidR="0595A900" w:rsidRPr="0031329A" w:rsidRDefault="0595A900" w:rsidP="004876D3">
      <w:pPr>
        <w:pStyle w:val="FootnoteText"/>
        <w:jc w:val="both"/>
      </w:pPr>
      <w:r w:rsidRPr="0031329A">
        <w:rPr>
          <w:rStyle w:val="FootnoteReference"/>
        </w:rPr>
        <w:footnoteRef/>
      </w:r>
      <w:r w:rsidR="6075987E" w:rsidRPr="0031329A">
        <w:t xml:space="preserve"> Pilns Iepirkuma komisijas sastāvs pievienots </w:t>
      </w:r>
      <w:r w:rsidR="002D6540">
        <w:t>3. p</w:t>
      </w:r>
      <w:r w:rsidR="6075987E" w:rsidRPr="0031329A">
        <w:t>ielikumā.</w:t>
      </w:r>
    </w:p>
  </w:footnote>
  <w:footnote w:id="3">
    <w:p w14:paraId="19226249" w14:textId="063FA0FB" w:rsidR="0595A900" w:rsidRDefault="0595A900" w:rsidP="004876D3">
      <w:pPr>
        <w:pStyle w:val="FootnoteText"/>
        <w:jc w:val="both"/>
      </w:pPr>
      <w:r w:rsidRPr="0031329A">
        <w:rPr>
          <w:rStyle w:val="FootnoteReference"/>
        </w:rPr>
        <w:footnoteRef/>
      </w:r>
      <w:r w:rsidR="005F0AF0" w:rsidRPr="0031329A">
        <w:t xml:space="preserve"> </w:t>
      </w:r>
      <w:r w:rsidR="00A87DE2" w:rsidRPr="0031329A">
        <w:t xml:space="preserve">Piesaistīto konsultantu </w:t>
      </w:r>
      <w:r w:rsidR="00DA35D1" w:rsidRPr="0031329A">
        <w:t xml:space="preserve">saraksts pieejams </w:t>
      </w:r>
      <w:r w:rsidR="002670F0">
        <w:t>4. p</w:t>
      </w:r>
      <w:r w:rsidR="00DA35D1" w:rsidRPr="0031329A">
        <w:t>ielikumā.</w:t>
      </w:r>
    </w:p>
    <w:p w14:paraId="6860DD5C" w14:textId="77777777" w:rsidR="0031329A" w:rsidRDefault="0031329A" w:rsidP="004876D3">
      <w:pPr>
        <w:pStyle w:val="FootnoteText"/>
        <w:jc w:val="both"/>
        <w:rPr>
          <w:sz w:val="16"/>
          <w:szCs w:val="16"/>
        </w:rPr>
      </w:pPr>
    </w:p>
  </w:footnote>
  <w:footnote w:id="4">
    <w:p w14:paraId="00F69C92" w14:textId="359592BD" w:rsidR="009C0D9B" w:rsidRDefault="009C0D9B" w:rsidP="004876D3">
      <w:pPr>
        <w:pStyle w:val="FootnoteText"/>
        <w:jc w:val="both"/>
      </w:pPr>
      <w:r>
        <w:rPr>
          <w:rStyle w:val="FootnoteReference"/>
        </w:rPr>
        <w:footnoteRef/>
      </w:r>
      <w:r>
        <w:t xml:space="preserve"> EDZL skaidrojums par</w:t>
      </w:r>
      <w:r w:rsidR="00BE56E7">
        <w:t xml:space="preserve"> iesniegtajām prasībām un</w:t>
      </w:r>
      <w:r>
        <w:t xml:space="preserve"> pieņemto tiesas lēmumu pieejams</w:t>
      </w:r>
      <w:r w:rsidR="00B1408E">
        <w:t xml:space="preserve"> </w:t>
      </w:r>
      <w:r w:rsidR="00460B6E">
        <w:t>5.</w:t>
      </w:r>
      <w:r>
        <w:t xml:space="preserve"> </w:t>
      </w:r>
      <w:r w:rsidR="00B1408E">
        <w:t>pielikumā.</w:t>
      </w:r>
    </w:p>
    <w:p w14:paraId="4562BE7D" w14:textId="77777777" w:rsidR="0031329A" w:rsidRDefault="0031329A" w:rsidP="004876D3">
      <w:pPr>
        <w:pStyle w:val="FootnoteText"/>
        <w:jc w:val="both"/>
      </w:pPr>
    </w:p>
  </w:footnote>
  <w:footnote w:id="5">
    <w:p w14:paraId="7C601B98" w14:textId="62B67EC8" w:rsidR="0595A900" w:rsidRDefault="0595A900" w:rsidP="004876D3">
      <w:pPr>
        <w:pStyle w:val="FootnoteText"/>
        <w:jc w:val="both"/>
      </w:pPr>
      <w:r w:rsidRPr="0595A900">
        <w:rPr>
          <w:rStyle w:val="FootnoteReference"/>
        </w:rPr>
        <w:footnoteRef/>
      </w:r>
      <w:r>
        <w:t xml:space="preserve"> Ņemot vērā 2023. gad</w:t>
      </w:r>
      <w:r w:rsidR="002E18CA">
        <w:t xml:space="preserve">a </w:t>
      </w:r>
      <w:r w:rsidR="00F46AB9">
        <w:t xml:space="preserve">projekta </w:t>
      </w:r>
      <w:r w:rsidR="00F46AB9" w:rsidRPr="00F46AB9">
        <w:t>izmaksu</w:t>
      </w:r>
      <w:r w:rsidR="00D515F1">
        <w:t xml:space="preserve"> – </w:t>
      </w:r>
      <w:r w:rsidR="00F46AB9" w:rsidRPr="00F46AB9">
        <w:t>ieguvumu analīzi</w:t>
      </w:r>
      <w:r>
        <w:t xml:space="preserve">, </w:t>
      </w:r>
      <w:r w:rsidRPr="002E18CA">
        <w:rPr>
          <w:i/>
          <w:iCs/>
        </w:rPr>
        <w:t>Delivery Programme 2030</w:t>
      </w:r>
      <w:r>
        <w:t xml:space="preserve"> tiks aktualizēta, samazinot projektā ieviešamās aktivitātes līdz 2030. gadam.</w:t>
      </w:r>
    </w:p>
    <w:p w14:paraId="5C361970" w14:textId="77777777" w:rsidR="00BA4FD7" w:rsidRDefault="00BA4FD7" w:rsidP="004876D3">
      <w:pPr>
        <w:pStyle w:val="FootnoteText"/>
        <w:jc w:val="both"/>
      </w:pPr>
    </w:p>
  </w:footnote>
  <w:footnote w:id="6">
    <w:p w14:paraId="11C66345" w14:textId="0E2AA6E3" w:rsidR="00C76CB1" w:rsidRDefault="00C76CB1" w:rsidP="004876D3">
      <w:pPr>
        <w:pStyle w:val="FootnoteText"/>
        <w:jc w:val="both"/>
      </w:pPr>
      <w:r>
        <w:rPr>
          <w:rStyle w:val="FootnoteReference"/>
        </w:rPr>
        <w:footnoteRef/>
      </w:r>
      <w:r>
        <w:t xml:space="preserve"> </w:t>
      </w:r>
      <w:r w:rsidRPr="00C76CB1">
        <w:t xml:space="preserve">Lai novērtētu  piedāvāto līgumcenu, salīdzinājumam ir izmantojamas vidējās kilometra izmaksas, kas konkrētajā gadījumā ir: 19,5 milj EUR/km  (230 km, kopējā summa 4,476 miljardi EUR ar PVN). Bez PVN 16 miljoni EUR/km (230 km, kopējā līguma summa 3,699 miljardi bez PVN). Secināms, ka šādas izmaksas ir samērīgas, salīdzinot ar vidējām kilometra izmaksām Eiropā līdzīgos projektos vidēji 24 </w:t>
      </w:r>
      <w:r w:rsidR="00D515F1">
        <w:t xml:space="preserve">– </w:t>
      </w:r>
      <w:r w:rsidRPr="00C76CB1">
        <w:t xml:space="preserve">32 miljoni EUR/km). </w:t>
      </w:r>
      <w:r w:rsidR="008A66AA">
        <w:t>Vienlaikus,</w:t>
      </w:r>
      <w:r w:rsidRPr="00C76CB1">
        <w:t xml:space="preserve"> jāņem vērā, ka Līgumcenā nav ietvertas konsolidēto materiālu izmaksas un apakšsistēmu būvniecība (CCS, ENE).</w:t>
      </w:r>
    </w:p>
  </w:footnote>
  <w:footnote w:id="7">
    <w:p w14:paraId="5448CE01" w14:textId="5F1103A8" w:rsidR="0595A900" w:rsidRDefault="0595A900" w:rsidP="004876D3">
      <w:pPr>
        <w:pStyle w:val="FootnoteText"/>
        <w:jc w:val="both"/>
        <w:rPr>
          <w:rFonts w:ascii="Segoe UI" w:eastAsia="Segoe UI" w:hAnsi="Segoe UI" w:cs="Segoe UI"/>
          <w:color w:val="F3F2F1"/>
          <w:sz w:val="18"/>
          <w:szCs w:val="18"/>
        </w:rPr>
      </w:pPr>
      <w:r w:rsidRPr="0595A900">
        <w:rPr>
          <w:rStyle w:val="FootnoteReference"/>
        </w:rPr>
        <w:footnoteRef/>
      </w:r>
      <w:r>
        <w:t xml:space="preserve"> B</w:t>
      </w:r>
      <w:r w:rsidRPr="00920310">
        <w:t>ūvprojektu izskatīšanas un būvdarbu sagatavošanas fāze.</w:t>
      </w:r>
    </w:p>
  </w:footnote>
  <w:footnote w:id="8">
    <w:p w14:paraId="072E2958" w14:textId="3564F9E6" w:rsidR="0595A900" w:rsidRDefault="0595A900" w:rsidP="004876D3">
      <w:pPr>
        <w:pStyle w:val="FootnoteText"/>
        <w:jc w:val="both"/>
      </w:pPr>
      <w:r w:rsidRPr="0595A900">
        <w:rPr>
          <w:rStyle w:val="FootnoteReference"/>
        </w:rPr>
        <w:footnoteRef/>
      </w:r>
      <w:r>
        <w:t xml:space="preserve"> </w:t>
      </w:r>
      <w:r w:rsidR="00920310">
        <w:t>Izmaksas par konsolidēto materiālu iegādi sedz</w:t>
      </w:r>
      <w:r w:rsidRPr="0595A900">
        <w:t xml:space="preserve"> RBR.</w:t>
      </w:r>
    </w:p>
  </w:footnote>
  <w:footnote w:id="9">
    <w:p w14:paraId="5AF621A6" w14:textId="3C34EA42" w:rsidR="0595A900" w:rsidRDefault="0595A900" w:rsidP="004876D3">
      <w:pPr>
        <w:pStyle w:val="FootnoteText"/>
        <w:jc w:val="both"/>
      </w:pPr>
      <w:r w:rsidRPr="0595A900">
        <w:rPr>
          <w:rStyle w:val="FootnoteReference"/>
        </w:rPr>
        <w:footnoteRef/>
      </w:r>
      <w:r>
        <w:t xml:space="preserve"> Šis finansējums nepieciešams tikai gadījumos, kuros būvobjekti finansējuma trūkuma vai </w:t>
      </w:r>
      <w:r w:rsidR="00314090">
        <w:t>kavējumu</w:t>
      </w:r>
      <w:r>
        <w:t xml:space="preserve"> dēļ nonākuši dīkstāvē.</w:t>
      </w:r>
    </w:p>
  </w:footnote>
  <w:footnote w:id="10">
    <w:p w14:paraId="13560311" w14:textId="03271A8E" w:rsidR="00FE1B52" w:rsidRDefault="00FE1B52" w:rsidP="004876D3">
      <w:pPr>
        <w:pStyle w:val="FootnoteText"/>
        <w:jc w:val="both"/>
      </w:pPr>
      <w:r>
        <w:rPr>
          <w:rStyle w:val="FootnoteReference"/>
        </w:rPr>
        <w:footnoteRef/>
      </w:r>
      <w:r>
        <w:t xml:space="preserve"> </w:t>
      </w:r>
      <w:r w:rsidR="00CB0EB8" w:rsidRPr="00CB0EB8">
        <w:t>Nolīgums par līgumu slēgšanas shēmu</w:t>
      </w:r>
      <w:r w:rsidR="002F635D">
        <w:rPr>
          <w:rFonts w:eastAsiaTheme="minorEastAsia"/>
          <w:color w:val="000000"/>
        </w:rPr>
        <w:t xml:space="preserve">, 30.10.2016., </w:t>
      </w:r>
      <w:r w:rsidR="007D4D73">
        <w:rPr>
          <w:rFonts w:eastAsiaTheme="minorEastAsia"/>
          <w:color w:val="000000"/>
        </w:rPr>
        <w:t>4.1</w:t>
      </w:r>
      <w:r w:rsidR="00B92BC7">
        <w:rPr>
          <w:rFonts w:eastAsiaTheme="minorEastAsia"/>
          <w:color w:val="000000"/>
        </w:rPr>
        <w:t>.1</w:t>
      </w:r>
      <w:r w:rsidR="00D60046">
        <w:rPr>
          <w:rFonts w:eastAsiaTheme="minorEastAsia"/>
          <w:color w:val="000000"/>
        </w:rPr>
        <w:t>.</w:t>
      </w:r>
      <w:r w:rsidR="003169F8">
        <w:rPr>
          <w:rFonts w:eastAsiaTheme="minorEastAsia"/>
          <w:color w:val="000000"/>
        </w:rPr>
        <w:t xml:space="preserve">(b) </w:t>
      </w:r>
      <w:r w:rsidR="00B14EBB">
        <w:rPr>
          <w:rFonts w:eastAsiaTheme="minorEastAsia"/>
          <w:color w:val="000000"/>
        </w:rPr>
        <w:t>punkts.</w:t>
      </w:r>
    </w:p>
  </w:footnote>
  <w:footnote w:id="11">
    <w:p w14:paraId="6D583355" w14:textId="51EDC599" w:rsidR="003428C6" w:rsidRPr="002A7C3E" w:rsidRDefault="003428C6" w:rsidP="004876D3">
      <w:pPr>
        <w:pStyle w:val="FootnoteText"/>
        <w:contextualSpacing/>
        <w:jc w:val="both"/>
      </w:pPr>
      <w:r w:rsidRPr="002A7C3E">
        <w:rPr>
          <w:rStyle w:val="FootnoteReference"/>
        </w:rPr>
        <w:footnoteRef/>
      </w:r>
      <w:r w:rsidRPr="002A7C3E">
        <w:t xml:space="preserve"> MK sēde Nr.5, 31.01.2023, 22-TA-3151 (IP) 43.§ 3.punkts.</w:t>
      </w:r>
    </w:p>
  </w:footnote>
  <w:footnote w:id="12">
    <w:p w14:paraId="2EE7F43C" w14:textId="59AB0933" w:rsidR="009A1BCD" w:rsidRPr="002A7C3E" w:rsidRDefault="009A1BCD" w:rsidP="004876D3">
      <w:pPr>
        <w:pStyle w:val="FootnoteText"/>
        <w:contextualSpacing/>
        <w:jc w:val="both"/>
      </w:pPr>
      <w:r w:rsidRPr="002A7C3E">
        <w:rPr>
          <w:rStyle w:val="FootnoteReference"/>
        </w:rPr>
        <w:footnoteRef/>
      </w:r>
      <w:r w:rsidRPr="002A7C3E">
        <w:t xml:space="preserve"> </w:t>
      </w:r>
      <w:r w:rsidRPr="002A7C3E">
        <w:rPr>
          <w:bCs/>
        </w:rPr>
        <w:t>MK</w:t>
      </w:r>
      <w:r w:rsidRPr="002A7C3E">
        <w:rPr>
          <w:b/>
        </w:rPr>
        <w:t xml:space="preserve"> s</w:t>
      </w:r>
      <w:r w:rsidRPr="0081007E">
        <w:rPr>
          <w:color w:val="000000"/>
          <w:lang w:eastAsia="en-GB"/>
        </w:rPr>
        <w:t>ēde Nr.1, 10.01.2023, 22-TA-3612 (IP) 36.§ 3.punkts</w:t>
      </w:r>
    </w:p>
  </w:footnote>
  <w:footnote w:id="13">
    <w:p w14:paraId="61BFBA50" w14:textId="77777777" w:rsidR="00546C55" w:rsidRPr="002A7C3E" w:rsidRDefault="00546C55" w:rsidP="004876D3">
      <w:pPr>
        <w:pStyle w:val="FootnoteText"/>
        <w:contextualSpacing/>
        <w:jc w:val="both"/>
      </w:pPr>
      <w:r w:rsidRPr="002A7C3E">
        <w:rPr>
          <w:rStyle w:val="FootnoteReference"/>
        </w:rPr>
        <w:footnoteRef/>
      </w:r>
      <w:r w:rsidRPr="002A7C3E">
        <w:t xml:space="preserve"> </w:t>
      </w:r>
      <w:r w:rsidRPr="0081007E">
        <w:rPr>
          <w:lang w:val="lv"/>
        </w:rPr>
        <w:t>Ministru kabineta ar Rail Baltica projekta īstenošanu saistīto starpnozaru jautājumu risināšanas tematiskās komitejas 2023. gada 7. jūlija sēdes Nr.2 protokola 2.</w:t>
      </w:r>
      <w:r>
        <w:rPr>
          <w:lang w:val="lv"/>
        </w:rPr>
        <w:t>punkts cita starpā noteic, ka nepieciešams k</w:t>
      </w:r>
      <w:r w:rsidRPr="00B106F1">
        <w:rPr>
          <w:lang w:val="lv"/>
        </w:rPr>
        <w:t>onceptuāli atbalstīt sarunu turpināšanu ar Igauniju un Lietuvu par kopīgas pozīcijas definēšanu, lai vestu sarunas ar Eiropas Komisijas</w:t>
      </w:r>
      <w:r>
        <w:rPr>
          <w:lang w:val="lv"/>
        </w:rPr>
        <w:t xml:space="preserve"> (EK)</w:t>
      </w:r>
      <w:r w:rsidRPr="00B106F1">
        <w:rPr>
          <w:lang w:val="lv"/>
        </w:rPr>
        <w:t xml:space="preserve"> pārstāvjiem par Rail Baltica finansēšanas modeļa jautājumiem</w:t>
      </w:r>
      <w:r>
        <w:rPr>
          <w:lang w:val="lv"/>
        </w:rPr>
        <w:t>, kā arī k</w:t>
      </w:r>
      <w:r w:rsidRPr="00B106F1">
        <w:rPr>
          <w:lang w:val="lv"/>
        </w:rPr>
        <w:t xml:space="preserve">onceptuāli atbalstīt pārrunu vešanu ar </w:t>
      </w:r>
      <w:r>
        <w:rPr>
          <w:lang w:val="lv"/>
        </w:rPr>
        <w:t>EK</w:t>
      </w:r>
      <w:r w:rsidRPr="00B106F1">
        <w:rPr>
          <w:lang w:val="lv"/>
        </w:rPr>
        <w:t xml:space="preserve"> pārstāvjiem</w:t>
      </w:r>
      <w:r>
        <w:rPr>
          <w:lang w:val="lv"/>
        </w:rPr>
        <w:t xml:space="preserve"> šādos jautājumos: 1) par </w:t>
      </w:r>
      <w:r w:rsidRPr="00B106F1">
        <w:rPr>
          <w:lang w:val="lv"/>
        </w:rPr>
        <w:t xml:space="preserve">Rail Baltica projekta finansēšanas iespējām no dažādiem </w:t>
      </w:r>
      <w:r>
        <w:rPr>
          <w:lang w:val="lv"/>
        </w:rPr>
        <w:t>ES</w:t>
      </w:r>
      <w:r w:rsidRPr="00B106F1">
        <w:rPr>
          <w:lang w:val="lv"/>
        </w:rPr>
        <w:t xml:space="preserve"> fondu līdzekļiem (CEF, militārā mobilitāte u.c.) esošā </w:t>
      </w:r>
      <w:r>
        <w:rPr>
          <w:lang w:val="lv"/>
        </w:rPr>
        <w:t>ES</w:t>
      </w:r>
      <w:r w:rsidRPr="00B106F1">
        <w:rPr>
          <w:lang w:val="lv"/>
        </w:rPr>
        <w:t xml:space="preserve"> daudzgadu budžeta perioda ietvaros, kā arī jaunā finansēšanas perioda ietvaros pēc 2027. gada; </w:t>
      </w:r>
      <w:r>
        <w:rPr>
          <w:lang w:val="lv"/>
        </w:rPr>
        <w:t xml:space="preserve">2) </w:t>
      </w:r>
      <w:r w:rsidRPr="00B106F1">
        <w:rPr>
          <w:lang w:val="lv"/>
        </w:rPr>
        <w:t>par potenciāliem izņēmumiem projektam ES fondu izmaksu attiecināšanas kārtībā; 3</w:t>
      </w:r>
      <w:r>
        <w:rPr>
          <w:lang w:val="lv"/>
        </w:rPr>
        <w:t xml:space="preserve">) </w:t>
      </w:r>
      <w:r w:rsidRPr="00B106F1">
        <w:rPr>
          <w:lang w:val="lv"/>
        </w:rPr>
        <w:t xml:space="preserve">par </w:t>
      </w:r>
      <w:r>
        <w:rPr>
          <w:lang w:val="lv"/>
        </w:rPr>
        <w:t>EK</w:t>
      </w:r>
      <w:r w:rsidRPr="00B106F1">
        <w:rPr>
          <w:lang w:val="lv"/>
        </w:rPr>
        <w:t xml:space="preserve"> atbalstu un potenciālām alternatīvām fiskālajiem risinājumiem Rail Baltica projekta ieviešanas finansēšanai, tai skaitā fiskālās telpas izņēmumu Rail Baltica projektam;</w:t>
      </w:r>
      <w:r>
        <w:rPr>
          <w:lang w:val="lv"/>
        </w:rPr>
        <w:t xml:space="preserve"> 4) par to, </w:t>
      </w:r>
      <w:r w:rsidRPr="00B106F1">
        <w:rPr>
          <w:lang w:val="lv"/>
        </w:rPr>
        <w:t>ka Rail Baltica projekts tiek saglabāts kā prioritārais projekts arī CEF III Regulas ietvaros.</w:t>
      </w:r>
      <w:r>
        <w:rPr>
          <w:lang w:val="lv"/>
        </w:rPr>
        <w:t xml:space="preserve"> Protokola 3.4. punkts noteic, ka a</w:t>
      </w:r>
      <w:r w:rsidRPr="000D2A8F">
        <w:rPr>
          <w:lang w:val="lv"/>
        </w:rPr>
        <w:t xml:space="preserve">tbildīgajām ministrijām savas kompetences ietvaros </w:t>
      </w:r>
      <w:r>
        <w:rPr>
          <w:lang w:val="lv"/>
        </w:rPr>
        <w:t>jā</w:t>
      </w:r>
      <w:r w:rsidRPr="000D2A8F">
        <w:rPr>
          <w:lang w:val="lv"/>
        </w:rPr>
        <w:t xml:space="preserve">sekmē finansēšanas avota rašanu no </w:t>
      </w:r>
      <w:r>
        <w:rPr>
          <w:lang w:val="lv"/>
        </w:rPr>
        <w:t>ES</w:t>
      </w:r>
      <w:r w:rsidRPr="000D2A8F">
        <w:rPr>
          <w:lang w:val="lv"/>
        </w:rPr>
        <w:t xml:space="preserve"> fondiem Rail Baltica projekta īstenošanai.</w:t>
      </w:r>
    </w:p>
  </w:footnote>
  <w:footnote w:id="14">
    <w:p w14:paraId="298D1D25" w14:textId="01850F9C" w:rsidR="00FF2A24" w:rsidRDefault="00FF2A24" w:rsidP="00FF2A24">
      <w:pPr>
        <w:pStyle w:val="FootnoteText"/>
        <w:jc w:val="both"/>
      </w:pPr>
      <w:r>
        <w:rPr>
          <w:rStyle w:val="FootnoteReference"/>
        </w:rPr>
        <w:footnoteRef/>
      </w:r>
      <w:r>
        <w:t xml:space="preserve"> Vēršam uzmanību, ka 8. tabulas ailē „Kopā viss” norādīto p</w:t>
      </w:r>
      <w:r w:rsidRPr="00AE72DC">
        <w:t>rojektam nepieciešamo kadastra objektu skaits (indikatīvi)</w:t>
      </w:r>
      <w:r>
        <w:t xml:space="preserve"> ir 2078 objekti, kas nesakrīt ar pārējo „Kopā viss” norādīto objektu skaitu, jo pārējās ailes satur informāciju par objektiem, par kuriem ir s</w:t>
      </w:r>
      <w:r w:rsidRPr="00AE72DC">
        <w:t>aņemts grafiskais materiāls un cita nepieciešamā informācija procesa uzsākšanai</w:t>
      </w:r>
      <w:r>
        <w:t>.</w:t>
      </w:r>
    </w:p>
  </w:footnote>
  <w:footnote w:id="15">
    <w:p w14:paraId="72F5EA2A" w14:textId="1926FF36" w:rsidR="007D6DD6" w:rsidRDefault="007D6DD6" w:rsidP="001D5E77">
      <w:pPr>
        <w:pStyle w:val="FootnoteText"/>
        <w:jc w:val="both"/>
      </w:pPr>
      <w:r>
        <w:rPr>
          <w:rStyle w:val="FootnoteReference"/>
        </w:rPr>
        <w:footnoteRef/>
      </w:r>
      <w:r>
        <w:t xml:space="preserve"> L</w:t>
      </w:r>
      <w:r w:rsidRPr="007D6DD6">
        <w:t xml:space="preserve">īguma 15.6. punkts </w:t>
      </w:r>
      <w:r>
        <w:t>„</w:t>
      </w:r>
      <w:r w:rsidRPr="001D5E77">
        <w:rPr>
          <w:i/>
          <w:iCs/>
        </w:rPr>
        <w:t>Valuation after Termination for Employer’s Convenience</w:t>
      </w:r>
      <w:r w:rsidRPr="007D6DD6">
        <w:t>”</w:t>
      </w:r>
    </w:p>
  </w:footnote>
  <w:footnote w:id="16">
    <w:p w14:paraId="41728547" w14:textId="0991C8EE" w:rsidR="005368BA" w:rsidRDefault="005368BA" w:rsidP="001D5E77">
      <w:pPr>
        <w:pStyle w:val="FootnoteText"/>
        <w:jc w:val="both"/>
      </w:pPr>
      <w:r>
        <w:rPr>
          <w:rStyle w:val="FootnoteReference"/>
        </w:rPr>
        <w:footnoteRef/>
      </w:r>
      <w:r>
        <w:t xml:space="preserve"> </w:t>
      </w:r>
      <w:r w:rsidRPr="005368BA">
        <w:t xml:space="preserve">Pie līguma izpildes pilnā apjomā (šeit domāts arī pasūtīto darba posmu apmērs), </w:t>
      </w:r>
      <w:r w:rsidR="004876D3">
        <w:t>līgumu</w:t>
      </w:r>
      <w:r w:rsidRPr="005368BA">
        <w:t xml:space="preserve"> priekšlaicīgi </w:t>
      </w:r>
      <w:r w:rsidR="004876D3">
        <w:t>ne</w:t>
      </w:r>
      <w:r w:rsidRPr="005368BA">
        <w:t>izbei</w:t>
      </w:r>
      <w:r w:rsidR="004876D3">
        <w:t>dzot</w:t>
      </w:r>
      <w:r w:rsidRPr="005368BA">
        <w:t>, notiek Uzņēmēja personāla demobilizācija</w:t>
      </w:r>
      <w:r w:rsidR="004876D3">
        <w:t xml:space="preserve">, </w:t>
      </w:r>
      <w:r w:rsidRPr="005368BA">
        <w:t>kas ietilpst Līguma cenā, tādēļ ir attiecināmas no CEF līdzekļiem, tāpat kā citas būvdarbu līguma cenā ietilpstošas pozīcijas</w:t>
      </w:r>
      <w:r w:rsidR="004876D3">
        <w:t>.</w:t>
      </w:r>
    </w:p>
  </w:footnote>
  <w:footnote w:id="17">
    <w:p w14:paraId="21F4DD41" w14:textId="3E0572F0" w:rsidR="00E542DB" w:rsidRDefault="00E542DB" w:rsidP="001D5E77">
      <w:pPr>
        <w:pStyle w:val="FootnoteText"/>
        <w:jc w:val="both"/>
      </w:pPr>
      <w:r>
        <w:rPr>
          <w:rStyle w:val="FootnoteReference"/>
        </w:rPr>
        <w:footnoteRef/>
      </w:r>
      <w:r>
        <w:t xml:space="preserve"> I</w:t>
      </w:r>
      <w:r w:rsidRPr="00E542DB">
        <w:t>zpildes nodrošinājums, apdrošināšanas izmaksas Uzņēmējam rodas pilnā pasūtītā darba apjomā, jau Līguma izpildes sākumā. Ja Līgums tiek pēc Pasūtītāja iniciatīvas izbeigts pirms attiecīgo pasūtīto darbu izpildes termiņa, Uzņēmējam rodas nodrošinājuma un apdrošināšanas  izmaksas par to līguma izpildes periodu un darbiem, kas paliek pēc Līguma priekšlaicīgās izbeigšanas.  Gadījumā, ja līgums tiek priekšlaicīgi izbeigts, Uzņēmējam ir tiesības saņemt kompensāciju par tām Līguma izpildes nodrošinājuma un apdrošināšanas polišu iegādes izmaksām, kuras Uzņēmējam nav iespēju atgūt ar saņemto atlīdzību par Līguma izpildi pilnā apjomā, jo Līgums tika priekšlaicīgi izbeigts</w:t>
      </w:r>
      <w:r>
        <w:t>.</w:t>
      </w:r>
    </w:p>
  </w:footnote>
  <w:footnote w:id="18">
    <w:p w14:paraId="3A4C226F" w14:textId="756EFE2A" w:rsidR="009D78C8" w:rsidRDefault="009D78C8" w:rsidP="001D5E77">
      <w:pPr>
        <w:pStyle w:val="FootnoteText"/>
        <w:jc w:val="both"/>
      </w:pPr>
      <w:r>
        <w:rPr>
          <w:rStyle w:val="FootnoteReference"/>
        </w:rPr>
        <w:footnoteRef/>
      </w:r>
      <w:r>
        <w:t xml:space="preserve"> </w:t>
      </w:r>
      <w:r w:rsidRPr="009D78C8">
        <w:t xml:space="preserve">Atbilstoši FIDIC praksei, FIDIC sistēmas līgumi ietver starptautiskā būvniecības praksē atzītu pieeju pašu savstarpējā ekonomiskā balansa saglabāšanai, vienlaikus nodrošinot iespēju abām pusēm prognozēt saistību apmēru, līguma izbeigšanas gadījumos. Uzņēmējam radušos izmaksu kompensācija par apakšuzņēmēju līgumu izbeigšanu sakarā ar galvenā līguma izbeigšanu arī ir viens no noteikumiem, kuru atzīst FIDIC sistēmas līgumi (lūdzu skat. Axel-Volkmar Jaeger , Götz-Sebastian Hök. FIDIC </w:t>
      </w:r>
      <w:r w:rsidR="00D515F1">
        <w:t xml:space="preserve">– </w:t>
      </w:r>
      <w:r w:rsidRPr="009D78C8">
        <w:t>A Guide for Practitioners. Springer. 2010., p. 322). Kompensācijas apmērs Uzņēmējam par apakšuzņēmēju līgumu izbeigšanu, līguma izbeigšanas gadījumā, konkrētajā līgumā ir ierobežots 5% apmērā no attiecīgā apakšuzņēmēja līguma apmēra, kas attiecināms uz pasūtītājiem Līguma darbiem. Pasūtītājs izmaksā Uzņēmējam kompensāciju 5% apmērā no attiecīgā izbeigtā apakšuzņēmuma līguma, ja  šāda apakšuzņēmuma līguma noslēgšanu iepriekš ir akceptējis Inženieris (vismaz 15 dienas pirms Pasūtītāja paziņojuma par Līguma izbeigšanu). Šāds noteikums ierobežo Pasūtītāja atbildību pret Uzņēmēju par tam nodarītajiem zaudējumiem sakarā ar līguma izbeigšanu. Ja šāda noteikuma nebūtu, Pasūtītājs būtu atbildīgs pret Uzņēmēju par visiem tam nodarītajiem zaudējumiem, tostarp, apakšuzņēmumu līgumu izbeigšanas izmaksām, bez ierobežojuma.</w:t>
      </w:r>
    </w:p>
  </w:footnote>
  <w:footnote w:id="19">
    <w:p w14:paraId="44C6DE45" w14:textId="45F8234E" w:rsidR="00AF1C14" w:rsidRDefault="00AF1C14" w:rsidP="001D5E77">
      <w:pPr>
        <w:pStyle w:val="FootnoteText"/>
        <w:jc w:val="both"/>
      </w:pPr>
      <w:r>
        <w:rPr>
          <w:rStyle w:val="FootnoteReference"/>
        </w:rPr>
        <w:footnoteRef/>
      </w:r>
      <w:r>
        <w:t xml:space="preserve"> </w:t>
      </w:r>
      <w:r w:rsidRPr="00AF1C14">
        <w:t xml:space="preserve">Citas Uzņēmējam radušās izmaksas – materiāli, kas ir pasūtīti pie ražotāja, bet nav piegādāti uz būvlaukumu un līdz ar to nav apmaksāti un pēc Līguma nevar būt apmaksājami, citu Uzņēmēja līgumu </w:t>
      </w:r>
      <w:r>
        <w:t>izbeigšanas</w:t>
      </w:r>
      <w:r w:rsidRPr="00AF1C14">
        <w:t xml:space="preserve"> izmaksas (piemēram, ar PR kompāniju, jo tā nav apakšuzņēmējs) utt. Ar vārdu “fiksētais” tiek saprasts, ka tas nevar būt lielāks vai mazāks neatkarīgi no citu izmaksu apjoma, kas rodas priekšlaicīgas Līguma izbeigšanas gadījumā. Šīs kompensācijas apmērs ir nosakāms uz dienu, kad notiek priekšlaicīga Līguma izbeigšana tā apjomu nosakot pamatojoties uz tajā brīdī pasūtīto, bet nepabeigto darbu apjomu.</w:t>
      </w:r>
    </w:p>
  </w:footnote>
  <w:footnote w:id="20">
    <w:p w14:paraId="13D8BEF1" w14:textId="07033348" w:rsidR="00DA1481" w:rsidRDefault="00DA1481" w:rsidP="004876D3">
      <w:pPr>
        <w:pStyle w:val="FootnoteText"/>
        <w:jc w:val="both"/>
      </w:pPr>
      <w:r>
        <w:rPr>
          <w:rStyle w:val="FootnoteReference"/>
        </w:rPr>
        <w:footnoteRef/>
      </w:r>
      <w:r>
        <w:t xml:space="preserve"> </w:t>
      </w:r>
      <w:r w:rsidRPr="00DA1481">
        <w:t>Sk. Senāta 2015.gada 30.marta sprieduma lietā Nr. SKA-585/2015 (A420361914) 8.punktu, kā ar Latvijas Republikas Augstākās tiesas Tiesu prakses apkopojuma publisko iepirkumu lietās (2005.gada februāris – 2020.gada jūnijs)</w:t>
      </w:r>
      <w:r>
        <w:t>.</w:t>
      </w:r>
    </w:p>
  </w:footnote>
  <w:footnote w:id="21">
    <w:p w14:paraId="20AF0A6F" w14:textId="69CC66C8" w:rsidR="00D01B65" w:rsidRDefault="00D01B65" w:rsidP="004876D3">
      <w:pPr>
        <w:pStyle w:val="FootnoteText"/>
        <w:jc w:val="both"/>
      </w:pPr>
      <w:r>
        <w:rPr>
          <w:rStyle w:val="FootnoteReference"/>
        </w:rPr>
        <w:footnoteRef/>
      </w:r>
      <w:r>
        <w:t xml:space="preserve"> SIA “Eiropas dzelzceļa līnijas” iekšējās trauksmes celšanas sistēmas noteikumi (apstiprināti ar 09.02.2022. ar Nr.1.3.-VL./2022/13), SIA “Eiropas dzelzceļa līnijas pretkorupcijas pasākumu plāns 2022.-2024.gadam (apstiprināts ar 15.02.2022. ar Nr.1.3.-VL./2022/14), Sabiedrības Darba kārtības noteikumos ir noteiktas korupcijas un interešu konflikta situāciju novēršanas prasības (apstiprināts ar 10.11.2022. ar Nr.1.3.-VL./2022/92).</w:t>
      </w:r>
    </w:p>
  </w:footnote>
  <w:footnote w:id="22">
    <w:p w14:paraId="4A64FFEB" w14:textId="01FCCF44" w:rsidR="00AB0D29" w:rsidRDefault="00AB0D29" w:rsidP="004876D3">
      <w:pPr>
        <w:pStyle w:val="FootnoteText"/>
        <w:jc w:val="both"/>
      </w:pPr>
      <w:r>
        <w:rPr>
          <w:rStyle w:val="FootnoteReference"/>
        </w:rPr>
        <w:footnoteRef/>
      </w:r>
      <w:r>
        <w:t xml:space="preserve"> Būvlaukuma darba drošības standarts - CONSTRUCTION HEALTH AND SAFETY STANDARD IN RAIL BALTICA GLOBAL PROJECT RBGP-HSD-STN-Z-00001, Būvprojektu atbilstības kontroles standarts- RBGP DESIGN PROCESS MANAGEMENT – SE RBGL-SEA-PLN_DN-R-00002, Tehnisko risinājumu atbilstības kontroles standarts - ASBO/NOBO DESIGN REVIEW PROCESS RBGL-SEA-MAN-R-00002</w:t>
      </w:r>
    </w:p>
  </w:footnote>
  <w:footnote w:id="23">
    <w:p w14:paraId="2E38D647" w14:textId="77777777" w:rsidR="00876F63" w:rsidRPr="003B6C68" w:rsidRDefault="00876F63" w:rsidP="004876D3">
      <w:pPr>
        <w:pStyle w:val="FootnoteText"/>
        <w:contextualSpacing/>
        <w:jc w:val="both"/>
      </w:pPr>
      <w:r w:rsidRPr="003B6C68">
        <w:rPr>
          <w:rStyle w:val="FootnoteReference"/>
        </w:rPr>
        <w:footnoteRef/>
      </w:r>
      <w:r w:rsidRPr="003B6C68">
        <w:t xml:space="preserve"> Satiksmes ministrijas 17.04.2023. pilnvara Nr. 01-04/22</w:t>
      </w:r>
    </w:p>
  </w:footnote>
  <w:footnote w:id="24">
    <w:p w14:paraId="55812F7E" w14:textId="77777777" w:rsidR="00876F63" w:rsidRPr="003B6C68" w:rsidRDefault="00876F63" w:rsidP="004876D3">
      <w:pPr>
        <w:pStyle w:val="FootnoteText"/>
        <w:contextualSpacing/>
        <w:jc w:val="both"/>
      </w:pPr>
      <w:r w:rsidRPr="003B6C68">
        <w:rPr>
          <w:rStyle w:val="FootnoteReference"/>
        </w:rPr>
        <w:footnoteRef/>
      </w:r>
      <w:r w:rsidRPr="003B6C68">
        <w:t xml:space="preserve"> Satiksmes ministrijas un SIA „Eiropas Dzelzceļa līnijas” 30.12.2021. deleģēšanas līgums Nr. SM 2021/-41</w:t>
      </w:r>
    </w:p>
  </w:footnote>
  <w:footnote w:id="25">
    <w:p w14:paraId="5807DC79" w14:textId="0E326C51" w:rsidR="00876F63" w:rsidRPr="003B6C68" w:rsidRDefault="00876F63" w:rsidP="004876D3">
      <w:pPr>
        <w:pStyle w:val="FootnoteText"/>
        <w:jc w:val="both"/>
      </w:pPr>
      <w:r w:rsidRPr="003B6C68">
        <w:rPr>
          <w:rStyle w:val="FootnoteReference"/>
        </w:rPr>
        <w:footnoteRef/>
      </w:r>
      <w:r w:rsidRPr="003B6C68">
        <w:t xml:space="preserve"> </w:t>
      </w:r>
      <w:r w:rsidR="00316C6D">
        <w:rPr>
          <w:rFonts w:eastAsiaTheme="minorEastAsia"/>
          <w:color w:val="000000"/>
        </w:rPr>
        <w:t xml:space="preserve">Nolīgums par </w:t>
      </w:r>
      <w:r w:rsidR="001707A7">
        <w:rPr>
          <w:rFonts w:eastAsiaTheme="minorEastAsia"/>
          <w:color w:val="000000"/>
        </w:rPr>
        <w:t>l</w:t>
      </w:r>
      <w:r w:rsidR="002D1AD4">
        <w:rPr>
          <w:rFonts w:eastAsiaTheme="minorEastAsia"/>
          <w:color w:val="000000"/>
        </w:rPr>
        <w:t>īgumu slēgšanas shēm</w:t>
      </w:r>
      <w:r w:rsidR="00962CB7">
        <w:rPr>
          <w:rFonts w:eastAsiaTheme="minorEastAsia"/>
          <w:color w:val="000000"/>
        </w:rPr>
        <w:t>u</w:t>
      </w:r>
      <w:r w:rsidRPr="003B6C68">
        <w:rPr>
          <w:rFonts w:eastAsiaTheme="minorEastAsia"/>
          <w:color w:val="000000"/>
        </w:rPr>
        <w:t>, 30.10.2016.,</w:t>
      </w:r>
      <w:r w:rsidR="004208EF">
        <w:rPr>
          <w:rFonts w:eastAsiaTheme="minorEastAsia"/>
          <w:color w:val="000000"/>
        </w:rPr>
        <w:t xml:space="preserve"> </w:t>
      </w:r>
      <w:r w:rsidRPr="004208EF">
        <w:rPr>
          <w:rFonts w:eastAsiaTheme="minorEastAsia"/>
          <w:color w:val="000000"/>
        </w:rPr>
        <w:t>4.1.1.(b) punkts.</w:t>
      </w:r>
    </w:p>
  </w:footnote>
  <w:footnote w:id="26">
    <w:p w14:paraId="40A1F6C8" w14:textId="3F7211C8" w:rsidR="00876F63" w:rsidRPr="003B6C68" w:rsidRDefault="00876F63" w:rsidP="004876D3">
      <w:pPr>
        <w:pStyle w:val="FootnoteText"/>
        <w:jc w:val="both"/>
      </w:pPr>
      <w:r w:rsidRPr="003B6C68">
        <w:rPr>
          <w:rStyle w:val="FootnoteReference"/>
        </w:rPr>
        <w:footnoteRef/>
      </w:r>
      <w:r w:rsidRPr="003B6C68">
        <w:t xml:space="preserve"> </w:t>
      </w:r>
      <w:r w:rsidR="00D101CC">
        <w:t>Akcionāru līgums par RB RAIL AS</w:t>
      </w:r>
      <w:r w:rsidRPr="003B6C68">
        <w:t>, 28.10.2014</w:t>
      </w:r>
      <w:r w:rsidR="0049071C">
        <w:t>.</w:t>
      </w:r>
      <w:r w:rsidRPr="003B6C68">
        <w:rPr>
          <w:rFonts w:eastAsiaTheme="minorEastAsia"/>
          <w:color w:val="000000"/>
        </w:rPr>
        <w:t>, 2.4 punkts</w:t>
      </w:r>
      <w:r w:rsidRPr="004208EF">
        <w:rPr>
          <w:rFonts w:eastAsiaTheme="minorEastAsia"/>
          <w:color w:val="000000"/>
        </w:rPr>
        <w:t>.</w:t>
      </w:r>
    </w:p>
  </w:footnote>
  <w:footnote w:id="27">
    <w:p w14:paraId="208534EB" w14:textId="09053330" w:rsidR="00876F63" w:rsidRPr="003B6C68" w:rsidRDefault="00876F63" w:rsidP="004876D3">
      <w:pPr>
        <w:pStyle w:val="FootnoteText"/>
        <w:jc w:val="both"/>
      </w:pPr>
      <w:r w:rsidRPr="003B6C68">
        <w:rPr>
          <w:rStyle w:val="FootnoteReference"/>
        </w:rPr>
        <w:footnoteRef/>
      </w:r>
      <w:r w:rsidRPr="003B6C68">
        <w:t xml:space="preserve"> </w:t>
      </w:r>
      <w:r w:rsidR="00D101CC">
        <w:t>Akcionāru līgums par RB RAIL AS</w:t>
      </w:r>
      <w:r w:rsidRPr="003B6C68">
        <w:t>, 28.10.2014.,2.4. punkts</w:t>
      </w:r>
      <w:r w:rsidRPr="004208EF">
        <w:t>.</w:t>
      </w:r>
    </w:p>
  </w:footnote>
  <w:footnote w:id="28">
    <w:p w14:paraId="314BE22E" w14:textId="27895B81" w:rsidR="00876F63" w:rsidRPr="003B6C68" w:rsidRDefault="00876F63" w:rsidP="004876D3">
      <w:pPr>
        <w:pStyle w:val="FootnoteText"/>
        <w:jc w:val="both"/>
      </w:pPr>
      <w:r w:rsidRPr="003B6C68">
        <w:rPr>
          <w:rStyle w:val="FootnoteReference"/>
        </w:rPr>
        <w:footnoteRef/>
      </w:r>
      <w:r w:rsidRPr="003B6C68">
        <w:t xml:space="preserve"> </w:t>
      </w:r>
      <w:r w:rsidR="00FD56C1">
        <w:t>Nolīgums par l</w:t>
      </w:r>
      <w:r w:rsidR="002D1AD4">
        <w:rPr>
          <w:rFonts w:eastAsiaTheme="minorEastAsia"/>
          <w:color w:val="000000"/>
        </w:rPr>
        <w:t>īgumu slēgšanas shēm</w:t>
      </w:r>
      <w:r w:rsidR="00962CB7">
        <w:rPr>
          <w:rFonts w:eastAsiaTheme="minorEastAsia"/>
          <w:color w:val="000000"/>
        </w:rPr>
        <w:t>u</w:t>
      </w:r>
      <w:r w:rsidR="00C863B6">
        <w:rPr>
          <w:rFonts w:eastAsiaTheme="minorEastAsia"/>
          <w:color w:val="000000"/>
        </w:rPr>
        <w:t xml:space="preserve">, </w:t>
      </w:r>
      <w:r w:rsidR="00C863B6" w:rsidRPr="003B6C68">
        <w:rPr>
          <w:rFonts w:eastAsiaTheme="minorEastAsia"/>
          <w:color w:val="000000"/>
        </w:rPr>
        <w:t>30.10.2016</w:t>
      </w:r>
      <w:r w:rsidR="00C863B6">
        <w:rPr>
          <w:rFonts w:eastAsiaTheme="minorEastAsia"/>
          <w:color w:val="000000"/>
        </w:rPr>
        <w:t>.,</w:t>
      </w:r>
      <w:r w:rsidRPr="003B6C68">
        <w:rPr>
          <w:rFonts w:eastAsiaTheme="minorEastAsia"/>
          <w:color w:val="000000"/>
        </w:rPr>
        <w:t xml:space="preserve"> 5.1.1. </w:t>
      </w:r>
      <w:r w:rsidR="00AE58F6">
        <w:rPr>
          <w:rFonts w:eastAsiaTheme="minorEastAsia"/>
          <w:color w:val="000000"/>
        </w:rPr>
        <w:t xml:space="preserve">e) </w:t>
      </w:r>
      <w:r w:rsidRPr="003B6C68">
        <w:rPr>
          <w:rFonts w:eastAsiaTheme="minorEastAsia"/>
          <w:color w:val="000000"/>
        </w:rPr>
        <w:t>punkts</w:t>
      </w:r>
    </w:p>
  </w:footnote>
  <w:footnote w:id="29">
    <w:p w14:paraId="4730CB23" w14:textId="5B883E00" w:rsidR="00876F63" w:rsidRPr="00F12121" w:rsidRDefault="00876F63" w:rsidP="004876D3">
      <w:pPr>
        <w:pStyle w:val="FootnoteText"/>
        <w:jc w:val="both"/>
      </w:pPr>
      <w:r w:rsidRPr="003B6C68">
        <w:rPr>
          <w:rStyle w:val="FootnoteReference"/>
        </w:rPr>
        <w:footnoteRef/>
      </w:r>
      <w:r w:rsidRPr="003B6C68">
        <w:t xml:space="preserve"> </w:t>
      </w:r>
      <w:r w:rsidR="00962CB7">
        <w:t>Nolīgums par l</w:t>
      </w:r>
      <w:r w:rsidR="002D1AD4">
        <w:rPr>
          <w:rFonts w:eastAsiaTheme="minorEastAsia"/>
          <w:color w:val="000000"/>
        </w:rPr>
        <w:t>īgumu slēgšanas shēm</w:t>
      </w:r>
      <w:r w:rsidR="00962CB7">
        <w:rPr>
          <w:rFonts w:eastAsiaTheme="minorEastAsia"/>
          <w:color w:val="000000"/>
        </w:rPr>
        <w:t>u</w:t>
      </w:r>
      <w:r w:rsidR="00C863B6">
        <w:rPr>
          <w:rFonts w:eastAsiaTheme="minorEastAsia"/>
          <w:color w:val="000000"/>
        </w:rPr>
        <w:t xml:space="preserve">, </w:t>
      </w:r>
      <w:r w:rsidR="00C863B6" w:rsidRPr="003B6C68">
        <w:rPr>
          <w:rFonts w:eastAsiaTheme="minorEastAsia"/>
          <w:color w:val="000000"/>
        </w:rPr>
        <w:t>30.10.2016.</w:t>
      </w:r>
      <w:r w:rsidR="00C863B6">
        <w:rPr>
          <w:rFonts w:eastAsiaTheme="minorEastAsia"/>
          <w:color w:val="000000"/>
        </w:rPr>
        <w:t>,</w:t>
      </w:r>
      <w:r w:rsidR="004208EF">
        <w:rPr>
          <w:rFonts w:eastAsiaTheme="minorEastAsia"/>
          <w:color w:val="000000"/>
        </w:rPr>
        <w:t xml:space="preserve"> </w:t>
      </w:r>
      <w:r w:rsidR="00AB7802">
        <w:rPr>
          <w:rFonts w:eastAsiaTheme="minorEastAsia"/>
          <w:color w:val="000000"/>
        </w:rPr>
        <w:t>3.1.1. punkts</w:t>
      </w:r>
    </w:p>
  </w:footnote>
  <w:footnote w:id="30">
    <w:p w14:paraId="35EDE20B" w14:textId="14BF738C" w:rsidR="00876F63" w:rsidRDefault="00876F63" w:rsidP="004876D3">
      <w:pPr>
        <w:pStyle w:val="FootnoteText"/>
        <w:jc w:val="both"/>
      </w:pPr>
      <w:r w:rsidRPr="00F12121">
        <w:rPr>
          <w:rStyle w:val="FootnoteReference"/>
        </w:rPr>
        <w:footnoteRef/>
      </w:r>
      <w:r w:rsidRPr="00F12121">
        <w:t xml:space="preserve"> </w:t>
      </w:r>
      <w:r w:rsidR="0021561B">
        <w:t>Nolīgums par l</w:t>
      </w:r>
      <w:r w:rsidR="002D1AD4">
        <w:rPr>
          <w:rFonts w:eastAsiaTheme="minorEastAsia"/>
          <w:color w:val="000000"/>
        </w:rPr>
        <w:t>īgumu slēgšanas shēm</w:t>
      </w:r>
      <w:r w:rsidR="0021561B">
        <w:rPr>
          <w:rFonts w:eastAsiaTheme="minorEastAsia"/>
          <w:color w:val="000000"/>
        </w:rPr>
        <w:t>u</w:t>
      </w:r>
      <w:r w:rsidR="00E1019C">
        <w:rPr>
          <w:rFonts w:eastAsiaTheme="minorEastAsia"/>
          <w:color w:val="000000"/>
        </w:rPr>
        <w:t>.</w:t>
      </w:r>
    </w:p>
  </w:footnote>
  <w:footnote w:id="31">
    <w:p w14:paraId="0205A228" w14:textId="6DBE5045" w:rsidR="00876F63" w:rsidRPr="0081007E" w:rsidRDefault="00876F63" w:rsidP="004876D3">
      <w:pPr>
        <w:tabs>
          <w:tab w:val="left" w:pos="256"/>
        </w:tabs>
        <w:spacing w:after="0" w:line="240" w:lineRule="auto"/>
        <w:ind w:right="-72"/>
        <w:contextualSpacing/>
        <w:jc w:val="both"/>
        <w:rPr>
          <w:rFonts w:eastAsiaTheme="minorEastAsia" w:cs="Times New Roman"/>
          <w:color w:val="000000"/>
          <w:sz w:val="20"/>
          <w:szCs w:val="20"/>
          <w:lang w:eastAsia="lv-LV"/>
        </w:rPr>
      </w:pPr>
      <w:r w:rsidRPr="005D3DDB">
        <w:rPr>
          <w:rStyle w:val="FootnoteReference"/>
          <w:sz w:val="20"/>
          <w:szCs w:val="20"/>
        </w:rPr>
        <w:footnoteRef/>
      </w:r>
      <w:r w:rsidRPr="005D3DDB">
        <w:rPr>
          <w:sz w:val="20"/>
          <w:szCs w:val="20"/>
        </w:rPr>
        <w:t xml:space="preserve"> </w:t>
      </w:r>
      <w:r w:rsidR="008F7D10">
        <w:rPr>
          <w:sz w:val="20"/>
          <w:szCs w:val="20"/>
        </w:rPr>
        <w:t>Nolīgums par l</w:t>
      </w:r>
      <w:r w:rsidR="002D1AD4" w:rsidRPr="003F1977">
        <w:rPr>
          <w:rFonts w:eastAsiaTheme="minorEastAsia"/>
          <w:color w:val="000000"/>
          <w:sz w:val="20"/>
          <w:szCs w:val="20"/>
        </w:rPr>
        <w:t>īgumu slēgšanas shēm</w:t>
      </w:r>
      <w:r w:rsidR="008F7D10">
        <w:rPr>
          <w:rFonts w:eastAsiaTheme="minorEastAsia"/>
          <w:color w:val="000000"/>
          <w:sz w:val="20"/>
          <w:szCs w:val="20"/>
        </w:rPr>
        <w:t>u</w:t>
      </w:r>
      <w:r w:rsidR="00CA20DA">
        <w:rPr>
          <w:rFonts w:eastAsiaTheme="minorEastAsia"/>
          <w:color w:val="000000"/>
          <w:sz w:val="20"/>
          <w:szCs w:val="20"/>
        </w:rPr>
        <w:t xml:space="preserve"> </w:t>
      </w:r>
      <w:r>
        <w:rPr>
          <w:rFonts w:eastAsiaTheme="minorEastAsia"/>
          <w:color w:val="000000"/>
          <w:sz w:val="20"/>
          <w:szCs w:val="20"/>
        </w:rPr>
        <w:t>n</w:t>
      </w:r>
      <w:r w:rsidRPr="0081007E">
        <w:rPr>
          <w:rFonts w:eastAsiaTheme="minorEastAsia" w:cs="Times New Roman"/>
          <w:color w:val="000000"/>
          <w:sz w:val="20"/>
          <w:szCs w:val="20"/>
          <w:lang w:eastAsia="lv-LV"/>
        </w:rPr>
        <w:t xml:space="preserve">osaka </w:t>
      </w:r>
      <w:r>
        <w:rPr>
          <w:rFonts w:eastAsiaTheme="minorEastAsia" w:cs="Times New Roman"/>
          <w:color w:val="000000"/>
          <w:sz w:val="20"/>
          <w:szCs w:val="20"/>
          <w:lang w:eastAsia="lv-LV"/>
        </w:rPr>
        <w:t>RBR</w:t>
      </w:r>
      <w:r w:rsidRPr="0081007E">
        <w:rPr>
          <w:rFonts w:eastAsiaTheme="minorEastAsia" w:cs="Times New Roman"/>
          <w:color w:val="000000"/>
          <w:sz w:val="20"/>
          <w:szCs w:val="20"/>
          <w:lang w:eastAsia="lv-LV"/>
        </w:rPr>
        <w:t xml:space="preserve"> tiesības veikt kvalitātes uzraudzību/pārbaudi  nacionālo ieviesēju veiktajiem darbiem. Tas ir nepieciešams, lai nodrošinātu vienotu kvalitāti un atbilstību būvprojektēšanas vadlīniju prasībām</w:t>
      </w:r>
      <w:r w:rsidRPr="002A7C3E">
        <w:rPr>
          <w:rFonts w:eastAsiaTheme="minorEastAsia" w:cs="Times New Roman"/>
          <w:color w:val="000000"/>
          <w:sz w:val="20"/>
          <w:szCs w:val="20"/>
          <w:lang w:eastAsia="lv-LV"/>
        </w:rPr>
        <w:t>,</w:t>
      </w:r>
      <w:r w:rsidRPr="0081007E">
        <w:rPr>
          <w:rFonts w:eastAsiaTheme="minorEastAsia" w:cs="Times New Roman"/>
          <w:color w:val="000000"/>
          <w:sz w:val="20"/>
          <w:szCs w:val="20"/>
          <w:lang w:eastAsia="lv-LV"/>
        </w:rPr>
        <w:t xml:space="preserve"> kā arī risinājumu savietojamību ar elektrifikācijas un signalizācijas sistēmām. </w:t>
      </w:r>
      <w:r>
        <w:rPr>
          <w:rFonts w:eastAsiaTheme="minorEastAsia" w:cs="Times New Roman"/>
          <w:color w:val="000000"/>
          <w:sz w:val="20"/>
          <w:szCs w:val="20"/>
          <w:lang w:eastAsia="lv-LV"/>
        </w:rPr>
        <w:t>RBR</w:t>
      </w:r>
      <w:r w:rsidRPr="0081007E">
        <w:rPr>
          <w:rFonts w:eastAsiaTheme="minorEastAsia" w:cs="Times New Roman"/>
          <w:color w:val="000000"/>
          <w:sz w:val="20"/>
          <w:szCs w:val="20"/>
          <w:lang w:eastAsia="lv-LV"/>
        </w:rPr>
        <w:t xml:space="preserve"> kā centrālais koordinators šo kontroli veic izmantojot vienotu Sistēmu inženierijas pieeju.</w:t>
      </w:r>
    </w:p>
    <w:p w14:paraId="2D2A8A0F" w14:textId="77777777" w:rsidR="00876F63" w:rsidRPr="002A7C3E" w:rsidRDefault="00876F63" w:rsidP="004876D3">
      <w:pPr>
        <w:pStyle w:val="FootnoteText"/>
        <w:contextualSpacing/>
        <w:jc w:val="both"/>
      </w:pPr>
    </w:p>
  </w:footnote>
  <w:footnote w:id="32">
    <w:p w14:paraId="35F8741D" w14:textId="2D07403E" w:rsidR="00C2187F" w:rsidRDefault="00C2187F" w:rsidP="004876D3">
      <w:pPr>
        <w:pStyle w:val="FootnoteText"/>
        <w:jc w:val="both"/>
      </w:pPr>
      <w:r>
        <w:rPr>
          <w:rStyle w:val="FootnoteReference"/>
        </w:rPr>
        <w:footnoteRef/>
      </w:r>
      <w:r>
        <w:t xml:space="preserve"> </w:t>
      </w:r>
      <w:r w:rsidRPr="00C2187F">
        <w:t>Senāta 2017.gada 22.septembra sprieduma lietā Nr. SKA-558/2017 (A420285614) 17.punkts.</w:t>
      </w:r>
    </w:p>
  </w:footnote>
  <w:footnote w:id="33">
    <w:p w14:paraId="1CB49DF5" w14:textId="2553299F" w:rsidR="00D15398" w:rsidRDefault="00D15398" w:rsidP="004876D3">
      <w:pPr>
        <w:pStyle w:val="FootnoteText"/>
        <w:jc w:val="both"/>
      </w:pPr>
      <w:r>
        <w:rPr>
          <w:rStyle w:val="FootnoteReference"/>
        </w:rPr>
        <w:footnoteRef/>
      </w:r>
      <w:r>
        <w:t xml:space="preserve"> </w:t>
      </w:r>
      <w:r w:rsidRPr="00D15398">
        <w:t>Senāta 2017.gada 20.aprīļa sprieduma lietā Nr. SKA-372/2017 (A420300914) 12.punkts.</w:t>
      </w:r>
    </w:p>
    <w:p w14:paraId="31B266C5" w14:textId="77777777" w:rsidR="00D15398" w:rsidRDefault="00D15398" w:rsidP="004876D3">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944D" w14:textId="77777777" w:rsidR="001F1E4C" w:rsidRDefault="001F1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4A7B" w14:textId="7DDB474F" w:rsidR="004B0786" w:rsidRDefault="004B0786" w:rsidP="004B0786">
    <w:pPr>
      <w:pStyle w:val="Header"/>
      <w:jc w:val="center"/>
      <w:rPr>
        <w:strike/>
        <w:sz w:val="24"/>
        <w:szCs w:val="20"/>
      </w:rPr>
    </w:pPr>
    <w:r w:rsidRPr="003C131E">
      <w:rPr>
        <w:strike/>
        <w:sz w:val="24"/>
        <w:szCs w:val="20"/>
      </w:rPr>
      <w:t>IEROBEŽOTA PIEEJAMĪBA</w:t>
    </w:r>
  </w:p>
  <w:p w14:paraId="5FCAA733" w14:textId="76052B84" w:rsidR="003C131E" w:rsidRDefault="003C131E" w:rsidP="004B0786">
    <w:pPr>
      <w:pStyle w:val="Header"/>
      <w:jc w:val="center"/>
      <w:rPr>
        <w:sz w:val="24"/>
        <w:szCs w:val="20"/>
      </w:rPr>
    </w:pPr>
    <w:r w:rsidRPr="003C131E">
      <w:rPr>
        <w:sz w:val="24"/>
        <w:szCs w:val="20"/>
      </w:rPr>
      <w:t>NAV KLASIFICĒTS</w:t>
    </w:r>
  </w:p>
  <w:p w14:paraId="6037A0C8" w14:textId="77777777" w:rsidR="003C131E" w:rsidRDefault="003C131E" w:rsidP="004B0786">
    <w:pPr>
      <w:pStyle w:val="Header"/>
      <w:jc w:val="center"/>
      <w:rPr>
        <w:sz w:val="24"/>
        <w:szCs w:val="20"/>
      </w:rPr>
    </w:pPr>
  </w:p>
  <w:p w14:paraId="53810E78" w14:textId="77777777" w:rsidR="003C131E" w:rsidRPr="003C131E" w:rsidRDefault="003C131E" w:rsidP="004B0786">
    <w:pPr>
      <w:pStyle w:val="Header"/>
      <w:jc w:val="center"/>
      <w:rPr>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0711" w14:textId="77777777" w:rsidR="001F1E4C" w:rsidRDefault="001F1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D98"/>
    <w:multiLevelType w:val="multilevel"/>
    <w:tmpl w:val="C5CCB0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C70E1"/>
    <w:multiLevelType w:val="multilevel"/>
    <w:tmpl w:val="F94A53F6"/>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3E3DA3"/>
    <w:multiLevelType w:val="hybridMultilevel"/>
    <w:tmpl w:val="4CEC5E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D80511"/>
    <w:multiLevelType w:val="hybridMultilevel"/>
    <w:tmpl w:val="B12A26A2"/>
    <w:lvl w:ilvl="0" w:tplc="524EDE28">
      <w:start w:val="1"/>
      <w:numFmt w:val="decimal"/>
      <w:lvlText w:val="%1)"/>
      <w:lvlJc w:val="left"/>
      <w:pPr>
        <w:ind w:left="360" w:hanging="360"/>
      </w:pPr>
      <w:rPr>
        <w:rFonts w:ascii="Times New Roman" w:eastAsiaTheme="minorEastAsia" w:hAnsi="Times New Roman" w:cs="Times New Roman"/>
      </w:rPr>
    </w:lvl>
    <w:lvl w:ilvl="1" w:tplc="04260003">
      <w:start w:val="1"/>
      <w:numFmt w:val="bullet"/>
      <w:lvlText w:val="o"/>
      <w:lvlJc w:val="left"/>
      <w:pPr>
        <w:ind w:left="1080" w:hanging="360"/>
      </w:pPr>
      <w:rPr>
        <w:rFonts w:ascii="Courier New" w:hAnsi="Courier New" w:cs="Courier New" w:hint="default"/>
      </w:rPr>
    </w:lvl>
    <w:lvl w:ilvl="2" w:tplc="6AA48F1A">
      <w:start w:val="1"/>
      <w:numFmt w:val="decimal"/>
      <w:lvlText w:val="%3."/>
      <w:lvlJc w:val="left"/>
      <w:pPr>
        <w:ind w:left="1800" w:hanging="360"/>
      </w:pPr>
      <w:rPr>
        <w:rFont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9D734E2"/>
    <w:multiLevelType w:val="hybridMultilevel"/>
    <w:tmpl w:val="08DC6280"/>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55919A9"/>
    <w:multiLevelType w:val="hybridMultilevel"/>
    <w:tmpl w:val="49D6EF8E"/>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177642D0"/>
    <w:multiLevelType w:val="hybridMultilevel"/>
    <w:tmpl w:val="26A036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6D561E"/>
    <w:multiLevelType w:val="hybridMultilevel"/>
    <w:tmpl w:val="228224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7F457C"/>
    <w:multiLevelType w:val="hybridMultilevel"/>
    <w:tmpl w:val="E4368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049BFE"/>
    <w:multiLevelType w:val="hybridMultilevel"/>
    <w:tmpl w:val="EFFAF78E"/>
    <w:lvl w:ilvl="0" w:tplc="C32E6B20">
      <w:start w:val="1"/>
      <w:numFmt w:val="bullet"/>
      <w:lvlText w:val="-"/>
      <w:lvlJc w:val="left"/>
      <w:pPr>
        <w:ind w:left="720" w:hanging="360"/>
      </w:pPr>
      <w:rPr>
        <w:rFonts w:ascii="Calibri" w:hAnsi="Calibri" w:hint="default"/>
      </w:rPr>
    </w:lvl>
    <w:lvl w:ilvl="1" w:tplc="26EEFD70">
      <w:start w:val="1"/>
      <w:numFmt w:val="bullet"/>
      <w:lvlText w:val="o"/>
      <w:lvlJc w:val="left"/>
      <w:pPr>
        <w:ind w:left="1440" w:hanging="360"/>
      </w:pPr>
      <w:rPr>
        <w:rFonts w:ascii="Courier New" w:hAnsi="Courier New" w:hint="default"/>
      </w:rPr>
    </w:lvl>
    <w:lvl w:ilvl="2" w:tplc="7B0CE36E">
      <w:start w:val="1"/>
      <w:numFmt w:val="bullet"/>
      <w:lvlText w:val=""/>
      <w:lvlJc w:val="left"/>
      <w:pPr>
        <w:ind w:left="2160" w:hanging="360"/>
      </w:pPr>
      <w:rPr>
        <w:rFonts w:ascii="Wingdings" w:hAnsi="Wingdings" w:hint="default"/>
      </w:rPr>
    </w:lvl>
    <w:lvl w:ilvl="3" w:tplc="B5564CBE">
      <w:start w:val="1"/>
      <w:numFmt w:val="bullet"/>
      <w:lvlText w:val=""/>
      <w:lvlJc w:val="left"/>
      <w:pPr>
        <w:ind w:left="2880" w:hanging="360"/>
      </w:pPr>
      <w:rPr>
        <w:rFonts w:ascii="Symbol" w:hAnsi="Symbol" w:hint="default"/>
      </w:rPr>
    </w:lvl>
    <w:lvl w:ilvl="4" w:tplc="91A03F3A">
      <w:start w:val="1"/>
      <w:numFmt w:val="bullet"/>
      <w:lvlText w:val="o"/>
      <w:lvlJc w:val="left"/>
      <w:pPr>
        <w:ind w:left="3600" w:hanging="360"/>
      </w:pPr>
      <w:rPr>
        <w:rFonts w:ascii="Courier New" w:hAnsi="Courier New" w:hint="default"/>
      </w:rPr>
    </w:lvl>
    <w:lvl w:ilvl="5" w:tplc="FC26DBB8">
      <w:start w:val="1"/>
      <w:numFmt w:val="bullet"/>
      <w:lvlText w:val=""/>
      <w:lvlJc w:val="left"/>
      <w:pPr>
        <w:ind w:left="4320" w:hanging="360"/>
      </w:pPr>
      <w:rPr>
        <w:rFonts w:ascii="Wingdings" w:hAnsi="Wingdings" w:hint="default"/>
      </w:rPr>
    </w:lvl>
    <w:lvl w:ilvl="6" w:tplc="C7FA7024">
      <w:start w:val="1"/>
      <w:numFmt w:val="bullet"/>
      <w:lvlText w:val=""/>
      <w:lvlJc w:val="left"/>
      <w:pPr>
        <w:ind w:left="5040" w:hanging="360"/>
      </w:pPr>
      <w:rPr>
        <w:rFonts w:ascii="Symbol" w:hAnsi="Symbol" w:hint="default"/>
      </w:rPr>
    </w:lvl>
    <w:lvl w:ilvl="7" w:tplc="A250830E">
      <w:start w:val="1"/>
      <w:numFmt w:val="bullet"/>
      <w:lvlText w:val="o"/>
      <w:lvlJc w:val="left"/>
      <w:pPr>
        <w:ind w:left="5760" w:hanging="360"/>
      </w:pPr>
      <w:rPr>
        <w:rFonts w:ascii="Courier New" w:hAnsi="Courier New" w:hint="default"/>
      </w:rPr>
    </w:lvl>
    <w:lvl w:ilvl="8" w:tplc="3782E6F2">
      <w:start w:val="1"/>
      <w:numFmt w:val="bullet"/>
      <w:lvlText w:val=""/>
      <w:lvlJc w:val="left"/>
      <w:pPr>
        <w:ind w:left="6480" w:hanging="360"/>
      </w:pPr>
      <w:rPr>
        <w:rFonts w:ascii="Wingdings" w:hAnsi="Wingdings" w:hint="default"/>
      </w:rPr>
    </w:lvl>
  </w:abstractNum>
  <w:abstractNum w:abstractNumId="10" w15:restartNumberingAfterBreak="0">
    <w:nsid w:val="1BBC6C4E"/>
    <w:multiLevelType w:val="hybridMultilevel"/>
    <w:tmpl w:val="9EE08B56"/>
    <w:lvl w:ilvl="0" w:tplc="D40C7C5E">
      <w:start w:val="1"/>
      <w:numFmt w:val="bullet"/>
      <w:lvlText w:val="-"/>
      <w:lvlJc w:val="left"/>
      <w:pPr>
        <w:ind w:left="720" w:hanging="360"/>
      </w:pPr>
      <w:rPr>
        <w:rFonts w:ascii="Calibri" w:hAnsi="Calibri" w:hint="default"/>
      </w:rPr>
    </w:lvl>
    <w:lvl w:ilvl="1" w:tplc="C3F8B16C">
      <w:start w:val="1"/>
      <w:numFmt w:val="bullet"/>
      <w:lvlText w:val="o"/>
      <w:lvlJc w:val="left"/>
      <w:pPr>
        <w:ind w:left="1440" w:hanging="360"/>
      </w:pPr>
      <w:rPr>
        <w:rFonts w:ascii="Courier New" w:hAnsi="Courier New" w:hint="default"/>
      </w:rPr>
    </w:lvl>
    <w:lvl w:ilvl="2" w:tplc="05F26A7C">
      <w:start w:val="1"/>
      <w:numFmt w:val="bullet"/>
      <w:lvlText w:val=""/>
      <w:lvlJc w:val="left"/>
      <w:pPr>
        <w:ind w:left="2160" w:hanging="360"/>
      </w:pPr>
      <w:rPr>
        <w:rFonts w:ascii="Wingdings" w:hAnsi="Wingdings" w:hint="default"/>
      </w:rPr>
    </w:lvl>
    <w:lvl w:ilvl="3" w:tplc="B11AE970">
      <w:start w:val="1"/>
      <w:numFmt w:val="bullet"/>
      <w:lvlText w:val=""/>
      <w:lvlJc w:val="left"/>
      <w:pPr>
        <w:ind w:left="2880" w:hanging="360"/>
      </w:pPr>
      <w:rPr>
        <w:rFonts w:ascii="Symbol" w:hAnsi="Symbol" w:hint="default"/>
      </w:rPr>
    </w:lvl>
    <w:lvl w:ilvl="4" w:tplc="FD7ABDB0">
      <w:start w:val="1"/>
      <w:numFmt w:val="bullet"/>
      <w:lvlText w:val="o"/>
      <w:lvlJc w:val="left"/>
      <w:pPr>
        <w:ind w:left="3600" w:hanging="360"/>
      </w:pPr>
      <w:rPr>
        <w:rFonts w:ascii="Courier New" w:hAnsi="Courier New" w:hint="default"/>
      </w:rPr>
    </w:lvl>
    <w:lvl w:ilvl="5" w:tplc="81E6E450">
      <w:start w:val="1"/>
      <w:numFmt w:val="bullet"/>
      <w:lvlText w:val=""/>
      <w:lvlJc w:val="left"/>
      <w:pPr>
        <w:ind w:left="4320" w:hanging="360"/>
      </w:pPr>
      <w:rPr>
        <w:rFonts w:ascii="Wingdings" w:hAnsi="Wingdings" w:hint="default"/>
      </w:rPr>
    </w:lvl>
    <w:lvl w:ilvl="6" w:tplc="7C624474">
      <w:start w:val="1"/>
      <w:numFmt w:val="bullet"/>
      <w:lvlText w:val=""/>
      <w:lvlJc w:val="left"/>
      <w:pPr>
        <w:ind w:left="5040" w:hanging="360"/>
      </w:pPr>
      <w:rPr>
        <w:rFonts w:ascii="Symbol" w:hAnsi="Symbol" w:hint="default"/>
      </w:rPr>
    </w:lvl>
    <w:lvl w:ilvl="7" w:tplc="7F7AEBAA">
      <w:start w:val="1"/>
      <w:numFmt w:val="bullet"/>
      <w:lvlText w:val="o"/>
      <w:lvlJc w:val="left"/>
      <w:pPr>
        <w:ind w:left="5760" w:hanging="360"/>
      </w:pPr>
      <w:rPr>
        <w:rFonts w:ascii="Courier New" w:hAnsi="Courier New" w:hint="default"/>
      </w:rPr>
    </w:lvl>
    <w:lvl w:ilvl="8" w:tplc="945E817A">
      <w:start w:val="1"/>
      <w:numFmt w:val="bullet"/>
      <w:lvlText w:val=""/>
      <w:lvlJc w:val="left"/>
      <w:pPr>
        <w:ind w:left="6480" w:hanging="360"/>
      </w:pPr>
      <w:rPr>
        <w:rFonts w:ascii="Wingdings" w:hAnsi="Wingdings" w:hint="default"/>
      </w:rPr>
    </w:lvl>
  </w:abstractNum>
  <w:abstractNum w:abstractNumId="11" w15:restartNumberingAfterBreak="0">
    <w:nsid w:val="1F0A7152"/>
    <w:multiLevelType w:val="hybridMultilevel"/>
    <w:tmpl w:val="5AD89B3C"/>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2287C131"/>
    <w:multiLevelType w:val="hybridMultilevel"/>
    <w:tmpl w:val="35DCB69E"/>
    <w:lvl w:ilvl="0" w:tplc="3F680AE0">
      <w:start w:val="1"/>
      <w:numFmt w:val="bullet"/>
      <w:lvlText w:val="-"/>
      <w:lvlJc w:val="left"/>
      <w:pPr>
        <w:ind w:left="720" w:hanging="360"/>
      </w:pPr>
      <w:rPr>
        <w:rFonts w:ascii="Calibri" w:hAnsi="Calibri" w:hint="default"/>
      </w:rPr>
    </w:lvl>
    <w:lvl w:ilvl="1" w:tplc="86BEB23E">
      <w:start w:val="1"/>
      <w:numFmt w:val="bullet"/>
      <w:lvlText w:val="o"/>
      <w:lvlJc w:val="left"/>
      <w:pPr>
        <w:ind w:left="1440" w:hanging="360"/>
      </w:pPr>
      <w:rPr>
        <w:rFonts w:ascii="Courier New" w:hAnsi="Courier New" w:hint="default"/>
      </w:rPr>
    </w:lvl>
    <w:lvl w:ilvl="2" w:tplc="9D4847C0">
      <w:start w:val="1"/>
      <w:numFmt w:val="bullet"/>
      <w:lvlText w:val=""/>
      <w:lvlJc w:val="left"/>
      <w:pPr>
        <w:ind w:left="2160" w:hanging="360"/>
      </w:pPr>
      <w:rPr>
        <w:rFonts w:ascii="Wingdings" w:hAnsi="Wingdings" w:hint="default"/>
      </w:rPr>
    </w:lvl>
    <w:lvl w:ilvl="3" w:tplc="F6C6B6CC">
      <w:start w:val="1"/>
      <w:numFmt w:val="bullet"/>
      <w:lvlText w:val=""/>
      <w:lvlJc w:val="left"/>
      <w:pPr>
        <w:ind w:left="2880" w:hanging="360"/>
      </w:pPr>
      <w:rPr>
        <w:rFonts w:ascii="Symbol" w:hAnsi="Symbol" w:hint="default"/>
      </w:rPr>
    </w:lvl>
    <w:lvl w:ilvl="4" w:tplc="5DF2A9B8">
      <w:start w:val="1"/>
      <w:numFmt w:val="bullet"/>
      <w:lvlText w:val="o"/>
      <w:lvlJc w:val="left"/>
      <w:pPr>
        <w:ind w:left="3600" w:hanging="360"/>
      </w:pPr>
      <w:rPr>
        <w:rFonts w:ascii="Courier New" w:hAnsi="Courier New" w:hint="default"/>
      </w:rPr>
    </w:lvl>
    <w:lvl w:ilvl="5" w:tplc="89DE782E">
      <w:start w:val="1"/>
      <w:numFmt w:val="bullet"/>
      <w:lvlText w:val=""/>
      <w:lvlJc w:val="left"/>
      <w:pPr>
        <w:ind w:left="4320" w:hanging="360"/>
      </w:pPr>
      <w:rPr>
        <w:rFonts w:ascii="Wingdings" w:hAnsi="Wingdings" w:hint="default"/>
      </w:rPr>
    </w:lvl>
    <w:lvl w:ilvl="6" w:tplc="DBA874EA">
      <w:start w:val="1"/>
      <w:numFmt w:val="bullet"/>
      <w:lvlText w:val=""/>
      <w:lvlJc w:val="left"/>
      <w:pPr>
        <w:ind w:left="5040" w:hanging="360"/>
      </w:pPr>
      <w:rPr>
        <w:rFonts w:ascii="Symbol" w:hAnsi="Symbol" w:hint="default"/>
      </w:rPr>
    </w:lvl>
    <w:lvl w:ilvl="7" w:tplc="C4A8E8A2">
      <w:start w:val="1"/>
      <w:numFmt w:val="bullet"/>
      <w:lvlText w:val="o"/>
      <w:lvlJc w:val="left"/>
      <w:pPr>
        <w:ind w:left="5760" w:hanging="360"/>
      </w:pPr>
      <w:rPr>
        <w:rFonts w:ascii="Courier New" w:hAnsi="Courier New" w:hint="default"/>
      </w:rPr>
    </w:lvl>
    <w:lvl w:ilvl="8" w:tplc="0B9E0DDA">
      <w:start w:val="1"/>
      <w:numFmt w:val="bullet"/>
      <w:lvlText w:val=""/>
      <w:lvlJc w:val="left"/>
      <w:pPr>
        <w:ind w:left="6480" w:hanging="360"/>
      </w:pPr>
      <w:rPr>
        <w:rFonts w:ascii="Wingdings" w:hAnsi="Wingdings" w:hint="default"/>
      </w:rPr>
    </w:lvl>
  </w:abstractNum>
  <w:abstractNum w:abstractNumId="13" w15:restartNumberingAfterBreak="0">
    <w:nsid w:val="23EB2E84"/>
    <w:multiLevelType w:val="hybridMultilevel"/>
    <w:tmpl w:val="2C8203A8"/>
    <w:lvl w:ilvl="0" w:tplc="042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3D7AED"/>
    <w:multiLevelType w:val="hybridMultilevel"/>
    <w:tmpl w:val="48F686F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5322C3A"/>
    <w:multiLevelType w:val="hybridMultilevel"/>
    <w:tmpl w:val="F39891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28FB6352"/>
    <w:multiLevelType w:val="hybridMultilevel"/>
    <w:tmpl w:val="F4FC04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B60081"/>
    <w:multiLevelType w:val="hybridMultilevel"/>
    <w:tmpl w:val="173EEF2E"/>
    <w:lvl w:ilvl="0" w:tplc="6AA48F1A">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C209CC"/>
    <w:multiLevelType w:val="hybridMultilevel"/>
    <w:tmpl w:val="42F883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4E4EDE"/>
    <w:multiLevelType w:val="hybridMultilevel"/>
    <w:tmpl w:val="1EE6E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A620061"/>
    <w:multiLevelType w:val="hybridMultilevel"/>
    <w:tmpl w:val="6C12837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3BE908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577FD"/>
    <w:multiLevelType w:val="hybridMultilevel"/>
    <w:tmpl w:val="7AE04CB0"/>
    <w:lvl w:ilvl="0" w:tplc="FFFFFFFF">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9677B"/>
    <w:multiLevelType w:val="hybridMultilevel"/>
    <w:tmpl w:val="6478B97E"/>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49CD003D"/>
    <w:multiLevelType w:val="hybridMultilevel"/>
    <w:tmpl w:val="326254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F7414E"/>
    <w:multiLevelType w:val="hybridMultilevel"/>
    <w:tmpl w:val="F9827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CA5330"/>
    <w:multiLevelType w:val="hybridMultilevel"/>
    <w:tmpl w:val="3A041F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76B775F"/>
    <w:multiLevelType w:val="hybridMultilevel"/>
    <w:tmpl w:val="8132BC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7DB2A2E"/>
    <w:multiLevelType w:val="hybridMultilevel"/>
    <w:tmpl w:val="9E244A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92C5F71"/>
    <w:multiLevelType w:val="hybridMultilevel"/>
    <w:tmpl w:val="CF5A3DB2"/>
    <w:lvl w:ilvl="0" w:tplc="25021058">
      <w:start w:val="1"/>
      <w:numFmt w:val="bullet"/>
      <w:lvlText w:val="·"/>
      <w:lvlJc w:val="left"/>
      <w:pPr>
        <w:ind w:left="720" w:hanging="360"/>
      </w:pPr>
      <w:rPr>
        <w:rFonts w:ascii="Symbol" w:hAnsi="Symbol" w:hint="default"/>
      </w:rPr>
    </w:lvl>
    <w:lvl w:ilvl="1" w:tplc="552C114E">
      <w:start w:val="1"/>
      <w:numFmt w:val="bullet"/>
      <w:lvlText w:val="o"/>
      <w:lvlJc w:val="left"/>
      <w:pPr>
        <w:ind w:left="1440" w:hanging="360"/>
      </w:pPr>
      <w:rPr>
        <w:rFonts w:ascii="Courier New" w:hAnsi="Courier New" w:hint="default"/>
      </w:rPr>
    </w:lvl>
    <w:lvl w:ilvl="2" w:tplc="1A6CE9F0">
      <w:start w:val="1"/>
      <w:numFmt w:val="bullet"/>
      <w:lvlText w:val=""/>
      <w:lvlJc w:val="left"/>
      <w:pPr>
        <w:ind w:left="2160" w:hanging="360"/>
      </w:pPr>
      <w:rPr>
        <w:rFonts w:ascii="Wingdings" w:hAnsi="Wingdings" w:hint="default"/>
      </w:rPr>
    </w:lvl>
    <w:lvl w:ilvl="3" w:tplc="5ACEFC66">
      <w:start w:val="1"/>
      <w:numFmt w:val="bullet"/>
      <w:lvlText w:val=""/>
      <w:lvlJc w:val="left"/>
      <w:pPr>
        <w:ind w:left="2880" w:hanging="360"/>
      </w:pPr>
      <w:rPr>
        <w:rFonts w:ascii="Symbol" w:hAnsi="Symbol" w:hint="default"/>
      </w:rPr>
    </w:lvl>
    <w:lvl w:ilvl="4" w:tplc="90DE2098">
      <w:start w:val="1"/>
      <w:numFmt w:val="bullet"/>
      <w:lvlText w:val="o"/>
      <w:lvlJc w:val="left"/>
      <w:pPr>
        <w:ind w:left="3600" w:hanging="360"/>
      </w:pPr>
      <w:rPr>
        <w:rFonts w:ascii="Courier New" w:hAnsi="Courier New" w:hint="default"/>
      </w:rPr>
    </w:lvl>
    <w:lvl w:ilvl="5" w:tplc="BBCE859E">
      <w:start w:val="1"/>
      <w:numFmt w:val="bullet"/>
      <w:lvlText w:val=""/>
      <w:lvlJc w:val="left"/>
      <w:pPr>
        <w:ind w:left="4320" w:hanging="360"/>
      </w:pPr>
      <w:rPr>
        <w:rFonts w:ascii="Wingdings" w:hAnsi="Wingdings" w:hint="default"/>
      </w:rPr>
    </w:lvl>
    <w:lvl w:ilvl="6" w:tplc="A690652E">
      <w:start w:val="1"/>
      <w:numFmt w:val="bullet"/>
      <w:lvlText w:val=""/>
      <w:lvlJc w:val="left"/>
      <w:pPr>
        <w:ind w:left="5040" w:hanging="360"/>
      </w:pPr>
      <w:rPr>
        <w:rFonts w:ascii="Symbol" w:hAnsi="Symbol" w:hint="default"/>
      </w:rPr>
    </w:lvl>
    <w:lvl w:ilvl="7" w:tplc="03C4BD80">
      <w:start w:val="1"/>
      <w:numFmt w:val="bullet"/>
      <w:lvlText w:val="o"/>
      <w:lvlJc w:val="left"/>
      <w:pPr>
        <w:ind w:left="5760" w:hanging="360"/>
      </w:pPr>
      <w:rPr>
        <w:rFonts w:ascii="Courier New" w:hAnsi="Courier New" w:hint="default"/>
      </w:rPr>
    </w:lvl>
    <w:lvl w:ilvl="8" w:tplc="48DED1D8">
      <w:start w:val="1"/>
      <w:numFmt w:val="bullet"/>
      <w:lvlText w:val=""/>
      <w:lvlJc w:val="left"/>
      <w:pPr>
        <w:ind w:left="6480" w:hanging="360"/>
      </w:pPr>
      <w:rPr>
        <w:rFonts w:ascii="Wingdings" w:hAnsi="Wingdings" w:hint="default"/>
      </w:rPr>
    </w:lvl>
  </w:abstractNum>
  <w:abstractNum w:abstractNumId="30" w15:restartNumberingAfterBreak="0">
    <w:nsid w:val="5BEF329E"/>
    <w:multiLevelType w:val="hybridMultilevel"/>
    <w:tmpl w:val="09A0B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07517C"/>
    <w:multiLevelType w:val="hybridMultilevel"/>
    <w:tmpl w:val="7B9CA396"/>
    <w:lvl w:ilvl="0" w:tplc="5A8AC81E">
      <w:start w:val="1"/>
      <w:numFmt w:val="bullet"/>
      <w:lvlText w:val="·"/>
      <w:lvlJc w:val="left"/>
      <w:pPr>
        <w:ind w:left="720" w:hanging="360"/>
      </w:pPr>
      <w:rPr>
        <w:rFonts w:ascii="Symbol" w:hAnsi="Symbol" w:hint="default"/>
      </w:rPr>
    </w:lvl>
    <w:lvl w:ilvl="1" w:tplc="CA0EEEE6">
      <w:start w:val="1"/>
      <w:numFmt w:val="bullet"/>
      <w:lvlText w:val="o"/>
      <w:lvlJc w:val="left"/>
      <w:pPr>
        <w:ind w:left="1440" w:hanging="360"/>
      </w:pPr>
      <w:rPr>
        <w:rFonts w:ascii="Courier New" w:hAnsi="Courier New" w:hint="default"/>
      </w:rPr>
    </w:lvl>
    <w:lvl w:ilvl="2" w:tplc="87D8CD5E">
      <w:start w:val="1"/>
      <w:numFmt w:val="bullet"/>
      <w:lvlText w:val=""/>
      <w:lvlJc w:val="left"/>
      <w:pPr>
        <w:ind w:left="2160" w:hanging="360"/>
      </w:pPr>
      <w:rPr>
        <w:rFonts w:ascii="Wingdings" w:hAnsi="Wingdings" w:hint="default"/>
      </w:rPr>
    </w:lvl>
    <w:lvl w:ilvl="3" w:tplc="321A8906">
      <w:start w:val="1"/>
      <w:numFmt w:val="bullet"/>
      <w:lvlText w:val=""/>
      <w:lvlJc w:val="left"/>
      <w:pPr>
        <w:ind w:left="2880" w:hanging="360"/>
      </w:pPr>
      <w:rPr>
        <w:rFonts w:ascii="Symbol" w:hAnsi="Symbol" w:hint="default"/>
      </w:rPr>
    </w:lvl>
    <w:lvl w:ilvl="4" w:tplc="2868946A">
      <w:start w:val="1"/>
      <w:numFmt w:val="bullet"/>
      <w:lvlText w:val="o"/>
      <w:lvlJc w:val="left"/>
      <w:pPr>
        <w:ind w:left="3600" w:hanging="360"/>
      </w:pPr>
      <w:rPr>
        <w:rFonts w:ascii="Courier New" w:hAnsi="Courier New" w:hint="default"/>
      </w:rPr>
    </w:lvl>
    <w:lvl w:ilvl="5" w:tplc="556A53AA">
      <w:start w:val="1"/>
      <w:numFmt w:val="bullet"/>
      <w:lvlText w:val=""/>
      <w:lvlJc w:val="left"/>
      <w:pPr>
        <w:ind w:left="4320" w:hanging="360"/>
      </w:pPr>
      <w:rPr>
        <w:rFonts w:ascii="Wingdings" w:hAnsi="Wingdings" w:hint="default"/>
      </w:rPr>
    </w:lvl>
    <w:lvl w:ilvl="6" w:tplc="2ECE0B1A">
      <w:start w:val="1"/>
      <w:numFmt w:val="bullet"/>
      <w:lvlText w:val=""/>
      <w:lvlJc w:val="left"/>
      <w:pPr>
        <w:ind w:left="5040" w:hanging="360"/>
      </w:pPr>
      <w:rPr>
        <w:rFonts w:ascii="Symbol" w:hAnsi="Symbol" w:hint="default"/>
      </w:rPr>
    </w:lvl>
    <w:lvl w:ilvl="7" w:tplc="686C67C0">
      <w:start w:val="1"/>
      <w:numFmt w:val="bullet"/>
      <w:lvlText w:val="o"/>
      <w:lvlJc w:val="left"/>
      <w:pPr>
        <w:ind w:left="5760" w:hanging="360"/>
      </w:pPr>
      <w:rPr>
        <w:rFonts w:ascii="Courier New" w:hAnsi="Courier New" w:hint="default"/>
      </w:rPr>
    </w:lvl>
    <w:lvl w:ilvl="8" w:tplc="9CBC788C">
      <w:start w:val="1"/>
      <w:numFmt w:val="bullet"/>
      <w:lvlText w:val=""/>
      <w:lvlJc w:val="left"/>
      <w:pPr>
        <w:ind w:left="6480" w:hanging="360"/>
      </w:pPr>
      <w:rPr>
        <w:rFonts w:ascii="Wingdings" w:hAnsi="Wingdings" w:hint="default"/>
      </w:rPr>
    </w:lvl>
  </w:abstractNum>
  <w:abstractNum w:abstractNumId="32" w15:restartNumberingAfterBreak="0">
    <w:nsid w:val="78D7E640"/>
    <w:multiLevelType w:val="multilevel"/>
    <w:tmpl w:val="504CD5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607F11"/>
    <w:multiLevelType w:val="hybridMultilevel"/>
    <w:tmpl w:val="974E223A"/>
    <w:lvl w:ilvl="0" w:tplc="97262862">
      <w:start w:val="1"/>
      <w:numFmt w:val="decimal"/>
      <w:lvlText w:val="%1."/>
      <w:lvlJc w:val="left"/>
      <w:pPr>
        <w:ind w:left="720" w:hanging="360"/>
      </w:pPr>
    </w:lvl>
    <w:lvl w:ilvl="1" w:tplc="8A98599A">
      <w:start w:val="1"/>
      <w:numFmt w:val="lowerLetter"/>
      <w:lvlText w:val="%2."/>
      <w:lvlJc w:val="left"/>
      <w:pPr>
        <w:ind w:left="1440" w:hanging="360"/>
      </w:pPr>
    </w:lvl>
    <w:lvl w:ilvl="2" w:tplc="E79E45D0">
      <w:start w:val="1"/>
      <w:numFmt w:val="lowerRoman"/>
      <w:lvlText w:val="%3."/>
      <w:lvlJc w:val="right"/>
      <w:pPr>
        <w:ind w:left="2160" w:hanging="180"/>
      </w:pPr>
    </w:lvl>
    <w:lvl w:ilvl="3" w:tplc="886631DA">
      <w:start w:val="1"/>
      <w:numFmt w:val="decimal"/>
      <w:lvlText w:val="%4."/>
      <w:lvlJc w:val="left"/>
      <w:pPr>
        <w:ind w:left="2880" w:hanging="360"/>
      </w:pPr>
    </w:lvl>
    <w:lvl w:ilvl="4" w:tplc="F836B8DC">
      <w:start w:val="1"/>
      <w:numFmt w:val="lowerLetter"/>
      <w:lvlText w:val="%5."/>
      <w:lvlJc w:val="left"/>
      <w:pPr>
        <w:ind w:left="3600" w:hanging="360"/>
      </w:pPr>
    </w:lvl>
    <w:lvl w:ilvl="5" w:tplc="80D4C2BE">
      <w:start w:val="1"/>
      <w:numFmt w:val="lowerRoman"/>
      <w:lvlText w:val="%6."/>
      <w:lvlJc w:val="right"/>
      <w:pPr>
        <w:ind w:left="4320" w:hanging="180"/>
      </w:pPr>
    </w:lvl>
    <w:lvl w:ilvl="6" w:tplc="7C1016EC">
      <w:start w:val="1"/>
      <w:numFmt w:val="decimal"/>
      <w:lvlText w:val="%7."/>
      <w:lvlJc w:val="left"/>
      <w:pPr>
        <w:ind w:left="5040" w:hanging="360"/>
      </w:pPr>
    </w:lvl>
    <w:lvl w:ilvl="7" w:tplc="C77C6B92">
      <w:start w:val="1"/>
      <w:numFmt w:val="lowerLetter"/>
      <w:lvlText w:val="%8."/>
      <w:lvlJc w:val="left"/>
      <w:pPr>
        <w:ind w:left="5760" w:hanging="360"/>
      </w:pPr>
    </w:lvl>
    <w:lvl w:ilvl="8" w:tplc="3216C770">
      <w:start w:val="1"/>
      <w:numFmt w:val="lowerRoman"/>
      <w:lvlText w:val="%9."/>
      <w:lvlJc w:val="right"/>
      <w:pPr>
        <w:ind w:left="6480" w:hanging="180"/>
      </w:pPr>
    </w:lvl>
  </w:abstractNum>
  <w:num w:numId="1" w16cid:durableId="232813461">
    <w:abstractNumId w:val="32"/>
  </w:num>
  <w:num w:numId="2" w16cid:durableId="1417289364">
    <w:abstractNumId w:val="0"/>
  </w:num>
  <w:num w:numId="3" w16cid:durableId="1831094607">
    <w:abstractNumId w:val="33"/>
  </w:num>
  <w:num w:numId="4" w16cid:durableId="1935283140">
    <w:abstractNumId w:val="31"/>
  </w:num>
  <w:num w:numId="5" w16cid:durableId="1731345146">
    <w:abstractNumId w:val="29"/>
  </w:num>
  <w:num w:numId="6" w16cid:durableId="545534676">
    <w:abstractNumId w:val="12"/>
  </w:num>
  <w:num w:numId="7" w16cid:durableId="1132819998">
    <w:abstractNumId w:val="9"/>
  </w:num>
  <w:num w:numId="8" w16cid:durableId="1957521038">
    <w:abstractNumId w:val="10"/>
  </w:num>
  <w:num w:numId="9" w16cid:durableId="2053112001">
    <w:abstractNumId w:val="1"/>
  </w:num>
  <w:num w:numId="10" w16cid:durableId="1958948868">
    <w:abstractNumId w:val="27"/>
  </w:num>
  <w:num w:numId="11" w16cid:durableId="1750351112">
    <w:abstractNumId w:val="14"/>
  </w:num>
  <w:num w:numId="12" w16cid:durableId="2008751249">
    <w:abstractNumId w:val="15"/>
  </w:num>
  <w:num w:numId="13" w16cid:durableId="1906254525">
    <w:abstractNumId w:val="28"/>
  </w:num>
  <w:num w:numId="14" w16cid:durableId="1799298702">
    <w:abstractNumId w:val="6"/>
  </w:num>
  <w:num w:numId="15" w16cid:durableId="706180775">
    <w:abstractNumId w:val="22"/>
  </w:num>
  <w:num w:numId="16" w16cid:durableId="397096208">
    <w:abstractNumId w:val="26"/>
  </w:num>
  <w:num w:numId="17" w16cid:durableId="1927297943">
    <w:abstractNumId w:val="23"/>
  </w:num>
  <w:num w:numId="18" w16cid:durableId="1644893461">
    <w:abstractNumId w:val="5"/>
  </w:num>
  <w:num w:numId="19" w16cid:durableId="2010669003">
    <w:abstractNumId w:val="30"/>
  </w:num>
  <w:num w:numId="20" w16cid:durableId="64030342">
    <w:abstractNumId w:val="2"/>
  </w:num>
  <w:num w:numId="21" w16cid:durableId="34698383">
    <w:abstractNumId w:val="8"/>
  </w:num>
  <w:num w:numId="22" w16cid:durableId="1895853039">
    <w:abstractNumId w:val="20"/>
  </w:num>
  <w:num w:numId="23" w16cid:durableId="2083601478">
    <w:abstractNumId w:val="3"/>
  </w:num>
  <w:num w:numId="24" w16cid:durableId="721640154">
    <w:abstractNumId w:val="19"/>
  </w:num>
  <w:num w:numId="25" w16cid:durableId="1967663074">
    <w:abstractNumId w:val="21"/>
  </w:num>
  <w:num w:numId="26" w16cid:durableId="1168180167">
    <w:abstractNumId w:val="16"/>
  </w:num>
  <w:num w:numId="27" w16cid:durableId="1652518972">
    <w:abstractNumId w:val="24"/>
  </w:num>
  <w:num w:numId="28" w16cid:durableId="789470054">
    <w:abstractNumId w:val="18"/>
  </w:num>
  <w:num w:numId="29" w16cid:durableId="1843885387">
    <w:abstractNumId w:val="4"/>
  </w:num>
  <w:num w:numId="30" w16cid:durableId="12608976">
    <w:abstractNumId w:val="11"/>
  </w:num>
  <w:num w:numId="31" w16cid:durableId="139539506">
    <w:abstractNumId w:val="13"/>
  </w:num>
  <w:num w:numId="32" w16cid:durableId="1039472284">
    <w:abstractNumId w:val="7"/>
  </w:num>
  <w:num w:numId="33" w16cid:durableId="68843572">
    <w:abstractNumId w:val="17"/>
  </w:num>
  <w:num w:numId="34" w16cid:durableId="86548815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0A"/>
    <w:rsid w:val="00000212"/>
    <w:rsid w:val="00000440"/>
    <w:rsid w:val="0000067D"/>
    <w:rsid w:val="0000097A"/>
    <w:rsid w:val="00000EF6"/>
    <w:rsid w:val="00000F14"/>
    <w:rsid w:val="00001BDD"/>
    <w:rsid w:val="0000231F"/>
    <w:rsid w:val="00003569"/>
    <w:rsid w:val="00003E35"/>
    <w:rsid w:val="00003E79"/>
    <w:rsid w:val="00004280"/>
    <w:rsid w:val="00004386"/>
    <w:rsid w:val="00004512"/>
    <w:rsid w:val="00005082"/>
    <w:rsid w:val="000058AF"/>
    <w:rsid w:val="00005BD6"/>
    <w:rsid w:val="00005C45"/>
    <w:rsid w:val="00005C5E"/>
    <w:rsid w:val="00006067"/>
    <w:rsid w:val="0000647E"/>
    <w:rsid w:val="00006565"/>
    <w:rsid w:val="000069CB"/>
    <w:rsid w:val="00006AE1"/>
    <w:rsid w:val="00007499"/>
    <w:rsid w:val="0000787E"/>
    <w:rsid w:val="00007D78"/>
    <w:rsid w:val="00007F71"/>
    <w:rsid w:val="00007FF5"/>
    <w:rsid w:val="000103AB"/>
    <w:rsid w:val="000108D4"/>
    <w:rsid w:val="00010907"/>
    <w:rsid w:val="00010B31"/>
    <w:rsid w:val="0001112F"/>
    <w:rsid w:val="000111D7"/>
    <w:rsid w:val="00011372"/>
    <w:rsid w:val="0001204F"/>
    <w:rsid w:val="00012C70"/>
    <w:rsid w:val="00012CE9"/>
    <w:rsid w:val="00013385"/>
    <w:rsid w:val="00013976"/>
    <w:rsid w:val="00013DBF"/>
    <w:rsid w:val="00014B21"/>
    <w:rsid w:val="00014E05"/>
    <w:rsid w:val="00014FEE"/>
    <w:rsid w:val="00015247"/>
    <w:rsid w:val="00015A98"/>
    <w:rsid w:val="000163BE"/>
    <w:rsid w:val="00016BB8"/>
    <w:rsid w:val="0001729C"/>
    <w:rsid w:val="00017BAD"/>
    <w:rsid w:val="000201F8"/>
    <w:rsid w:val="00020341"/>
    <w:rsid w:val="0002078A"/>
    <w:rsid w:val="000209A4"/>
    <w:rsid w:val="00020A1A"/>
    <w:rsid w:val="00020B70"/>
    <w:rsid w:val="00020B9D"/>
    <w:rsid w:val="00020EE9"/>
    <w:rsid w:val="00021224"/>
    <w:rsid w:val="00021559"/>
    <w:rsid w:val="0002259C"/>
    <w:rsid w:val="0002270D"/>
    <w:rsid w:val="00022CE0"/>
    <w:rsid w:val="00022F8E"/>
    <w:rsid w:val="0002355F"/>
    <w:rsid w:val="0002369F"/>
    <w:rsid w:val="000236ED"/>
    <w:rsid w:val="00023906"/>
    <w:rsid w:val="00023E2A"/>
    <w:rsid w:val="00025201"/>
    <w:rsid w:val="00025E1D"/>
    <w:rsid w:val="00026A43"/>
    <w:rsid w:val="00026B87"/>
    <w:rsid w:val="00026C0F"/>
    <w:rsid w:val="00026C73"/>
    <w:rsid w:val="00026E1B"/>
    <w:rsid w:val="000275AD"/>
    <w:rsid w:val="000279EE"/>
    <w:rsid w:val="000302E7"/>
    <w:rsid w:val="000303B0"/>
    <w:rsid w:val="00030E79"/>
    <w:rsid w:val="000311AB"/>
    <w:rsid w:val="000312AC"/>
    <w:rsid w:val="000315B4"/>
    <w:rsid w:val="0003163D"/>
    <w:rsid w:val="00031A29"/>
    <w:rsid w:val="00032086"/>
    <w:rsid w:val="0003263D"/>
    <w:rsid w:val="0003274B"/>
    <w:rsid w:val="0003299F"/>
    <w:rsid w:val="00032FD7"/>
    <w:rsid w:val="00033836"/>
    <w:rsid w:val="000339B4"/>
    <w:rsid w:val="00033D1C"/>
    <w:rsid w:val="000343D9"/>
    <w:rsid w:val="000344C8"/>
    <w:rsid w:val="00034601"/>
    <w:rsid w:val="0003510D"/>
    <w:rsid w:val="000351F4"/>
    <w:rsid w:val="0003578B"/>
    <w:rsid w:val="000358F9"/>
    <w:rsid w:val="0003649D"/>
    <w:rsid w:val="00036C64"/>
    <w:rsid w:val="00037314"/>
    <w:rsid w:val="00037ADF"/>
    <w:rsid w:val="0004021B"/>
    <w:rsid w:val="00040531"/>
    <w:rsid w:val="000406D9"/>
    <w:rsid w:val="00040CE7"/>
    <w:rsid w:val="00040D57"/>
    <w:rsid w:val="00040F67"/>
    <w:rsid w:val="000410AE"/>
    <w:rsid w:val="00041A2C"/>
    <w:rsid w:val="00041A92"/>
    <w:rsid w:val="00042B3B"/>
    <w:rsid w:val="00042D57"/>
    <w:rsid w:val="0004346D"/>
    <w:rsid w:val="0004350C"/>
    <w:rsid w:val="00043EB5"/>
    <w:rsid w:val="00043EBE"/>
    <w:rsid w:val="00044057"/>
    <w:rsid w:val="000446AE"/>
    <w:rsid w:val="00044C01"/>
    <w:rsid w:val="000453A9"/>
    <w:rsid w:val="00045BE4"/>
    <w:rsid w:val="00045E3B"/>
    <w:rsid w:val="00046B8A"/>
    <w:rsid w:val="00046DEF"/>
    <w:rsid w:val="00047CC7"/>
    <w:rsid w:val="00047DD7"/>
    <w:rsid w:val="000502DB"/>
    <w:rsid w:val="00050737"/>
    <w:rsid w:val="0005084B"/>
    <w:rsid w:val="000508D2"/>
    <w:rsid w:val="00050BD7"/>
    <w:rsid w:val="0005152F"/>
    <w:rsid w:val="000516AF"/>
    <w:rsid w:val="000518A8"/>
    <w:rsid w:val="00051AE9"/>
    <w:rsid w:val="00051BEE"/>
    <w:rsid w:val="0005218C"/>
    <w:rsid w:val="0005227B"/>
    <w:rsid w:val="00053036"/>
    <w:rsid w:val="00053912"/>
    <w:rsid w:val="00054091"/>
    <w:rsid w:val="00054154"/>
    <w:rsid w:val="00054AE7"/>
    <w:rsid w:val="00054C38"/>
    <w:rsid w:val="00055059"/>
    <w:rsid w:val="00055B47"/>
    <w:rsid w:val="00056AFE"/>
    <w:rsid w:val="00056C00"/>
    <w:rsid w:val="00056C31"/>
    <w:rsid w:val="00056CEA"/>
    <w:rsid w:val="00056D91"/>
    <w:rsid w:val="00056E9D"/>
    <w:rsid w:val="00057626"/>
    <w:rsid w:val="000578B1"/>
    <w:rsid w:val="00057CD8"/>
    <w:rsid w:val="000602C1"/>
    <w:rsid w:val="000604DD"/>
    <w:rsid w:val="0006051E"/>
    <w:rsid w:val="00060D33"/>
    <w:rsid w:val="00061036"/>
    <w:rsid w:val="0006148C"/>
    <w:rsid w:val="000619A6"/>
    <w:rsid w:val="00061C85"/>
    <w:rsid w:val="0006209C"/>
    <w:rsid w:val="00062884"/>
    <w:rsid w:val="00063474"/>
    <w:rsid w:val="00064239"/>
    <w:rsid w:val="00064C3F"/>
    <w:rsid w:val="00065438"/>
    <w:rsid w:val="00065E03"/>
    <w:rsid w:val="0006608B"/>
    <w:rsid w:val="000660E5"/>
    <w:rsid w:val="00066271"/>
    <w:rsid w:val="0006642A"/>
    <w:rsid w:val="00066799"/>
    <w:rsid w:val="000668B4"/>
    <w:rsid w:val="000668E0"/>
    <w:rsid w:val="0006768B"/>
    <w:rsid w:val="00067A14"/>
    <w:rsid w:val="0007025C"/>
    <w:rsid w:val="000709C0"/>
    <w:rsid w:val="00071454"/>
    <w:rsid w:val="000715E3"/>
    <w:rsid w:val="00072E44"/>
    <w:rsid w:val="000730CA"/>
    <w:rsid w:val="00073916"/>
    <w:rsid w:val="00074821"/>
    <w:rsid w:val="00074862"/>
    <w:rsid w:val="00075867"/>
    <w:rsid w:val="00075882"/>
    <w:rsid w:val="000760F5"/>
    <w:rsid w:val="000768CD"/>
    <w:rsid w:val="0007707D"/>
    <w:rsid w:val="00077192"/>
    <w:rsid w:val="0007743F"/>
    <w:rsid w:val="00077630"/>
    <w:rsid w:val="00077751"/>
    <w:rsid w:val="00077A39"/>
    <w:rsid w:val="00077C1E"/>
    <w:rsid w:val="00077DAE"/>
    <w:rsid w:val="00077FC5"/>
    <w:rsid w:val="00081260"/>
    <w:rsid w:val="00081AC0"/>
    <w:rsid w:val="00081B2D"/>
    <w:rsid w:val="00081DD2"/>
    <w:rsid w:val="00081E7D"/>
    <w:rsid w:val="00082261"/>
    <w:rsid w:val="00082BFC"/>
    <w:rsid w:val="000830C1"/>
    <w:rsid w:val="00083685"/>
    <w:rsid w:val="000838BC"/>
    <w:rsid w:val="00083ABA"/>
    <w:rsid w:val="00083C82"/>
    <w:rsid w:val="00083C9A"/>
    <w:rsid w:val="00083D81"/>
    <w:rsid w:val="00084137"/>
    <w:rsid w:val="00084386"/>
    <w:rsid w:val="00084897"/>
    <w:rsid w:val="000851AC"/>
    <w:rsid w:val="00085755"/>
    <w:rsid w:val="00085A64"/>
    <w:rsid w:val="00085B1D"/>
    <w:rsid w:val="00085CFF"/>
    <w:rsid w:val="000862D1"/>
    <w:rsid w:val="00086331"/>
    <w:rsid w:val="00086B17"/>
    <w:rsid w:val="00087374"/>
    <w:rsid w:val="00087416"/>
    <w:rsid w:val="00087512"/>
    <w:rsid w:val="000875B2"/>
    <w:rsid w:val="00087E2C"/>
    <w:rsid w:val="00087E81"/>
    <w:rsid w:val="000900E0"/>
    <w:rsid w:val="0009015C"/>
    <w:rsid w:val="0009027F"/>
    <w:rsid w:val="000906BA"/>
    <w:rsid w:val="00090AD1"/>
    <w:rsid w:val="00090EFE"/>
    <w:rsid w:val="000913DB"/>
    <w:rsid w:val="00091746"/>
    <w:rsid w:val="00091BCA"/>
    <w:rsid w:val="00092537"/>
    <w:rsid w:val="00092C9F"/>
    <w:rsid w:val="00093047"/>
    <w:rsid w:val="00093491"/>
    <w:rsid w:val="00093BBC"/>
    <w:rsid w:val="000940FA"/>
    <w:rsid w:val="00094212"/>
    <w:rsid w:val="000943FE"/>
    <w:rsid w:val="00094793"/>
    <w:rsid w:val="000948BA"/>
    <w:rsid w:val="00094AC1"/>
    <w:rsid w:val="00095704"/>
    <w:rsid w:val="0009577B"/>
    <w:rsid w:val="00095AE0"/>
    <w:rsid w:val="00095D66"/>
    <w:rsid w:val="00095F74"/>
    <w:rsid w:val="000963B2"/>
    <w:rsid w:val="00096710"/>
    <w:rsid w:val="00096C76"/>
    <w:rsid w:val="00096E3E"/>
    <w:rsid w:val="00096F98"/>
    <w:rsid w:val="00097A8A"/>
    <w:rsid w:val="00097D19"/>
    <w:rsid w:val="000A0183"/>
    <w:rsid w:val="000A02C1"/>
    <w:rsid w:val="000A0603"/>
    <w:rsid w:val="000A0D45"/>
    <w:rsid w:val="000A1679"/>
    <w:rsid w:val="000A1AA7"/>
    <w:rsid w:val="000A1F52"/>
    <w:rsid w:val="000A20B5"/>
    <w:rsid w:val="000A2353"/>
    <w:rsid w:val="000A2402"/>
    <w:rsid w:val="000A29E2"/>
    <w:rsid w:val="000A2E44"/>
    <w:rsid w:val="000A2F29"/>
    <w:rsid w:val="000A32B8"/>
    <w:rsid w:val="000A375B"/>
    <w:rsid w:val="000A3C36"/>
    <w:rsid w:val="000A417B"/>
    <w:rsid w:val="000A5571"/>
    <w:rsid w:val="000A6C39"/>
    <w:rsid w:val="000A6F69"/>
    <w:rsid w:val="000A75EB"/>
    <w:rsid w:val="000B0373"/>
    <w:rsid w:val="000B03DE"/>
    <w:rsid w:val="000B0556"/>
    <w:rsid w:val="000B083B"/>
    <w:rsid w:val="000B0B6C"/>
    <w:rsid w:val="000B0E2F"/>
    <w:rsid w:val="000B0EBB"/>
    <w:rsid w:val="000B1215"/>
    <w:rsid w:val="000B123D"/>
    <w:rsid w:val="000B1E03"/>
    <w:rsid w:val="000B2067"/>
    <w:rsid w:val="000B21F4"/>
    <w:rsid w:val="000B233D"/>
    <w:rsid w:val="000B2691"/>
    <w:rsid w:val="000B28CF"/>
    <w:rsid w:val="000B2E02"/>
    <w:rsid w:val="000B30B1"/>
    <w:rsid w:val="000B35C6"/>
    <w:rsid w:val="000B3A2D"/>
    <w:rsid w:val="000B3A88"/>
    <w:rsid w:val="000B4162"/>
    <w:rsid w:val="000B4A2B"/>
    <w:rsid w:val="000B4C33"/>
    <w:rsid w:val="000B4D8B"/>
    <w:rsid w:val="000B51EA"/>
    <w:rsid w:val="000B52C9"/>
    <w:rsid w:val="000B55CF"/>
    <w:rsid w:val="000B56B2"/>
    <w:rsid w:val="000B5822"/>
    <w:rsid w:val="000B5928"/>
    <w:rsid w:val="000B5998"/>
    <w:rsid w:val="000B5B37"/>
    <w:rsid w:val="000B623F"/>
    <w:rsid w:val="000B6258"/>
    <w:rsid w:val="000B63E9"/>
    <w:rsid w:val="000B6516"/>
    <w:rsid w:val="000B65AA"/>
    <w:rsid w:val="000B697F"/>
    <w:rsid w:val="000B6F04"/>
    <w:rsid w:val="000B70C9"/>
    <w:rsid w:val="000B7261"/>
    <w:rsid w:val="000B743F"/>
    <w:rsid w:val="000B767C"/>
    <w:rsid w:val="000B7C41"/>
    <w:rsid w:val="000B7CD0"/>
    <w:rsid w:val="000B7CF5"/>
    <w:rsid w:val="000B7E08"/>
    <w:rsid w:val="000B7F3E"/>
    <w:rsid w:val="000C013A"/>
    <w:rsid w:val="000C0190"/>
    <w:rsid w:val="000C0461"/>
    <w:rsid w:val="000C06EF"/>
    <w:rsid w:val="000C0C8B"/>
    <w:rsid w:val="000C0EAD"/>
    <w:rsid w:val="000C0F63"/>
    <w:rsid w:val="000C12D2"/>
    <w:rsid w:val="000C14C8"/>
    <w:rsid w:val="000C18E3"/>
    <w:rsid w:val="000C1B3C"/>
    <w:rsid w:val="000C1D9E"/>
    <w:rsid w:val="000C1E77"/>
    <w:rsid w:val="000C2708"/>
    <w:rsid w:val="000C2A5C"/>
    <w:rsid w:val="000C2B33"/>
    <w:rsid w:val="000C3039"/>
    <w:rsid w:val="000C32E7"/>
    <w:rsid w:val="000C3349"/>
    <w:rsid w:val="000C34B8"/>
    <w:rsid w:val="000C389A"/>
    <w:rsid w:val="000C45FB"/>
    <w:rsid w:val="000C496C"/>
    <w:rsid w:val="000C51A1"/>
    <w:rsid w:val="000C52CD"/>
    <w:rsid w:val="000C53FD"/>
    <w:rsid w:val="000C5557"/>
    <w:rsid w:val="000C61D4"/>
    <w:rsid w:val="000C66F1"/>
    <w:rsid w:val="000C78E7"/>
    <w:rsid w:val="000C7AA9"/>
    <w:rsid w:val="000C7E8D"/>
    <w:rsid w:val="000C7FD8"/>
    <w:rsid w:val="000D057D"/>
    <w:rsid w:val="000D0619"/>
    <w:rsid w:val="000D0B29"/>
    <w:rsid w:val="000D15A2"/>
    <w:rsid w:val="000D1846"/>
    <w:rsid w:val="000D1C60"/>
    <w:rsid w:val="000D1CE8"/>
    <w:rsid w:val="000D276A"/>
    <w:rsid w:val="000D2A8F"/>
    <w:rsid w:val="000D30E5"/>
    <w:rsid w:val="000D3322"/>
    <w:rsid w:val="000D36BE"/>
    <w:rsid w:val="000D374D"/>
    <w:rsid w:val="000D392A"/>
    <w:rsid w:val="000D3A62"/>
    <w:rsid w:val="000D3A82"/>
    <w:rsid w:val="000D3B88"/>
    <w:rsid w:val="000D3C82"/>
    <w:rsid w:val="000D3F75"/>
    <w:rsid w:val="000D3F81"/>
    <w:rsid w:val="000D4112"/>
    <w:rsid w:val="000D419A"/>
    <w:rsid w:val="000D4476"/>
    <w:rsid w:val="000D47CB"/>
    <w:rsid w:val="000D4B5F"/>
    <w:rsid w:val="000D4BB4"/>
    <w:rsid w:val="000D51BE"/>
    <w:rsid w:val="000D5875"/>
    <w:rsid w:val="000D5895"/>
    <w:rsid w:val="000D6189"/>
    <w:rsid w:val="000D61F1"/>
    <w:rsid w:val="000D6447"/>
    <w:rsid w:val="000D647B"/>
    <w:rsid w:val="000D67E2"/>
    <w:rsid w:val="000D68F1"/>
    <w:rsid w:val="000D6A9C"/>
    <w:rsid w:val="000D6E1F"/>
    <w:rsid w:val="000D736D"/>
    <w:rsid w:val="000D772D"/>
    <w:rsid w:val="000D792F"/>
    <w:rsid w:val="000D7DC1"/>
    <w:rsid w:val="000E03DD"/>
    <w:rsid w:val="000E118B"/>
    <w:rsid w:val="000E127D"/>
    <w:rsid w:val="000E1A97"/>
    <w:rsid w:val="000E1D11"/>
    <w:rsid w:val="000E23CB"/>
    <w:rsid w:val="000E261B"/>
    <w:rsid w:val="000E2680"/>
    <w:rsid w:val="000E4767"/>
    <w:rsid w:val="000E493C"/>
    <w:rsid w:val="000E51C8"/>
    <w:rsid w:val="000E6317"/>
    <w:rsid w:val="000E68D7"/>
    <w:rsid w:val="000E730C"/>
    <w:rsid w:val="000E7590"/>
    <w:rsid w:val="000E7697"/>
    <w:rsid w:val="000E7D72"/>
    <w:rsid w:val="000F0103"/>
    <w:rsid w:val="000F06DF"/>
    <w:rsid w:val="000F0BAF"/>
    <w:rsid w:val="000F0E72"/>
    <w:rsid w:val="000F0F97"/>
    <w:rsid w:val="000F1037"/>
    <w:rsid w:val="000F1084"/>
    <w:rsid w:val="000F12D4"/>
    <w:rsid w:val="000F14E7"/>
    <w:rsid w:val="000F1D9A"/>
    <w:rsid w:val="000F2289"/>
    <w:rsid w:val="000F2326"/>
    <w:rsid w:val="000F28A4"/>
    <w:rsid w:val="000F3A0C"/>
    <w:rsid w:val="000F3A51"/>
    <w:rsid w:val="000F4007"/>
    <w:rsid w:val="000F42A8"/>
    <w:rsid w:val="000F4673"/>
    <w:rsid w:val="000F4893"/>
    <w:rsid w:val="000F4B3A"/>
    <w:rsid w:val="000F4CD9"/>
    <w:rsid w:val="000F4E46"/>
    <w:rsid w:val="000F5561"/>
    <w:rsid w:val="000F569D"/>
    <w:rsid w:val="000F5C4E"/>
    <w:rsid w:val="000F5E2E"/>
    <w:rsid w:val="000F6200"/>
    <w:rsid w:val="000F6819"/>
    <w:rsid w:val="000F6BF1"/>
    <w:rsid w:val="000F6C88"/>
    <w:rsid w:val="000F76D1"/>
    <w:rsid w:val="000F7EDC"/>
    <w:rsid w:val="000F7FF4"/>
    <w:rsid w:val="001004D3"/>
    <w:rsid w:val="001005C2"/>
    <w:rsid w:val="00100796"/>
    <w:rsid w:val="00100F09"/>
    <w:rsid w:val="00100FC6"/>
    <w:rsid w:val="001018CE"/>
    <w:rsid w:val="00101BBB"/>
    <w:rsid w:val="00101DDF"/>
    <w:rsid w:val="00101F53"/>
    <w:rsid w:val="00102937"/>
    <w:rsid w:val="00102C4E"/>
    <w:rsid w:val="00102F88"/>
    <w:rsid w:val="00102FB0"/>
    <w:rsid w:val="00102FCE"/>
    <w:rsid w:val="0010310D"/>
    <w:rsid w:val="001033B4"/>
    <w:rsid w:val="00103866"/>
    <w:rsid w:val="00103997"/>
    <w:rsid w:val="00103C37"/>
    <w:rsid w:val="00104263"/>
    <w:rsid w:val="00104557"/>
    <w:rsid w:val="00105A2B"/>
    <w:rsid w:val="00105AB6"/>
    <w:rsid w:val="00105BFC"/>
    <w:rsid w:val="00105EDE"/>
    <w:rsid w:val="0010666A"/>
    <w:rsid w:val="001067F3"/>
    <w:rsid w:val="0010688B"/>
    <w:rsid w:val="0010750E"/>
    <w:rsid w:val="001077A0"/>
    <w:rsid w:val="00107AE5"/>
    <w:rsid w:val="00107B41"/>
    <w:rsid w:val="00107CF6"/>
    <w:rsid w:val="00111057"/>
    <w:rsid w:val="0011165C"/>
    <w:rsid w:val="00111740"/>
    <w:rsid w:val="00111DF3"/>
    <w:rsid w:val="00112A41"/>
    <w:rsid w:val="00112F6D"/>
    <w:rsid w:val="00112FA3"/>
    <w:rsid w:val="00113F0F"/>
    <w:rsid w:val="00113F72"/>
    <w:rsid w:val="001140BB"/>
    <w:rsid w:val="0011444E"/>
    <w:rsid w:val="001150FA"/>
    <w:rsid w:val="00115311"/>
    <w:rsid w:val="0011567B"/>
    <w:rsid w:val="0011632A"/>
    <w:rsid w:val="001163EA"/>
    <w:rsid w:val="0011641B"/>
    <w:rsid w:val="001165ED"/>
    <w:rsid w:val="0011713D"/>
    <w:rsid w:val="001179F5"/>
    <w:rsid w:val="00117F5D"/>
    <w:rsid w:val="001201A0"/>
    <w:rsid w:val="0012022D"/>
    <w:rsid w:val="00120640"/>
    <w:rsid w:val="00120982"/>
    <w:rsid w:val="00120B11"/>
    <w:rsid w:val="00120CE4"/>
    <w:rsid w:val="00120F19"/>
    <w:rsid w:val="0012159E"/>
    <w:rsid w:val="00121C5F"/>
    <w:rsid w:val="00121FBF"/>
    <w:rsid w:val="00121FE8"/>
    <w:rsid w:val="0012268A"/>
    <w:rsid w:val="00122B02"/>
    <w:rsid w:val="00123090"/>
    <w:rsid w:val="001232E1"/>
    <w:rsid w:val="00123570"/>
    <w:rsid w:val="001235B2"/>
    <w:rsid w:val="00123CE7"/>
    <w:rsid w:val="00123FEF"/>
    <w:rsid w:val="00124414"/>
    <w:rsid w:val="00124615"/>
    <w:rsid w:val="00124CCB"/>
    <w:rsid w:val="00124E2F"/>
    <w:rsid w:val="0012510C"/>
    <w:rsid w:val="00125440"/>
    <w:rsid w:val="00125534"/>
    <w:rsid w:val="00125852"/>
    <w:rsid w:val="001259D6"/>
    <w:rsid w:val="00125F33"/>
    <w:rsid w:val="00126191"/>
    <w:rsid w:val="001265AF"/>
    <w:rsid w:val="001269D8"/>
    <w:rsid w:val="001269FD"/>
    <w:rsid w:val="00126A0C"/>
    <w:rsid w:val="00127A20"/>
    <w:rsid w:val="00127A72"/>
    <w:rsid w:val="001301B3"/>
    <w:rsid w:val="001302F5"/>
    <w:rsid w:val="00130425"/>
    <w:rsid w:val="00130D7A"/>
    <w:rsid w:val="0013101F"/>
    <w:rsid w:val="00131171"/>
    <w:rsid w:val="0013128F"/>
    <w:rsid w:val="001313AD"/>
    <w:rsid w:val="00131479"/>
    <w:rsid w:val="001314F9"/>
    <w:rsid w:val="0013180E"/>
    <w:rsid w:val="00132633"/>
    <w:rsid w:val="00132FFD"/>
    <w:rsid w:val="001334D5"/>
    <w:rsid w:val="00133B2F"/>
    <w:rsid w:val="00133CBB"/>
    <w:rsid w:val="00133CBC"/>
    <w:rsid w:val="00133ED2"/>
    <w:rsid w:val="00134194"/>
    <w:rsid w:val="00134A88"/>
    <w:rsid w:val="00135079"/>
    <w:rsid w:val="001352B5"/>
    <w:rsid w:val="00135AFA"/>
    <w:rsid w:val="00135F15"/>
    <w:rsid w:val="00135FA4"/>
    <w:rsid w:val="00136314"/>
    <w:rsid w:val="0013637F"/>
    <w:rsid w:val="00136858"/>
    <w:rsid w:val="0013699B"/>
    <w:rsid w:val="00136A49"/>
    <w:rsid w:val="0013728B"/>
    <w:rsid w:val="0013736B"/>
    <w:rsid w:val="00137C3C"/>
    <w:rsid w:val="00137C51"/>
    <w:rsid w:val="00140757"/>
    <w:rsid w:val="0014086C"/>
    <w:rsid w:val="001412F7"/>
    <w:rsid w:val="001414CC"/>
    <w:rsid w:val="00141846"/>
    <w:rsid w:val="001422C5"/>
    <w:rsid w:val="0014266D"/>
    <w:rsid w:val="00142888"/>
    <w:rsid w:val="00142DF7"/>
    <w:rsid w:val="0014332A"/>
    <w:rsid w:val="00143CBA"/>
    <w:rsid w:val="00143D5F"/>
    <w:rsid w:val="001442DE"/>
    <w:rsid w:val="00144415"/>
    <w:rsid w:val="001448C5"/>
    <w:rsid w:val="00144ECE"/>
    <w:rsid w:val="00145559"/>
    <w:rsid w:val="0014571E"/>
    <w:rsid w:val="00145A46"/>
    <w:rsid w:val="00145DFE"/>
    <w:rsid w:val="00145E66"/>
    <w:rsid w:val="001471D6"/>
    <w:rsid w:val="00147334"/>
    <w:rsid w:val="001474F2"/>
    <w:rsid w:val="00147932"/>
    <w:rsid w:val="00147E79"/>
    <w:rsid w:val="00150057"/>
    <w:rsid w:val="00150487"/>
    <w:rsid w:val="00150B83"/>
    <w:rsid w:val="00150D57"/>
    <w:rsid w:val="00150F8A"/>
    <w:rsid w:val="0015126E"/>
    <w:rsid w:val="0015137E"/>
    <w:rsid w:val="00151485"/>
    <w:rsid w:val="00151652"/>
    <w:rsid w:val="00151675"/>
    <w:rsid w:val="00151CBD"/>
    <w:rsid w:val="00151E5C"/>
    <w:rsid w:val="00152458"/>
    <w:rsid w:val="0015294F"/>
    <w:rsid w:val="001538D8"/>
    <w:rsid w:val="00153A05"/>
    <w:rsid w:val="00153ED4"/>
    <w:rsid w:val="0015446D"/>
    <w:rsid w:val="001549CF"/>
    <w:rsid w:val="00154B25"/>
    <w:rsid w:val="00154E52"/>
    <w:rsid w:val="001563EA"/>
    <w:rsid w:val="00156A71"/>
    <w:rsid w:val="00156C51"/>
    <w:rsid w:val="00156F19"/>
    <w:rsid w:val="001604CE"/>
    <w:rsid w:val="00160BC5"/>
    <w:rsid w:val="00160E29"/>
    <w:rsid w:val="00161152"/>
    <w:rsid w:val="0016188C"/>
    <w:rsid w:val="00161F09"/>
    <w:rsid w:val="00162B1B"/>
    <w:rsid w:val="001632D1"/>
    <w:rsid w:val="0016399A"/>
    <w:rsid w:val="00164B93"/>
    <w:rsid w:val="00164F0F"/>
    <w:rsid w:val="00164F79"/>
    <w:rsid w:val="00165704"/>
    <w:rsid w:val="00165ADC"/>
    <w:rsid w:val="00165DD2"/>
    <w:rsid w:val="00166809"/>
    <w:rsid w:val="00166998"/>
    <w:rsid w:val="00167304"/>
    <w:rsid w:val="00167A45"/>
    <w:rsid w:val="00167E87"/>
    <w:rsid w:val="00167FB0"/>
    <w:rsid w:val="001707A7"/>
    <w:rsid w:val="00170C7F"/>
    <w:rsid w:val="00170FCE"/>
    <w:rsid w:val="00171D12"/>
    <w:rsid w:val="00171D19"/>
    <w:rsid w:val="0017239E"/>
    <w:rsid w:val="00172711"/>
    <w:rsid w:val="00172B1E"/>
    <w:rsid w:val="00172F2F"/>
    <w:rsid w:val="00173160"/>
    <w:rsid w:val="001733D6"/>
    <w:rsid w:val="0017386C"/>
    <w:rsid w:val="00173B18"/>
    <w:rsid w:val="00174A95"/>
    <w:rsid w:val="00174B83"/>
    <w:rsid w:val="00175CE4"/>
    <w:rsid w:val="00176133"/>
    <w:rsid w:val="00176186"/>
    <w:rsid w:val="00176629"/>
    <w:rsid w:val="001768D7"/>
    <w:rsid w:val="001768FA"/>
    <w:rsid w:val="00176B5B"/>
    <w:rsid w:val="00177968"/>
    <w:rsid w:val="00177F2B"/>
    <w:rsid w:val="0018002F"/>
    <w:rsid w:val="001801F1"/>
    <w:rsid w:val="00180CB1"/>
    <w:rsid w:val="001810EF"/>
    <w:rsid w:val="00181524"/>
    <w:rsid w:val="001815D1"/>
    <w:rsid w:val="0018194A"/>
    <w:rsid w:val="0018195B"/>
    <w:rsid w:val="00181DAA"/>
    <w:rsid w:val="0018371A"/>
    <w:rsid w:val="00183C06"/>
    <w:rsid w:val="00183C5B"/>
    <w:rsid w:val="00184119"/>
    <w:rsid w:val="001843D3"/>
    <w:rsid w:val="00184513"/>
    <w:rsid w:val="00184BFC"/>
    <w:rsid w:val="00184D41"/>
    <w:rsid w:val="00184F96"/>
    <w:rsid w:val="00185A3B"/>
    <w:rsid w:val="00185AA8"/>
    <w:rsid w:val="00185AF1"/>
    <w:rsid w:val="00185D09"/>
    <w:rsid w:val="001866A6"/>
    <w:rsid w:val="001867ED"/>
    <w:rsid w:val="00186C24"/>
    <w:rsid w:val="00186CE3"/>
    <w:rsid w:val="0018705B"/>
    <w:rsid w:val="00187D5D"/>
    <w:rsid w:val="001909B3"/>
    <w:rsid w:val="00190A74"/>
    <w:rsid w:val="00190BBC"/>
    <w:rsid w:val="00190D9A"/>
    <w:rsid w:val="00191310"/>
    <w:rsid w:val="001916D2"/>
    <w:rsid w:val="0019235A"/>
    <w:rsid w:val="001924F3"/>
    <w:rsid w:val="001927DC"/>
    <w:rsid w:val="0019280B"/>
    <w:rsid w:val="00192822"/>
    <w:rsid w:val="00192C5A"/>
    <w:rsid w:val="001931F5"/>
    <w:rsid w:val="00193519"/>
    <w:rsid w:val="00193C52"/>
    <w:rsid w:val="00193DDD"/>
    <w:rsid w:val="001941E5"/>
    <w:rsid w:val="00194605"/>
    <w:rsid w:val="00194806"/>
    <w:rsid w:val="00194B1D"/>
    <w:rsid w:val="00194C83"/>
    <w:rsid w:val="00195AA0"/>
    <w:rsid w:val="00195BE6"/>
    <w:rsid w:val="00195DD3"/>
    <w:rsid w:val="00195E25"/>
    <w:rsid w:val="00196A47"/>
    <w:rsid w:val="00196A63"/>
    <w:rsid w:val="00196A70"/>
    <w:rsid w:val="00196D32"/>
    <w:rsid w:val="00196F49"/>
    <w:rsid w:val="001971F7"/>
    <w:rsid w:val="0019732D"/>
    <w:rsid w:val="00197410"/>
    <w:rsid w:val="0019786E"/>
    <w:rsid w:val="001A0B4D"/>
    <w:rsid w:val="001A10F2"/>
    <w:rsid w:val="001A12C2"/>
    <w:rsid w:val="001A13FC"/>
    <w:rsid w:val="001A14FA"/>
    <w:rsid w:val="001A1559"/>
    <w:rsid w:val="001A1780"/>
    <w:rsid w:val="001A3421"/>
    <w:rsid w:val="001A39E6"/>
    <w:rsid w:val="001A4919"/>
    <w:rsid w:val="001A49E7"/>
    <w:rsid w:val="001A4C63"/>
    <w:rsid w:val="001A4E95"/>
    <w:rsid w:val="001A51ED"/>
    <w:rsid w:val="001A5694"/>
    <w:rsid w:val="001A5942"/>
    <w:rsid w:val="001A5D03"/>
    <w:rsid w:val="001A5FA2"/>
    <w:rsid w:val="001A61BA"/>
    <w:rsid w:val="001A6278"/>
    <w:rsid w:val="001A64D4"/>
    <w:rsid w:val="001A6546"/>
    <w:rsid w:val="001A6CB8"/>
    <w:rsid w:val="001A7506"/>
    <w:rsid w:val="001A755E"/>
    <w:rsid w:val="001A76EF"/>
    <w:rsid w:val="001A7A9C"/>
    <w:rsid w:val="001A7AAB"/>
    <w:rsid w:val="001AF190"/>
    <w:rsid w:val="001B00EA"/>
    <w:rsid w:val="001B0253"/>
    <w:rsid w:val="001B061B"/>
    <w:rsid w:val="001B1217"/>
    <w:rsid w:val="001B13FE"/>
    <w:rsid w:val="001B1736"/>
    <w:rsid w:val="001B176D"/>
    <w:rsid w:val="001B1F4E"/>
    <w:rsid w:val="001B1FEA"/>
    <w:rsid w:val="001B2069"/>
    <w:rsid w:val="001B2183"/>
    <w:rsid w:val="001B25A2"/>
    <w:rsid w:val="001B2932"/>
    <w:rsid w:val="001B2ACA"/>
    <w:rsid w:val="001B3236"/>
    <w:rsid w:val="001B3347"/>
    <w:rsid w:val="001B33BC"/>
    <w:rsid w:val="001B3FB4"/>
    <w:rsid w:val="001B3FC3"/>
    <w:rsid w:val="001B4027"/>
    <w:rsid w:val="001B417C"/>
    <w:rsid w:val="001B41BE"/>
    <w:rsid w:val="001B488D"/>
    <w:rsid w:val="001B4B3E"/>
    <w:rsid w:val="001B4E59"/>
    <w:rsid w:val="001B50C7"/>
    <w:rsid w:val="001B5180"/>
    <w:rsid w:val="001B51B9"/>
    <w:rsid w:val="001B5A0F"/>
    <w:rsid w:val="001B6F79"/>
    <w:rsid w:val="001B7088"/>
    <w:rsid w:val="001B7368"/>
    <w:rsid w:val="001B73F7"/>
    <w:rsid w:val="001B77F7"/>
    <w:rsid w:val="001B7C66"/>
    <w:rsid w:val="001C002B"/>
    <w:rsid w:val="001C0C16"/>
    <w:rsid w:val="001C111E"/>
    <w:rsid w:val="001C1B58"/>
    <w:rsid w:val="001C1FE3"/>
    <w:rsid w:val="001C224C"/>
    <w:rsid w:val="001C2A4C"/>
    <w:rsid w:val="001C2C79"/>
    <w:rsid w:val="001C331A"/>
    <w:rsid w:val="001C368F"/>
    <w:rsid w:val="001C373C"/>
    <w:rsid w:val="001C3A47"/>
    <w:rsid w:val="001C3D54"/>
    <w:rsid w:val="001C3E80"/>
    <w:rsid w:val="001C4337"/>
    <w:rsid w:val="001C44EF"/>
    <w:rsid w:val="001C4ABD"/>
    <w:rsid w:val="001C4AEB"/>
    <w:rsid w:val="001C5138"/>
    <w:rsid w:val="001C5506"/>
    <w:rsid w:val="001C6400"/>
    <w:rsid w:val="001C64CE"/>
    <w:rsid w:val="001C66CB"/>
    <w:rsid w:val="001C6B8C"/>
    <w:rsid w:val="001C6E7F"/>
    <w:rsid w:val="001C6F77"/>
    <w:rsid w:val="001C7050"/>
    <w:rsid w:val="001C7857"/>
    <w:rsid w:val="001C7A91"/>
    <w:rsid w:val="001C7B70"/>
    <w:rsid w:val="001D0045"/>
    <w:rsid w:val="001D0998"/>
    <w:rsid w:val="001D0D14"/>
    <w:rsid w:val="001D10E1"/>
    <w:rsid w:val="001D114A"/>
    <w:rsid w:val="001D142A"/>
    <w:rsid w:val="001D16E2"/>
    <w:rsid w:val="001D19AB"/>
    <w:rsid w:val="001D1C6E"/>
    <w:rsid w:val="001D1F30"/>
    <w:rsid w:val="001D24A5"/>
    <w:rsid w:val="001D3109"/>
    <w:rsid w:val="001D310C"/>
    <w:rsid w:val="001D340B"/>
    <w:rsid w:val="001D37F5"/>
    <w:rsid w:val="001D3FAD"/>
    <w:rsid w:val="001D49C1"/>
    <w:rsid w:val="001D4D48"/>
    <w:rsid w:val="001D4DD5"/>
    <w:rsid w:val="001D52E2"/>
    <w:rsid w:val="001D5574"/>
    <w:rsid w:val="001D55B5"/>
    <w:rsid w:val="001D5D06"/>
    <w:rsid w:val="001D5E77"/>
    <w:rsid w:val="001D7461"/>
    <w:rsid w:val="001D771D"/>
    <w:rsid w:val="001E0320"/>
    <w:rsid w:val="001E1396"/>
    <w:rsid w:val="001E1894"/>
    <w:rsid w:val="001E1B0F"/>
    <w:rsid w:val="001E1D6B"/>
    <w:rsid w:val="001E1DCF"/>
    <w:rsid w:val="001E23CC"/>
    <w:rsid w:val="001E2876"/>
    <w:rsid w:val="001E2E25"/>
    <w:rsid w:val="001E30CB"/>
    <w:rsid w:val="001E3C79"/>
    <w:rsid w:val="001E3D40"/>
    <w:rsid w:val="001E3EDF"/>
    <w:rsid w:val="001E463F"/>
    <w:rsid w:val="001E486C"/>
    <w:rsid w:val="001E48D6"/>
    <w:rsid w:val="001E49D6"/>
    <w:rsid w:val="001E4B8A"/>
    <w:rsid w:val="001E4C0A"/>
    <w:rsid w:val="001E4C36"/>
    <w:rsid w:val="001E4C3B"/>
    <w:rsid w:val="001E5197"/>
    <w:rsid w:val="001E5988"/>
    <w:rsid w:val="001E60BA"/>
    <w:rsid w:val="001E6414"/>
    <w:rsid w:val="001E64DA"/>
    <w:rsid w:val="001E66A8"/>
    <w:rsid w:val="001E6A88"/>
    <w:rsid w:val="001E6B24"/>
    <w:rsid w:val="001E6D9B"/>
    <w:rsid w:val="001E6F7A"/>
    <w:rsid w:val="001E799C"/>
    <w:rsid w:val="001E7BDA"/>
    <w:rsid w:val="001E7C40"/>
    <w:rsid w:val="001E7F6D"/>
    <w:rsid w:val="001F00EC"/>
    <w:rsid w:val="001F0D8F"/>
    <w:rsid w:val="001F0E0D"/>
    <w:rsid w:val="001F1013"/>
    <w:rsid w:val="001F12F8"/>
    <w:rsid w:val="001F16D7"/>
    <w:rsid w:val="001F16F6"/>
    <w:rsid w:val="001F177C"/>
    <w:rsid w:val="001F18C5"/>
    <w:rsid w:val="001F1C99"/>
    <w:rsid w:val="001F1E4C"/>
    <w:rsid w:val="001F2128"/>
    <w:rsid w:val="001F2414"/>
    <w:rsid w:val="001F31C0"/>
    <w:rsid w:val="001F347C"/>
    <w:rsid w:val="001F3708"/>
    <w:rsid w:val="001F374A"/>
    <w:rsid w:val="001F54C9"/>
    <w:rsid w:val="001F67AB"/>
    <w:rsid w:val="001F6E71"/>
    <w:rsid w:val="001F6F7D"/>
    <w:rsid w:val="001F7590"/>
    <w:rsid w:val="001F79AA"/>
    <w:rsid w:val="001F7D9D"/>
    <w:rsid w:val="001F7E14"/>
    <w:rsid w:val="00200436"/>
    <w:rsid w:val="00200C9E"/>
    <w:rsid w:val="00200D4D"/>
    <w:rsid w:val="00201756"/>
    <w:rsid w:val="00201F34"/>
    <w:rsid w:val="0020202C"/>
    <w:rsid w:val="0020239A"/>
    <w:rsid w:val="00202489"/>
    <w:rsid w:val="002024CC"/>
    <w:rsid w:val="002027E0"/>
    <w:rsid w:val="00202DC2"/>
    <w:rsid w:val="00203343"/>
    <w:rsid w:val="00203577"/>
    <w:rsid w:val="0020361B"/>
    <w:rsid w:val="0020397F"/>
    <w:rsid w:val="00203EEE"/>
    <w:rsid w:val="002040F8"/>
    <w:rsid w:val="002048A3"/>
    <w:rsid w:val="00204D65"/>
    <w:rsid w:val="00204EFE"/>
    <w:rsid w:val="00205678"/>
    <w:rsid w:val="00206A6F"/>
    <w:rsid w:val="00206FB2"/>
    <w:rsid w:val="00207057"/>
    <w:rsid w:val="002074FA"/>
    <w:rsid w:val="00207C99"/>
    <w:rsid w:val="00207D0C"/>
    <w:rsid w:val="00207E64"/>
    <w:rsid w:val="00208F80"/>
    <w:rsid w:val="00210223"/>
    <w:rsid w:val="002104D6"/>
    <w:rsid w:val="00211710"/>
    <w:rsid w:val="002117BD"/>
    <w:rsid w:val="0021193F"/>
    <w:rsid w:val="00212174"/>
    <w:rsid w:val="00212790"/>
    <w:rsid w:val="00212E0B"/>
    <w:rsid w:val="00212FA7"/>
    <w:rsid w:val="0021406D"/>
    <w:rsid w:val="00214234"/>
    <w:rsid w:val="00214471"/>
    <w:rsid w:val="00214E8E"/>
    <w:rsid w:val="0021561B"/>
    <w:rsid w:val="00215711"/>
    <w:rsid w:val="00215B46"/>
    <w:rsid w:val="00215C4C"/>
    <w:rsid w:val="00216261"/>
    <w:rsid w:val="00216C22"/>
    <w:rsid w:val="00217197"/>
    <w:rsid w:val="00217219"/>
    <w:rsid w:val="0021728C"/>
    <w:rsid w:val="002174FC"/>
    <w:rsid w:val="002177FF"/>
    <w:rsid w:val="00220237"/>
    <w:rsid w:val="00220C4D"/>
    <w:rsid w:val="002211D5"/>
    <w:rsid w:val="00221616"/>
    <w:rsid w:val="002217A4"/>
    <w:rsid w:val="00221BAF"/>
    <w:rsid w:val="00221CAE"/>
    <w:rsid w:val="00222653"/>
    <w:rsid w:val="0022266F"/>
    <w:rsid w:val="00222D07"/>
    <w:rsid w:val="00222E84"/>
    <w:rsid w:val="00222FEF"/>
    <w:rsid w:val="00223696"/>
    <w:rsid w:val="002239F4"/>
    <w:rsid w:val="00223C46"/>
    <w:rsid w:val="00224896"/>
    <w:rsid w:val="00224CF4"/>
    <w:rsid w:val="00224F9F"/>
    <w:rsid w:val="00224FF4"/>
    <w:rsid w:val="002253E9"/>
    <w:rsid w:val="00225A6B"/>
    <w:rsid w:val="002265D2"/>
    <w:rsid w:val="00226711"/>
    <w:rsid w:val="00226AD7"/>
    <w:rsid w:val="00227672"/>
    <w:rsid w:val="0022768F"/>
    <w:rsid w:val="00227B1C"/>
    <w:rsid w:val="00230155"/>
    <w:rsid w:val="002317D1"/>
    <w:rsid w:val="00231A84"/>
    <w:rsid w:val="00231BC9"/>
    <w:rsid w:val="00232075"/>
    <w:rsid w:val="00232761"/>
    <w:rsid w:val="00232E06"/>
    <w:rsid w:val="00232E1B"/>
    <w:rsid w:val="00233388"/>
    <w:rsid w:val="002336A0"/>
    <w:rsid w:val="00233AE4"/>
    <w:rsid w:val="00233E90"/>
    <w:rsid w:val="002342B1"/>
    <w:rsid w:val="00234698"/>
    <w:rsid w:val="002346FD"/>
    <w:rsid w:val="002349B0"/>
    <w:rsid w:val="002349F8"/>
    <w:rsid w:val="00234A0F"/>
    <w:rsid w:val="00234D4E"/>
    <w:rsid w:val="0023503C"/>
    <w:rsid w:val="002356DA"/>
    <w:rsid w:val="00235F8C"/>
    <w:rsid w:val="002363C9"/>
    <w:rsid w:val="0023643D"/>
    <w:rsid w:val="00236CF7"/>
    <w:rsid w:val="00236D6F"/>
    <w:rsid w:val="00236D73"/>
    <w:rsid w:val="002372B5"/>
    <w:rsid w:val="00237D7C"/>
    <w:rsid w:val="00240023"/>
    <w:rsid w:val="00240B85"/>
    <w:rsid w:val="00240EFC"/>
    <w:rsid w:val="002412B3"/>
    <w:rsid w:val="0024143F"/>
    <w:rsid w:val="0024149F"/>
    <w:rsid w:val="00241981"/>
    <w:rsid w:val="00241E0A"/>
    <w:rsid w:val="00241ECC"/>
    <w:rsid w:val="00242003"/>
    <w:rsid w:val="0024258E"/>
    <w:rsid w:val="002427BC"/>
    <w:rsid w:val="0024298B"/>
    <w:rsid w:val="00242FF3"/>
    <w:rsid w:val="002431B4"/>
    <w:rsid w:val="00243282"/>
    <w:rsid w:val="002435AC"/>
    <w:rsid w:val="00243C8C"/>
    <w:rsid w:val="00243DDD"/>
    <w:rsid w:val="00244264"/>
    <w:rsid w:val="002442FA"/>
    <w:rsid w:val="002444F3"/>
    <w:rsid w:val="0024464F"/>
    <w:rsid w:val="00244995"/>
    <w:rsid w:val="00244ADA"/>
    <w:rsid w:val="002450CE"/>
    <w:rsid w:val="0024565D"/>
    <w:rsid w:val="0024623B"/>
    <w:rsid w:val="00246393"/>
    <w:rsid w:val="0024686F"/>
    <w:rsid w:val="00247148"/>
    <w:rsid w:val="00247298"/>
    <w:rsid w:val="00247739"/>
    <w:rsid w:val="002479DE"/>
    <w:rsid w:val="00247A80"/>
    <w:rsid w:val="00250525"/>
    <w:rsid w:val="002505BB"/>
    <w:rsid w:val="0025088B"/>
    <w:rsid w:val="00250B5B"/>
    <w:rsid w:val="00251202"/>
    <w:rsid w:val="00251471"/>
    <w:rsid w:val="00251486"/>
    <w:rsid w:val="00251792"/>
    <w:rsid w:val="0025192F"/>
    <w:rsid w:val="00252FD2"/>
    <w:rsid w:val="00253481"/>
    <w:rsid w:val="00253808"/>
    <w:rsid w:val="00253B61"/>
    <w:rsid w:val="00253CB8"/>
    <w:rsid w:val="00253CF2"/>
    <w:rsid w:val="00253DB5"/>
    <w:rsid w:val="00254821"/>
    <w:rsid w:val="00255778"/>
    <w:rsid w:val="0025595B"/>
    <w:rsid w:val="00255D46"/>
    <w:rsid w:val="00255F58"/>
    <w:rsid w:val="00255FC4"/>
    <w:rsid w:val="00256607"/>
    <w:rsid w:val="002566CF"/>
    <w:rsid w:val="00256938"/>
    <w:rsid w:val="00256B05"/>
    <w:rsid w:val="00256B66"/>
    <w:rsid w:val="00256B9E"/>
    <w:rsid w:val="00256C1B"/>
    <w:rsid w:val="00257AEA"/>
    <w:rsid w:val="002600AC"/>
    <w:rsid w:val="00260304"/>
    <w:rsid w:val="002608F6"/>
    <w:rsid w:val="002609D8"/>
    <w:rsid w:val="00260EA0"/>
    <w:rsid w:val="00260ED0"/>
    <w:rsid w:val="002611BC"/>
    <w:rsid w:val="002611E1"/>
    <w:rsid w:val="00261696"/>
    <w:rsid w:val="002623B5"/>
    <w:rsid w:val="00262508"/>
    <w:rsid w:val="002626BF"/>
    <w:rsid w:val="002627E3"/>
    <w:rsid w:val="00262997"/>
    <w:rsid w:val="00262A07"/>
    <w:rsid w:val="00262D69"/>
    <w:rsid w:val="0026312E"/>
    <w:rsid w:val="00263750"/>
    <w:rsid w:val="00263B23"/>
    <w:rsid w:val="00264E97"/>
    <w:rsid w:val="002656FE"/>
    <w:rsid w:val="0026627A"/>
    <w:rsid w:val="00266345"/>
    <w:rsid w:val="00266542"/>
    <w:rsid w:val="0026654B"/>
    <w:rsid w:val="00266A41"/>
    <w:rsid w:val="00266BBA"/>
    <w:rsid w:val="00266E30"/>
    <w:rsid w:val="00266FC6"/>
    <w:rsid w:val="00267021"/>
    <w:rsid w:val="002670F0"/>
    <w:rsid w:val="00267E33"/>
    <w:rsid w:val="002706A0"/>
    <w:rsid w:val="00270790"/>
    <w:rsid w:val="00270D09"/>
    <w:rsid w:val="00270E09"/>
    <w:rsid w:val="00271E0F"/>
    <w:rsid w:val="002723EE"/>
    <w:rsid w:val="0027247F"/>
    <w:rsid w:val="0027260C"/>
    <w:rsid w:val="002727BA"/>
    <w:rsid w:val="00272855"/>
    <w:rsid w:val="00272BE4"/>
    <w:rsid w:val="00272D51"/>
    <w:rsid w:val="00273194"/>
    <w:rsid w:val="002736AF"/>
    <w:rsid w:val="00273850"/>
    <w:rsid w:val="00273FB6"/>
    <w:rsid w:val="002746CC"/>
    <w:rsid w:val="00274C76"/>
    <w:rsid w:val="00275064"/>
    <w:rsid w:val="0027516F"/>
    <w:rsid w:val="00275359"/>
    <w:rsid w:val="00275E4B"/>
    <w:rsid w:val="00275EF0"/>
    <w:rsid w:val="002761D6"/>
    <w:rsid w:val="00276CEE"/>
    <w:rsid w:val="00277062"/>
    <w:rsid w:val="0027719D"/>
    <w:rsid w:val="00277721"/>
    <w:rsid w:val="00277B85"/>
    <w:rsid w:val="00277EDC"/>
    <w:rsid w:val="002805C5"/>
    <w:rsid w:val="0028081E"/>
    <w:rsid w:val="002808EB"/>
    <w:rsid w:val="00280A1A"/>
    <w:rsid w:val="00280C1A"/>
    <w:rsid w:val="002810AC"/>
    <w:rsid w:val="0028189F"/>
    <w:rsid w:val="0028245E"/>
    <w:rsid w:val="00282EFE"/>
    <w:rsid w:val="0028348A"/>
    <w:rsid w:val="002835A8"/>
    <w:rsid w:val="002837AD"/>
    <w:rsid w:val="002839D3"/>
    <w:rsid w:val="00283AD2"/>
    <w:rsid w:val="00283B7D"/>
    <w:rsid w:val="00283DA2"/>
    <w:rsid w:val="00284028"/>
    <w:rsid w:val="002841ED"/>
    <w:rsid w:val="0028429F"/>
    <w:rsid w:val="002842A1"/>
    <w:rsid w:val="00284593"/>
    <w:rsid w:val="002845FA"/>
    <w:rsid w:val="002846AE"/>
    <w:rsid w:val="00284723"/>
    <w:rsid w:val="00284BBB"/>
    <w:rsid w:val="00284CD9"/>
    <w:rsid w:val="002858B0"/>
    <w:rsid w:val="002859BF"/>
    <w:rsid w:val="00285ACD"/>
    <w:rsid w:val="0028630B"/>
    <w:rsid w:val="00286325"/>
    <w:rsid w:val="00286467"/>
    <w:rsid w:val="0028653A"/>
    <w:rsid w:val="002868D2"/>
    <w:rsid w:val="00286D6D"/>
    <w:rsid w:val="0028775E"/>
    <w:rsid w:val="00287FA4"/>
    <w:rsid w:val="0029001F"/>
    <w:rsid w:val="00290145"/>
    <w:rsid w:val="00290B33"/>
    <w:rsid w:val="00290C84"/>
    <w:rsid w:val="00290DB1"/>
    <w:rsid w:val="00290E49"/>
    <w:rsid w:val="00290F67"/>
    <w:rsid w:val="00291020"/>
    <w:rsid w:val="002912D0"/>
    <w:rsid w:val="002919A7"/>
    <w:rsid w:val="00291B17"/>
    <w:rsid w:val="00292407"/>
    <w:rsid w:val="002924AD"/>
    <w:rsid w:val="002928AA"/>
    <w:rsid w:val="002929F7"/>
    <w:rsid w:val="00292B2D"/>
    <w:rsid w:val="00292BA6"/>
    <w:rsid w:val="00293187"/>
    <w:rsid w:val="0029465E"/>
    <w:rsid w:val="00294850"/>
    <w:rsid w:val="00294854"/>
    <w:rsid w:val="00294BEF"/>
    <w:rsid w:val="00295862"/>
    <w:rsid w:val="002958A5"/>
    <w:rsid w:val="00296A47"/>
    <w:rsid w:val="00296BB7"/>
    <w:rsid w:val="00296F62"/>
    <w:rsid w:val="0029753F"/>
    <w:rsid w:val="002977BB"/>
    <w:rsid w:val="00297AC9"/>
    <w:rsid w:val="002A0499"/>
    <w:rsid w:val="002A0BF5"/>
    <w:rsid w:val="002A1E91"/>
    <w:rsid w:val="002A2CCA"/>
    <w:rsid w:val="002A3021"/>
    <w:rsid w:val="002A3E80"/>
    <w:rsid w:val="002A3F3D"/>
    <w:rsid w:val="002A40D9"/>
    <w:rsid w:val="002A42BC"/>
    <w:rsid w:val="002A51A1"/>
    <w:rsid w:val="002A561B"/>
    <w:rsid w:val="002A598E"/>
    <w:rsid w:val="002A5E14"/>
    <w:rsid w:val="002A5F32"/>
    <w:rsid w:val="002A664F"/>
    <w:rsid w:val="002A6B8E"/>
    <w:rsid w:val="002A7636"/>
    <w:rsid w:val="002A7C0D"/>
    <w:rsid w:val="002A7C3E"/>
    <w:rsid w:val="002A7D59"/>
    <w:rsid w:val="002B043D"/>
    <w:rsid w:val="002B08BF"/>
    <w:rsid w:val="002B0929"/>
    <w:rsid w:val="002B0EF4"/>
    <w:rsid w:val="002B1AD1"/>
    <w:rsid w:val="002B2655"/>
    <w:rsid w:val="002B29D7"/>
    <w:rsid w:val="002B2D46"/>
    <w:rsid w:val="002B2E60"/>
    <w:rsid w:val="002B301B"/>
    <w:rsid w:val="002B34EE"/>
    <w:rsid w:val="002B35FC"/>
    <w:rsid w:val="002B43BD"/>
    <w:rsid w:val="002B445D"/>
    <w:rsid w:val="002B47C5"/>
    <w:rsid w:val="002B5129"/>
    <w:rsid w:val="002B54D6"/>
    <w:rsid w:val="002B57F3"/>
    <w:rsid w:val="002B591F"/>
    <w:rsid w:val="002B5AD2"/>
    <w:rsid w:val="002B63D7"/>
    <w:rsid w:val="002B67DD"/>
    <w:rsid w:val="002B68FE"/>
    <w:rsid w:val="002B7CD0"/>
    <w:rsid w:val="002C032E"/>
    <w:rsid w:val="002C06C3"/>
    <w:rsid w:val="002C0E1E"/>
    <w:rsid w:val="002C1670"/>
    <w:rsid w:val="002C2130"/>
    <w:rsid w:val="002C2253"/>
    <w:rsid w:val="002C264E"/>
    <w:rsid w:val="002C2834"/>
    <w:rsid w:val="002C2CEA"/>
    <w:rsid w:val="002C34E3"/>
    <w:rsid w:val="002C3EBC"/>
    <w:rsid w:val="002C47FA"/>
    <w:rsid w:val="002C50D9"/>
    <w:rsid w:val="002C5510"/>
    <w:rsid w:val="002C5919"/>
    <w:rsid w:val="002C5B1D"/>
    <w:rsid w:val="002C66D9"/>
    <w:rsid w:val="002C68EA"/>
    <w:rsid w:val="002C6AE7"/>
    <w:rsid w:val="002C7933"/>
    <w:rsid w:val="002C7CAF"/>
    <w:rsid w:val="002D0148"/>
    <w:rsid w:val="002D0576"/>
    <w:rsid w:val="002D06B1"/>
    <w:rsid w:val="002D0769"/>
    <w:rsid w:val="002D0B32"/>
    <w:rsid w:val="002D10AA"/>
    <w:rsid w:val="002D11E7"/>
    <w:rsid w:val="002D13CC"/>
    <w:rsid w:val="002D195E"/>
    <w:rsid w:val="002D199D"/>
    <w:rsid w:val="002D1AD4"/>
    <w:rsid w:val="002D27C3"/>
    <w:rsid w:val="002D29AB"/>
    <w:rsid w:val="002D2A3A"/>
    <w:rsid w:val="002D2A42"/>
    <w:rsid w:val="002D2EC9"/>
    <w:rsid w:val="002D37CF"/>
    <w:rsid w:val="002D37E4"/>
    <w:rsid w:val="002D3872"/>
    <w:rsid w:val="002D426E"/>
    <w:rsid w:val="002D4D83"/>
    <w:rsid w:val="002D59B4"/>
    <w:rsid w:val="002D5AA6"/>
    <w:rsid w:val="002D5B8C"/>
    <w:rsid w:val="002D5C95"/>
    <w:rsid w:val="002D5EE8"/>
    <w:rsid w:val="002D6540"/>
    <w:rsid w:val="002D65EA"/>
    <w:rsid w:val="002D6C4E"/>
    <w:rsid w:val="002D6D7F"/>
    <w:rsid w:val="002D734F"/>
    <w:rsid w:val="002D74B3"/>
    <w:rsid w:val="002D7E98"/>
    <w:rsid w:val="002E027C"/>
    <w:rsid w:val="002E0AF0"/>
    <w:rsid w:val="002E0CC2"/>
    <w:rsid w:val="002E18CA"/>
    <w:rsid w:val="002E1C11"/>
    <w:rsid w:val="002E1C9C"/>
    <w:rsid w:val="002E3103"/>
    <w:rsid w:val="002E3179"/>
    <w:rsid w:val="002E3E3D"/>
    <w:rsid w:val="002E413B"/>
    <w:rsid w:val="002E4245"/>
    <w:rsid w:val="002E42B3"/>
    <w:rsid w:val="002E4A19"/>
    <w:rsid w:val="002E5349"/>
    <w:rsid w:val="002E5368"/>
    <w:rsid w:val="002E5B95"/>
    <w:rsid w:val="002E62F2"/>
    <w:rsid w:val="002E6991"/>
    <w:rsid w:val="002E6EE2"/>
    <w:rsid w:val="002E701E"/>
    <w:rsid w:val="002E76B3"/>
    <w:rsid w:val="002E7A41"/>
    <w:rsid w:val="002E7DCA"/>
    <w:rsid w:val="002F0821"/>
    <w:rsid w:val="002F10F6"/>
    <w:rsid w:val="002F1306"/>
    <w:rsid w:val="002F1369"/>
    <w:rsid w:val="002F1640"/>
    <w:rsid w:val="002F17B7"/>
    <w:rsid w:val="002F1B37"/>
    <w:rsid w:val="002F1B5A"/>
    <w:rsid w:val="002F1DA5"/>
    <w:rsid w:val="002F1EE0"/>
    <w:rsid w:val="002F250F"/>
    <w:rsid w:val="002F2681"/>
    <w:rsid w:val="002F2768"/>
    <w:rsid w:val="002F2C9B"/>
    <w:rsid w:val="002F3282"/>
    <w:rsid w:val="002F34F5"/>
    <w:rsid w:val="002F3522"/>
    <w:rsid w:val="002F3732"/>
    <w:rsid w:val="002F4532"/>
    <w:rsid w:val="002F45EE"/>
    <w:rsid w:val="002F4B97"/>
    <w:rsid w:val="002F4CCA"/>
    <w:rsid w:val="002F4DA9"/>
    <w:rsid w:val="002F4EC9"/>
    <w:rsid w:val="002F5E72"/>
    <w:rsid w:val="002F5F0A"/>
    <w:rsid w:val="002F60D3"/>
    <w:rsid w:val="002F635D"/>
    <w:rsid w:val="002F6593"/>
    <w:rsid w:val="002F7864"/>
    <w:rsid w:val="002F7C48"/>
    <w:rsid w:val="003003C8"/>
    <w:rsid w:val="00300DF3"/>
    <w:rsid w:val="0030165D"/>
    <w:rsid w:val="003017E0"/>
    <w:rsid w:val="003019B7"/>
    <w:rsid w:val="00301C68"/>
    <w:rsid w:val="00302002"/>
    <w:rsid w:val="00303055"/>
    <w:rsid w:val="00303867"/>
    <w:rsid w:val="00304881"/>
    <w:rsid w:val="003049B3"/>
    <w:rsid w:val="003055CD"/>
    <w:rsid w:val="003069A5"/>
    <w:rsid w:val="0030720A"/>
    <w:rsid w:val="003075D3"/>
    <w:rsid w:val="00307626"/>
    <w:rsid w:val="00307A96"/>
    <w:rsid w:val="00307C4A"/>
    <w:rsid w:val="0031004A"/>
    <w:rsid w:val="0031016D"/>
    <w:rsid w:val="003101F1"/>
    <w:rsid w:val="00310355"/>
    <w:rsid w:val="003106F0"/>
    <w:rsid w:val="00310C91"/>
    <w:rsid w:val="00310E67"/>
    <w:rsid w:val="0031100D"/>
    <w:rsid w:val="0031102D"/>
    <w:rsid w:val="003111E9"/>
    <w:rsid w:val="00311565"/>
    <w:rsid w:val="00311871"/>
    <w:rsid w:val="00311E4E"/>
    <w:rsid w:val="003124DF"/>
    <w:rsid w:val="00312521"/>
    <w:rsid w:val="00312854"/>
    <w:rsid w:val="00312A06"/>
    <w:rsid w:val="00312BBB"/>
    <w:rsid w:val="0031312E"/>
    <w:rsid w:val="0031329A"/>
    <w:rsid w:val="00313315"/>
    <w:rsid w:val="00313513"/>
    <w:rsid w:val="0031394C"/>
    <w:rsid w:val="00313ABB"/>
    <w:rsid w:val="00313D25"/>
    <w:rsid w:val="00314078"/>
    <w:rsid w:val="00314090"/>
    <w:rsid w:val="0031423B"/>
    <w:rsid w:val="00314F6C"/>
    <w:rsid w:val="00315607"/>
    <w:rsid w:val="003156D3"/>
    <w:rsid w:val="0031572D"/>
    <w:rsid w:val="003161C0"/>
    <w:rsid w:val="003169C3"/>
    <w:rsid w:val="003169F8"/>
    <w:rsid w:val="00316C6D"/>
    <w:rsid w:val="00316CAD"/>
    <w:rsid w:val="00316D44"/>
    <w:rsid w:val="0031703A"/>
    <w:rsid w:val="00317228"/>
    <w:rsid w:val="003172D0"/>
    <w:rsid w:val="003173D8"/>
    <w:rsid w:val="0031766D"/>
    <w:rsid w:val="00317718"/>
    <w:rsid w:val="0032095F"/>
    <w:rsid w:val="00320BFB"/>
    <w:rsid w:val="0032113F"/>
    <w:rsid w:val="00321473"/>
    <w:rsid w:val="00321A88"/>
    <w:rsid w:val="003225A2"/>
    <w:rsid w:val="00322E5F"/>
    <w:rsid w:val="00323F61"/>
    <w:rsid w:val="00324421"/>
    <w:rsid w:val="00324F1B"/>
    <w:rsid w:val="00325062"/>
    <w:rsid w:val="0032508A"/>
    <w:rsid w:val="003250AE"/>
    <w:rsid w:val="0032636E"/>
    <w:rsid w:val="00326773"/>
    <w:rsid w:val="003268BE"/>
    <w:rsid w:val="00326967"/>
    <w:rsid w:val="0032718E"/>
    <w:rsid w:val="003273A2"/>
    <w:rsid w:val="003275A8"/>
    <w:rsid w:val="00327712"/>
    <w:rsid w:val="00327930"/>
    <w:rsid w:val="00327DE7"/>
    <w:rsid w:val="00330039"/>
    <w:rsid w:val="003300D4"/>
    <w:rsid w:val="0033030F"/>
    <w:rsid w:val="003304FD"/>
    <w:rsid w:val="00330805"/>
    <w:rsid w:val="003308E2"/>
    <w:rsid w:val="00330958"/>
    <w:rsid w:val="0033137B"/>
    <w:rsid w:val="0033152D"/>
    <w:rsid w:val="003317B4"/>
    <w:rsid w:val="0033186A"/>
    <w:rsid w:val="0033198A"/>
    <w:rsid w:val="00331B60"/>
    <w:rsid w:val="00331FCF"/>
    <w:rsid w:val="00332498"/>
    <w:rsid w:val="00332F7A"/>
    <w:rsid w:val="003330A6"/>
    <w:rsid w:val="0033380A"/>
    <w:rsid w:val="00333D29"/>
    <w:rsid w:val="00333E59"/>
    <w:rsid w:val="00334046"/>
    <w:rsid w:val="00334539"/>
    <w:rsid w:val="00334549"/>
    <w:rsid w:val="003346D8"/>
    <w:rsid w:val="003349B8"/>
    <w:rsid w:val="00334FAC"/>
    <w:rsid w:val="0033500C"/>
    <w:rsid w:val="003354AB"/>
    <w:rsid w:val="00335975"/>
    <w:rsid w:val="00335C33"/>
    <w:rsid w:val="00335F75"/>
    <w:rsid w:val="003368F2"/>
    <w:rsid w:val="00336A93"/>
    <w:rsid w:val="00336B48"/>
    <w:rsid w:val="00336D83"/>
    <w:rsid w:val="003375DD"/>
    <w:rsid w:val="00337822"/>
    <w:rsid w:val="00337A7D"/>
    <w:rsid w:val="00337CF3"/>
    <w:rsid w:val="00337D1F"/>
    <w:rsid w:val="00337EFD"/>
    <w:rsid w:val="003401DD"/>
    <w:rsid w:val="0034024D"/>
    <w:rsid w:val="003402BA"/>
    <w:rsid w:val="003414C3"/>
    <w:rsid w:val="00341AB1"/>
    <w:rsid w:val="00341D56"/>
    <w:rsid w:val="00341E47"/>
    <w:rsid w:val="0034200A"/>
    <w:rsid w:val="00342615"/>
    <w:rsid w:val="003428C6"/>
    <w:rsid w:val="0034306B"/>
    <w:rsid w:val="003431B7"/>
    <w:rsid w:val="00343406"/>
    <w:rsid w:val="00343617"/>
    <w:rsid w:val="00343CE6"/>
    <w:rsid w:val="0034427A"/>
    <w:rsid w:val="0034438A"/>
    <w:rsid w:val="003444AA"/>
    <w:rsid w:val="003444D4"/>
    <w:rsid w:val="00344557"/>
    <w:rsid w:val="003446C6"/>
    <w:rsid w:val="00344E41"/>
    <w:rsid w:val="00345042"/>
    <w:rsid w:val="0034598E"/>
    <w:rsid w:val="00345D19"/>
    <w:rsid w:val="00345F60"/>
    <w:rsid w:val="003463E3"/>
    <w:rsid w:val="003467CA"/>
    <w:rsid w:val="003467E7"/>
    <w:rsid w:val="00346CFD"/>
    <w:rsid w:val="00347303"/>
    <w:rsid w:val="0034731D"/>
    <w:rsid w:val="0034742A"/>
    <w:rsid w:val="003479AF"/>
    <w:rsid w:val="00347EC3"/>
    <w:rsid w:val="0035039B"/>
    <w:rsid w:val="00350756"/>
    <w:rsid w:val="003509D3"/>
    <w:rsid w:val="00350A39"/>
    <w:rsid w:val="00350D64"/>
    <w:rsid w:val="00351145"/>
    <w:rsid w:val="00351357"/>
    <w:rsid w:val="00351D56"/>
    <w:rsid w:val="00352283"/>
    <w:rsid w:val="003524D9"/>
    <w:rsid w:val="00352F7E"/>
    <w:rsid w:val="0035446F"/>
    <w:rsid w:val="003546FF"/>
    <w:rsid w:val="00354B41"/>
    <w:rsid w:val="00355158"/>
    <w:rsid w:val="0035534E"/>
    <w:rsid w:val="00355549"/>
    <w:rsid w:val="003557C9"/>
    <w:rsid w:val="003558DE"/>
    <w:rsid w:val="00355B87"/>
    <w:rsid w:val="00355BD2"/>
    <w:rsid w:val="00356899"/>
    <w:rsid w:val="00356DB6"/>
    <w:rsid w:val="00356DE5"/>
    <w:rsid w:val="00356EB4"/>
    <w:rsid w:val="0035760D"/>
    <w:rsid w:val="00357BA8"/>
    <w:rsid w:val="00357DAD"/>
    <w:rsid w:val="00357DCF"/>
    <w:rsid w:val="0035E8E0"/>
    <w:rsid w:val="00360310"/>
    <w:rsid w:val="0036041E"/>
    <w:rsid w:val="0036132F"/>
    <w:rsid w:val="00361797"/>
    <w:rsid w:val="00361D49"/>
    <w:rsid w:val="0036218E"/>
    <w:rsid w:val="0036229D"/>
    <w:rsid w:val="0036234C"/>
    <w:rsid w:val="00362636"/>
    <w:rsid w:val="00362862"/>
    <w:rsid w:val="00362890"/>
    <w:rsid w:val="003629D0"/>
    <w:rsid w:val="00362A16"/>
    <w:rsid w:val="00363071"/>
    <w:rsid w:val="0036324E"/>
    <w:rsid w:val="00363AE2"/>
    <w:rsid w:val="00363D96"/>
    <w:rsid w:val="00363E31"/>
    <w:rsid w:val="003642D1"/>
    <w:rsid w:val="00365135"/>
    <w:rsid w:val="0036566C"/>
    <w:rsid w:val="003662E3"/>
    <w:rsid w:val="00366567"/>
    <w:rsid w:val="00366C0C"/>
    <w:rsid w:val="00366F16"/>
    <w:rsid w:val="00366FDA"/>
    <w:rsid w:val="00367428"/>
    <w:rsid w:val="00367509"/>
    <w:rsid w:val="00367543"/>
    <w:rsid w:val="00367AA6"/>
    <w:rsid w:val="00367D57"/>
    <w:rsid w:val="00370251"/>
    <w:rsid w:val="00371228"/>
    <w:rsid w:val="00371773"/>
    <w:rsid w:val="00371812"/>
    <w:rsid w:val="00371BB4"/>
    <w:rsid w:val="00371F15"/>
    <w:rsid w:val="00372A6C"/>
    <w:rsid w:val="00372B3F"/>
    <w:rsid w:val="00373019"/>
    <w:rsid w:val="00373A60"/>
    <w:rsid w:val="003749F6"/>
    <w:rsid w:val="00374B41"/>
    <w:rsid w:val="00374BCA"/>
    <w:rsid w:val="00374F28"/>
    <w:rsid w:val="00375025"/>
    <w:rsid w:val="00375B5B"/>
    <w:rsid w:val="003767E1"/>
    <w:rsid w:val="0037704B"/>
    <w:rsid w:val="0037706F"/>
    <w:rsid w:val="003771B3"/>
    <w:rsid w:val="00377857"/>
    <w:rsid w:val="00377A81"/>
    <w:rsid w:val="00377D99"/>
    <w:rsid w:val="0038014F"/>
    <w:rsid w:val="003803EA"/>
    <w:rsid w:val="0038041E"/>
    <w:rsid w:val="003807A9"/>
    <w:rsid w:val="00381071"/>
    <w:rsid w:val="0038138B"/>
    <w:rsid w:val="00381834"/>
    <w:rsid w:val="003819C0"/>
    <w:rsid w:val="00381D0F"/>
    <w:rsid w:val="00382360"/>
    <w:rsid w:val="0038299B"/>
    <w:rsid w:val="00382B90"/>
    <w:rsid w:val="0038317D"/>
    <w:rsid w:val="00383690"/>
    <w:rsid w:val="00383A10"/>
    <w:rsid w:val="0038402B"/>
    <w:rsid w:val="003844A3"/>
    <w:rsid w:val="00384694"/>
    <w:rsid w:val="00384CA6"/>
    <w:rsid w:val="00384E69"/>
    <w:rsid w:val="0038514C"/>
    <w:rsid w:val="0038517F"/>
    <w:rsid w:val="0038605D"/>
    <w:rsid w:val="00386CDF"/>
    <w:rsid w:val="00386D0D"/>
    <w:rsid w:val="003870DC"/>
    <w:rsid w:val="00387DA5"/>
    <w:rsid w:val="00390079"/>
    <w:rsid w:val="003900A8"/>
    <w:rsid w:val="0039033F"/>
    <w:rsid w:val="003909A4"/>
    <w:rsid w:val="00390C5B"/>
    <w:rsid w:val="00390D25"/>
    <w:rsid w:val="00391464"/>
    <w:rsid w:val="00391677"/>
    <w:rsid w:val="00391999"/>
    <w:rsid w:val="00391F67"/>
    <w:rsid w:val="003922B6"/>
    <w:rsid w:val="0039235E"/>
    <w:rsid w:val="003925BE"/>
    <w:rsid w:val="00393041"/>
    <w:rsid w:val="00393966"/>
    <w:rsid w:val="00394A99"/>
    <w:rsid w:val="003952D4"/>
    <w:rsid w:val="00395322"/>
    <w:rsid w:val="003961EF"/>
    <w:rsid w:val="00396487"/>
    <w:rsid w:val="003965D0"/>
    <w:rsid w:val="00396DEE"/>
    <w:rsid w:val="00397828"/>
    <w:rsid w:val="00397965"/>
    <w:rsid w:val="003A037E"/>
    <w:rsid w:val="003A085A"/>
    <w:rsid w:val="003A0A28"/>
    <w:rsid w:val="003A0E83"/>
    <w:rsid w:val="003A1363"/>
    <w:rsid w:val="003A17CF"/>
    <w:rsid w:val="003A28BE"/>
    <w:rsid w:val="003A3ADD"/>
    <w:rsid w:val="003A3C1A"/>
    <w:rsid w:val="003A3DC4"/>
    <w:rsid w:val="003A3ECA"/>
    <w:rsid w:val="003A3EE1"/>
    <w:rsid w:val="003A3EE5"/>
    <w:rsid w:val="003A425E"/>
    <w:rsid w:val="003A4CFC"/>
    <w:rsid w:val="003A5345"/>
    <w:rsid w:val="003A5AF7"/>
    <w:rsid w:val="003A5C3B"/>
    <w:rsid w:val="003A5D4F"/>
    <w:rsid w:val="003A5FFF"/>
    <w:rsid w:val="003A60ED"/>
    <w:rsid w:val="003A6235"/>
    <w:rsid w:val="003A63D3"/>
    <w:rsid w:val="003A68BE"/>
    <w:rsid w:val="003A68C6"/>
    <w:rsid w:val="003A73D2"/>
    <w:rsid w:val="003A74AD"/>
    <w:rsid w:val="003B0530"/>
    <w:rsid w:val="003B10E5"/>
    <w:rsid w:val="003B1109"/>
    <w:rsid w:val="003B18B1"/>
    <w:rsid w:val="003B19B9"/>
    <w:rsid w:val="003B2C6D"/>
    <w:rsid w:val="003B2FAD"/>
    <w:rsid w:val="003B3382"/>
    <w:rsid w:val="003B419A"/>
    <w:rsid w:val="003B41FB"/>
    <w:rsid w:val="003B44BF"/>
    <w:rsid w:val="003B50D2"/>
    <w:rsid w:val="003B58B2"/>
    <w:rsid w:val="003B593F"/>
    <w:rsid w:val="003B5FC1"/>
    <w:rsid w:val="003B62A7"/>
    <w:rsid w:val="003B63BA"/>
    <w:rsid w:val="003B664B"/>
    <w:rsid w:val="003B6A2E"/>
    <w:rsid w:val="003B6C68"/>
    <w:rsid w:val="003B6D86"/>
    <w:rsid w:val="003B6DD2"/>
    <w:rsid w:val="003B70DF"/>
    <w:rsid w:val="003B71CC"/>
    <w:rsid w:val="003B7710"/>
    <w:rsid w:val="003B78EF"/>
    <w:rsid w:val="003B7E15"/>
    <w:rsid w:val="003C078F"/>
    <w:rsid w:val="003C0D97"/>
    <w:rsid w:val="003C1005"/>
    <w:rsid w:val="003C1065"/>
    <w:rsid w:val="003C131E"/>
    <w:rsid w:val="003C1D5F"/>
    <w:rsid w:val="003C1DFE"/>
    <w:rsid w:val="003C20FC"/>
    <w:rsid w:val="003C2388"/>
    <w:rsid w:val="003C28E7"/>
    <w:rsid w:val="003C29CF"/>
    <w:rsid w:val="003C305F"/>
    <w:rsid w:val="003C3A80"/>
    <w:rsid w:val="003C50DE"/>
    <w:rsid w:val="003C51E9"/>
    <w:rsid w:val="003C53E9"/>
    <w:rsid w:val="003C5658"/>
    <w:rsid w:val="003C5BC6"/>
    <w:rsid w:val="003C5E18"/>
    <w:rsid w:val="003C5F55"/>
    <w:rsid w:val="003C69D0"/>
    <w:rsid w:val="003D014E"/>
    <w:rsid w:val="003D0158"/>
    <w:rsid w:val="003D07E8"/>
    <w:rsid w:val="003D1387"/>
    <w:rsid w:val="003D19CB"/>
    <w:rsid w:val="003D1CD4"/>
    <w:rsid w:val="003D2679"/>
    <w:rsid w:val="003D2D78"/>
    <w:rsid w:val="003D3AEF"/>
    <w:rsid w:val="003D3FD4"/>
    <w:rsid w:val="003D538F"/>
    <w:rsid w:val="003D5406"/>
    <w:rsid w:val="003D5783"/>
    <w:rsid w:val="003D5BD7"/>
    <w:rsid w:val="003D5E84"/>
    <w:rsid w:val="003D6086"/>
    <w:rsid w:val="003D6E64"/>
    <w:rsid w:val="003D73D5"/>
    <w:rsid w:val="003D7539"/>
    <w:rsid w:val="003D7A31"/>
    <w:rsid w:val="003D7E97"/>
    <w:rsid w:val="003E0091"/>
    <w:rsid w:val="003E040E"/>
    <w:rsid w:val="003E0718"/>
    <w:rsid w:val="003E0819"/>
    <w:rsid w:val="003E0A1F"/>
    <w:rsid w:val="003E1264"/>
    <w:rsid w:val="003E1426"/>
    <w:rsid w:val="003E17DB"/>
    <w:rsid w:val="003E184D"/>
    <w:rsid w:val="003E1B26"/>
    <w:rsid w:val="003E1F40"/>
    <w:rsid w:val="003E2599"/>
    <w:rsid w:val="003E2E28"/>
    <w:rsid w:val="003E2FFC"/>
    <w:rsid w:val="003E30E1"/>
    <w:rsid w:val="003E3302"/>
    <w:rsid w:val="003E3316"/>
    <w:rsid w:val="003E349B"/>
    <w:rsid w:val="003E3ED3"/>
    <w:rsid w:val="003E4476"/>
    <w:rsid w:val="003E478C"/>
    <w:rsid w:val="003E4957"/>
    <w:rsid w:val="003E4F63"/>
    <w:rsid w:val="003E5150"/>
    <w:rsid w:val="003E5FC3"/>
    <w:rsid w:val="003E60B6"/>
    <w:rsid w:val="003E61D4"/>
    <w:rsid w:val="003E68E6"/>
    <w:rsid w:val="003E6BCB"/>
    <w:rsid w:val="003E6C42"/>
    <w:rsid w:val="003E6E21"/>
    <w:rsid w:val="003E6E23"/>
    <w:rsid w:val="003E738E"/>
    <w:rsid w:val="003E7716"/>
    <w:rsid w:val="003E79E1"/>
    <w:rsid w:val="003E7AC7"/>
    <w:rsid w:val="003E7CEA"/>
    <w:rsid w:val="003F0A1D"/>
    <w:rsid w:val="003F1741"/>
    <w:rsid w:val="003F1977"/>
    <w:rsid w:val="003F1B2D"/>
    <w:rsid w:val="003F1B30"/>
    <w:rsid w:val="003F27B2"/>
    <w:rsid w:val="003F2A94"/>
    <w:rsid w:val="003F2BF1"/>
    <w:rsid w:val="003F2F95"/>
    <w:rsid w:val="003F3ABB"/>
    <w:rsid w:val="003F4040"/>
    <w:rsid w:val="003F44CB"/>
    <w:rsid w:val="003F48EA"/>
    <w:rsid w:val="003F4BD2"/>
    <w:rsid w:val="003F5077"/>
    <w:rsid w:val="003F59F6"/>
    <w:rsid w:val="003F5B80"/>
    <w:rsid w:val="003F5EF7"/>
    <w:rsid w:val="003F652F"/>
    <w:rsid w:val="003F6558"/>
    <w:rsid w:val="003F668F"/>
    <w:rsid w:val="003F7497"/>
    <w:rsid w:val="003F74D7"/>
    <w:rsid w:val="003F783F"/>
    <w:rsid w:val="0040014C"/>
    <w:rsid w:val="00400A0D"/>
    <w:rsid w:val="00400F03"/>
    <w:rsid w:val="00400F6F"/>
    <w:rsid w:val="00400F94"/>
    <w:rsid w:val="004027C3"/>
    <w:rsid w:val="00403054"/>
    <w:rsid w:val="00403332"/>
    <w:rsid w:val="00403584"/>
    <w:rsid w:val="00403779"/>
    <w:rsid w:val="00404678"/>
    <w:rsid w:val="00404939"/>
    <w:rsid w:val="004052D7"/>
    <w:rsid w:val="004056D1"/>
    <w:rsid w:val="004056DE"/>
    <w:rsid w:val="00405E36"/>
    <w:rsid w:val="004064DA"/>
    <w:rsid w:val="00406535"/>
    <w:rsid w:val="00406929"/>
    <w:rsid w:val="00406A18"/>
    <w:rsid w:val="00406E9B"/>
    <w:rsid w:val="00407013"/>
    <w:rsid w:val="004073BB"/>
    <w:rsid w:val="00407B3A"/>
    <w:rsid w:val="00407C18"/>
    <w:rsid w:val="0041021E"/>
    <w:rsid w:val="0041091F"/>
    <w:rsid w:val="00410980"/>
    <w:rsid w:val="0041180B"/>
    <w:rsid w:val="00411918"/>
    <w:rsid w:val="0041222E"/>
    <w:rsid w:val="004126F2"/>
    <w:rsid w:val="00412D97"/>
    <w:rsid w:val="004144CA"/>
    <w:rsid w:val="00414832"/>
    <w:rsid w:val="0041537B"/>
    <w:rsid w:val="00415531"/>
    <w:rsid w:val="0041558F"/>
    <w:rsid w:val="00415A20"/>
    <w:rsid w:val="00415A5E"/>
    <w:rsid w:val="00415A61"/>
    <w:rsid w:val="00415B83"/>
    <w:rsid w:val="00416066"/>
    <w:rsid w:val="004160EE"/>
    <w:rsid w:val="004161BC"/>
    <w:rsid w:val="004168C0"/>
    <w:rsid w:val="00416A69"/>
    <w:rsid w:val="004177E6"/>
    <w:rsid w:val="0042017C"/>
    <w:rsid w:val="0042037E"/>
    <w:rsid w:val="004203E6"/>
    <w:rsid w:val="00420766"/>
    <w:rsid w:val="004208EF"/>
    <w:rsid w:val="00420D28"/>
    <w:rsid w:val="00421D25"/>
    <w:rsid w:val="00421EBD"/>
    <w:rsid w:val="00421EE4"/>
    <w:rsid w:val="00422087"/>
    <w:rsid w:val="004222FC"/>
    <w:rsid w:val="0042269A"/>
    <w:rsid w:val="00422C49"/>
    <w:rsid w:val="00422FC6"/>
    <w:rsid w:val="00423BAB"/>
    <w:rsid w:val="004240AA"/>
    <w:rsid w:val="004244D5"/>
    <w:rsid w:val="00424558"/>
    <w:rsid w:val="004245A2"/>
    <w:rsid w:val="0042463A"/>
    <w:rsid w:val="004249B7"/>
    <w:rsid w:val="00424A7D"/>
    <w:rsid w:val="00424E4F"/>
    <w:rsid w:val="00425670"/>
    <w:rsid w:val="004256EA"/>
    <w:rsid w:val="004258D9"/>
    <w:rsid w:val="00425E44"/>
    <w:rsid w:val="00425E4C"/>
    <w:rsid w:val="00426882"/>
    <w:rsid w:val="00426D50"/>
    <w:rsid w:val="004270BB"/>
    <w:rsid w:val="004271F3"/>
    <w:rsid w:val="00427381"/>
    <w:rsid w:val="004274B4"/>
    <w:rsid w:val="0042751A"/>
    <w:rsid w:val="004277BD"/>
    <w:rsid w:val="00427871"/>
    <w:rsid w:val="00430084"/>
    <w:rsid w:val="004302AB"/>
    <w:rsid w:val="00430DA1"/>
    <w:rsid w:val="00430E24"/>
    <w:rsid w:val="004310A6"/>
    <w:rsid w:val="0043199F"/>
    <w:rsid w:val="00431ADD"/>
    <w:rsid w:val="00431F14"/>
    <w:rsid w:val="00431F4B"/>
    <w:rsid w:val="0043253B"/>
    <w:rsid w:val="004325A4"/>
    <w:rsid w:val="00432710"/>
    <w:rsid w:val="00432F91"/>
    <w:rsid w:val="0043380A"/>
    <w:rsid w:val="004345A9"/>
    <w:rsid w:val="00434C51"/>
    <w:rsid w:val="00434C8D"/>
    <w:rsid w:val="00434EA1"/>
    <w:rsid w:val="00435BB0"/>
    <w:rsid w:val="004360D6"/>
    <w:rsid w:val="00436942"/>
    <w:rsid w:val="00436F57"/>
    <w:rsid w:val="004378D2"/>
    <w:rsid w:val="004379F0"/>
    <w:rsid w:val="00437D97"/>
    <w:rsid w:val="004407B5"/>
    <w:rsid w:val="0044116B"/>
    <w:rsid w:val="00441B41"/>
    <w:rsid w:val="00442640"/>
    <w:rsid w:val="00442802"/>
    <w:rsid w:val="00442F2E"/>
    <w:rsid w:val="00442F64"/>
    <w:rsid w:val="0044317E"/>
    <w:rsid w:val="00443389"/>
    <w:rsid w:val="0044400A"/>
    <w:rsid w:val="00444719"/>
    <w:rsid w:val="00444B42"/>
    <w:rsid w:val="00444B71"/>
    <w:rsid w:val="00445583"/>
    <w:rsid w:val="00445682"/>
    <w:rsid w:val="004456A2"/>
    <w:rsid w:val="00445AE7"/>
    <w:rsid w:val="00446425"/>
    <w:rsid w:val="00446447"/>
    <w:rsid w:val="0044678E"/>
    <w:rsid w:val="004468A7"/>
    <w:rsid w:val="004468B1"/>
    <w:rsid w:val="00446C73"/>
    <w:rsid w:val="00446E2C"/>
    <w:rsid w:val="0044712F"/>
    <w:rsid w:val="00447ADE"/>
    <w:rsid w:val="00447D3F"/>
    <w:rsid w:val="00447DFD"/>
    <w:rsid w:val="004503F9"/>
    <w:rsid w:val="00450A8F"/>
    <w:rsid w:val="00450A94"/>
    <w:rsid w:val="0045158C"/>
    <w:rsid w:val="00451ED4"/>
    <w:rsid w:val="00452B1E"/>
    <w:rsid w:val="00452BFB"/>
    <w:rsid w:val="00452DBC"/>
    <w:rsid w:val="00452FD0"/>
    <w:rsid w:val="0045306C"/>
    <w:rsid w:val="004530B4"/>
    <w:rsid w:val="0045324B"/>
    <w:rsid w:val="004535FE"/>
    <w:rsid w:val="004536D1"/>
    <w:rsid w:val="0045467C"/>
    <w:rsid w:val="0045495A"/>
    <w:rsid w:val="00454A17"/>
    <w:rsid w:val="00454E9A"/>
    <w:rsid w:val="00455492"/>
    <w:rsid w:val="00455687"/>
    <w:rsid w:val="004556F1"/>
    <w:rsid w:val="004557DA"/>
    <w:rsid w:val="00455A6A"/>
    <w:rsid w:val="00455C92"/>
    <w:rsid w:val="00455D2C"/>
    <w:rsid w:val="00456164"/>
    <w:rsid w:val="00456D9A"/>
    <w:rsid w:val="004577ED"/>
    <w:rsid w:val="00457D5B"/>
    <w:rsid w:val="004604B1"/>
    <w:rsid w:val="004605D3"/>
    <w:rsid w:val="00460A71"/>
    <w:rsid w:val="00460ADD"/>
    <w:rsid w:val="00460B6E"/>
    <w:rsid w:val="0046108F"/>
    <w:rsid w:val="004617F8"/>
    <w:rsid w:val="00461E56"/>
    <w:rsid w:val="00462ADB"/>
    <w:rsid w:val="00462BC1"/>
    <w:rsid w:val="00462C23"/>
    <w:rsid w:val="004631F3"/>
    <w:rsid w:val="00463301"/>
    <w:rsid w:val="004633D7"/>
    <w:rsid w:val="004636CD"/>
    <w:rsid w:val="00463B60"/>
    <w:rsid w:val="00463F4E"/>
    <w:rsid w:val="004641AB"/>
    <w:rsid w:val="00464E90"/>
    <w:rsid w:val="00464EC1"/>
    <w:rsid w:val="00465984"/>
    <w:rsid w:val="00465B31"/>
    <w:rsid w:val="00466033"/>
    <w:rsid w:val="0046613A"/>
    <w:rsid w:val="0046614F"/>
    <w:rsid w:val="0046641D"/>
    <w:rsid w:val="0046671B"/>
    <w:rsid w:val="0046679D"/>
    <w:rsid w:val="00467297"/>
    <w:rsid w:val="00467AE1"/>
    <w:rsid w:val="00470191"/>
    <w:rsid w:val="004705C4"/>
    <w:rsid w:val="0047067A"/>
    <w:rsid w:val="00470686"/>
    <w:rsid w:val="00470DB2"/>
    <w:rsid w:val="00470ED9"/>
    <w:rsid w:val="00470EDC"/>
    <w:rsid w:val="00471458"/>
    <w:rsid w:val="00472163"/>
    <w:rsid w:val="004724B5"/>
    <w:rsid w:val="0047357A"/>
    <w:rsid w:val="00473927"/>
    <w:rsid w:val="00473A06"/>
    <w:rsid w:val="0047419E"/>
    <w:rsid w:val="004746DF"/>
    <w:rsid w:val="004752FA"/>
    <w:rsid w:val="00475CB5"/>
    <w:rsid w:val="004763CE"/>
    <w:rsid w:val="004770AB"/>
    <w:rsid w:val="00477552"/>
    <w:rsid w:val="004775F0"/>
    <w:rsid w:val="00477B78"/>
    <w:rsid w:val="004807EC"/>
    <w:rsid w:val="00481260"/>
    <w:rsid w:val="0048167E"/>
    <w:rsid w:val="00481CD6"/>
    <w:rsid w:val="00481D0D"/>
    <w:rsid w:val="00481DB1"/>
    <w:rsid w:val="004824B2"/>
    <w:rsid w:val="00483417"/>
    <w:rsid w:val="0048353A"/>
    <w:rsid w:val="00483C0C"/>
    <w:rsid w:val="00484046"/>
    <w:rsid w:val="004843B7"/>
    <w:rsid w:val="004844A9"/>
    <w:rsid w:val="0048482F"/>
    <w:rsid w:val="00484D99"/>
    <w:rsid w:val="00484F9B"/>
    <w:rsid w:val="00485307"/>
    <w:rsid w:val="0048556E"/>
    <w:rsid w:val="004855D6"/>
    <w:rsid w:val="00485609"/>
    <w:rsid w:val="00485C2F"/>
    <w:rsid w:val="00485CF0"/>
    <w:rsid w:val="0048609E"/>
    <w:rsid w:val="004867AE"/>
    <w:rsid w:val="00487057"/>
    <w:rsid w:val="004876D3"/>
    <w:rsid w:val="00487898"/>
    <w:rsid w:val="00487C87"/>
    <w:rsid w:val="00490116"/>
    <w:rsid w:val="00490445"/>
    <w:rsid w:val="0049071C"/>
    <w:rsid w:val="00490CB3"/>
    <w:rsid w:val="0049164A"/>
    <w:rsid w:val="00491A30"/>
    <w:rsid w:val="00491DA1"/>
    <w:rsid w:val="004924D0"/>
    <w:rsid w:val="00492762"/>
    <w:rsid w:val="00492B97"/>
    <w:rsid w:val="00492CAE"/>
    <w:rsid w:val="00493755"/>
    <w:rsid w:val="00493912"/>
    <w:rsid w:val="00493F9D"/>
    <w:rsid w:val="004941A6"/>
    <w:rsid w:val="00495055"/>
    <w:rsid w:val="00495456"/>
    <w:rsid w:val="004955C3"/>
    <w:rsid w:val="004956FC"/>
    <w:rsid w:val="004959CE"/>
    <w:rsid w:val="00495F59"/>
    <w:rsid w:val="004961A0"/>
    <w:rsid w:val="004965D1"/>
    <w:rsid w:val="004966D9"/>
    <w:rsid w:val="00496CEE"/>
    <w:rsid w:val="004976F7"/>
    <w:rsid w:val="00497A00"/>
    <w:rsid w:val="004A0015"/>
    <w:rsid w:val="004A04AB"/>
    <w:rsid w:val="004A0680"/>
    <w:rsid w:val="004A090A"/>
    <w:rsid w:val="004A0A85"/>
    <w:rsid w:val="004A0C13"/>
    <w:rsid w:val="004A142C"/>
    <w:rsid w:val="004A146C"/>
    <w:rsid w:val="004A16E8"/>
    <w:rsid w:val="004A1911"/>
    <w:rsid w:val="004A1A91"/>
    <w:rsid w:val="004A1DFA"/>
    <w:rsid w:val="004A2063"/>
    <w:rsid w:val="004A209D"/>
    <w:rsid w:val="004A2177"/>
    <w:rsid w:val="004A22D3"/>
    <w:rsid w:val="004A26E8"/>
    <w:rsid w:val="004A2913"/>
    <w:rsid w:val="004A2D0B"/>
    <w:rsid w:val="004A311B"/>
    <w:rsid w:val="004A3576"/>
    <w:rsid w:val="004A375D"/>
    <w:rsid w:val="004A4282"/>
    <w:rsid w:val="004A42E5"/>
    <w:rsid w:val="004A4465"/>
    <w:rsid w:val="004A45ED"/>
    <w:rsid w:val="004A4B48"/>
    <w:rsid w:val="004A584A"/>
    <w:rsid w:val="004A632A"/>
    <w:rsid w:val="004A6537"/>
    <w:rsid w:val="004A6820"/>
    <w:rsid w:val="004A79DE"/>
    <w:rsid w:val="004B054D"/>
    <w:rsid w:val="004B05C6"/>
    <w:rsid w:val="004B0786"/>
    <w:rsid w:val="004B0CD6"/>
    <w:rsid w:val="004B0DDA"/>
    <w:rsid w:val="004B11AE"/>
    <w:rsid w:val="004B14F1"/>
    <w:rsid w:val="004B19BB"/>
    <w:rsid w:val="004B1F5C"/>
    <w:rsid w:val="004B20EB"/>
    <w:rsid w:val="004B2475"/>
    <w:rsid w:val="004B2BCB"/>
    <w:rsid w:val="004B2C22"/>
    <w:rsid w:val="004B2C90"/>
    <w:rsid w:val="004B3679"/>
    <w:rsid w:val="004B38E7"/>
    <w:rsid w:val="004B3D44"/>
    <w:rsid w:val="004B4114"/>
    <w:rsid w:val="004B434E"/>
    <w:rsid w:val="004B4F71"/>
    <w:rsid w:val="004B5402"/>
    <w:rsid w:val="004B5571"/>
    <w:rsid w:val="004B5FE5"/>
    <w:rsid w:val="004B5FFC"/>
    <w:rsid w:val="004B63C5"/>
    <w:rsid w:val="004B6778"/>
    <w:rsid w:val="004B67A2"/>
    <w:rsid w:val="004B769E"/>
    <w:rsid w:val="004B7A72"/>
    <w:rsid w:val="004B7AAD"/>
    <w:rsid w:val="004C0A16"/>
    <w:rsid w:val="004C0B87"/>
    <w:rsid w:val="004C1803"/>
    <w:rsid w:val="004C1E31"/>
    <w:rsid w:val="004C269B"/>
    <w:rsid w:val="004C2BD8"/>
    <w:rsid w:val="004C2E74"/>
    <w:rsid w:val="004C3050"/>
    <w:rsid w:val="004C3384"/>
    <w:rsid w:val="004C39BA"/>
    <w:rsid w:val="004C3C19"/>
    <w:rsid w:val="004C3C7A"/>
    <w:rsid w:val="004C441C"/>
    <w:rsid w:val="004C4539"/>
    <w:rsid w:val="004C46DA"/>
    <w:rsid w:val="004C48A3"/>
    <w:rsid w:val="004C48EB"/>
    <w:rsid w:val="004C4C32"/>
    <w:rsid w:val="004C52C0"/>
    <w:rsid w:val="004C53A1"/>
    <w:rsid w:val="004C5777"/>
    <w:rsid w:val="004C5C7E"/>
    <w:rsid w:val="004C6428"/>
    <w:rsid w:val="004C6442"/>
    <w:rsid w:val="004C68AD"/>
    <w:rsid w:val="004C6B04"/>
    <w:rsid w:val="004C7A8C"/>
    <w:rsid w:val="004C7E09"/>
    <w:rsid w:val="004D02BB"/>
    <w:rsid w:val="004D0422"/>
    <w:rsid w:val="004D070D"/>
    <w:rsid w:val="004D09B1"/>
    <w:rsid w:val="004D0B5E"/>
    <w:rsid w:val="004D12E5"/>
    <w:rsid w:val="004D1456"/>
    <w:rsid w:val="004D16C8"/>
    <w:rsid w:val="004D1C2A"/>
    <w:rsid w:val="004D1C74"/>
    <w:rsid w:val="004D1D46"/>
    <w:rsid w:val="004D24EC"/>
    <w:rsid w:val="004D28E0"/>
    <w:rsid w:val="004D2AE7"/>
    <w:rsid w:val="004D3089"/>
    <w:rsid w:val="004D34A3"/>
    <w:rsid w:val="004D38E0"/>
    <w:rsid w:val="004D42B9"/>
    <w:rsid w:val="004D44ED"/>
    <w:rsid w:val="004D4615"/>
    <w:rsid w:val="004D53ED"/>
    <w:rsid w:val="004D566E"/>
    <w:rsid w:val="004D5FB4"/>
    <w:rsid w:val="004D6BFE"/>
    <w:rsid w:val="004D7A74"/>
    <w:rsid w:val="004D7B8E"/>
    <w:rsid w:val="004D7F4C"/>
    <w:rsid w:val="004E039A"/>
    <w:rsid w:val="004E0E7D"/>
    <w:rsid w:val="004E144F"/>
    <w:rsid w:val="004E188F"/>
    <w:rsid w:val="004E25CA"/>
    <w:rsid w:val="004E2715"/>
    <w:rsid w:val="004E35A6"/>
    <w:rsid w:val="004E42E0"/>
    <w:rsid w:val="004E460A"/>
    <w:rsid w:val="004E4DC7"/>
    <w:rsid w:val="004E5520"/>
    <w:rsid w:val="004E55B6"/>
    <w:rsid w:val="004E5987"/>
    <w:rsid w:val="004E5B7C"/>
    <w:rsid w:val="004E64D0"/>
    <w:rsid w:val="004E65FC"/>
    <w:rsid w:val="004E6ADD"/>
    <w:rsid w:val="004E7C45"/>
    <w:rsid w:val="004E7F61"/>
    <w:rsid w:val="004F0136"/>
    <w:rsid w:val="004F0904"/>
    <w:rsid w:val="004F0C28"/>
    <w:rsid w:val="004F1082"/>
    <w:rsid w:val="004F20D0"/>
    <w:rsid w:val="004F291E"/>
    <w:rsid w:val="004F32D5"/>
    <w:rsid w:val="004F33FD"/>
    <w:rsid w:val="004F37C3"/>
    <w:rsid w:val="004F3C3A"/>
    <w:rsid w:val="004F5214"/>
    <w:rsid w:val="004F534E"/>
    <w:rsid w:val="004F5A1B"/>
    <w:rsid w:val="004F5AC9"/>
    <w:rsid w:val="004F5FEF"/>
    <w:rsid w:val="004F6424"/>
    <w:rsid w:val="004F64C6"/>
    <w:rsid w:val="004F6B1B"/>
    <w:rsid w:val="004F6C57"/>
    <w:rsid w:val="004F6D2D"/>
    <w:rsid w:val="004F6DF6"/>
    <w:rsid w:val="004F7109"/>
    <w:rsid w:val="004F7841"/>
    <w:rsid w:val="004F7849"/>
    <w:rsid w:val="004F7A46"/>
    <w:rsid w:val="004F7F21"/>
    <w:rsid w:val="00500C9A"/>
    <w:rsid w:val="00501259"/>
    <w:rsid w:val="00501492"/>
    <w:rsid w:val="0050155F"/>
    <w:rsid w:val="00501895"/>
    <w:rsid w:val="00501CAB"/>
    <w:rsid w:val="00502253"/>
    <w:rsid w:val="0050239E"/>
    <w:rsid w:val="00502461"/>
    <w:rsid w:val="00502B5A"/>
    <w:rsid w:val="00502DB9"/>
    <w:rsid w:val="005030AA"/>
    <w:rsid w:val="005031E6"/>
    <w:rsid w:val="005035A9"/>
    <w:rsid w:val="00503DB2"/>
    <w:rsid w:val="00503E7A"/>
    <w:rsid w:val="00504A07"/>
    <w:rsid w:val="00504E21"/>
    <w:rsid w:val="0050506C"/>
    <w:rsid w:val="00505416"/>
    <w:rsid w:val="005055F5"/>
    <w:rsid w:val="00505EE2"/>
    <w:rsid w:val="00506B5B"/>
    <w:rsid w:val="00507104"/>
    <w:rsid w:val="005074EC"/>
    <w:rsid w:val="00507AFD"/>
    <w:rsid w:val="00507B7C"/>
    <w:rsid w:val="00507D46"/>
    <w:rsid w:val="005101EC"/>
    <w:rsid w:val="005104E7"/>
    <w:rsid w:val="00510812"/>
    <w:rsid w:val="00510F0A"/>
    <w:rsid w:val="005111BD"/>
    <w:rsid w:val="005111CB"/>
    <w:rsid w:val="00511301"/>
    <w:rsid w:val="005114A4"/>
    <w:rsid w:val="005126EB"/>
    <w:rsid w:val="00512735"/>
    <w:rsid w:val="00513255"/>
    <w:rsid w:val="00513336"/>
    <w:rsid w:val="00513599"/>
    <w:rsid w:val="00513748"/>
    <w:rsid w:val="00513F23"/>
    <w:rsid w:val="00514900"/>
    <w:rsid w:val="00514AFD"/>
    <w:rsid w:val="0051518F"/>
    <w:rsid w:val="00515381"/>
    <w:rsid w:val="0051540A"/>
    <w:rsid w:val="005155D7"/>
    <w:rsid w:val="00516214"/>
    <w:rsid w:val="00517930"/>
    <w:rsid w:val="00517B5E"/>
    <w:rsid w:val="00517D61"/>
    <w:rsid w:val="00517DE0"/>
    <w:rsid w:val="00517F3F"/>
    <w:rsid w:val="00520DF3"/>
    <w:rsid w:val="0052134E"/>
    <w:rsid w:val="005214C4"/>
    <w:rsid w:val="005224C2"/>
    <w:rsid w:val="0052292C"/>
    <w:rsid w:val="00522B53"/>
    <w:rsid w:val="00522E91"/>
    <w:rsid w:val="005234E0"/>
    <w:rsid w:val="00523B16"/>
    <w:rsid w:val="00523C08"/>
    <w:rsid w:val="00523CAD"/>
    <w:rsid w:val="00523E63"/>
    <w:rsid w:val="00524365"/>
    <w:rsid w:val="00524411"/>
    <w:rsid w:val="005248B2"/>
    <w:rsid w:val="00524E9A"/>
    <w:rsid w:val="005252BF"/>
    <w:rsid w:val="00525D1E"/>
    <w:rsid w:val="00525D52"/>
    <w:rsid w:val="00525FDA"/>
    <w:rsid w:val="00527739"/>
    <w:rsid w:val="0053018F"/>
    <w:rsid w:val="00530220"/>
    <w:rsid w:val="00530692"/>
    <w:rsid w:val="0053070D"/>
    <w:rsid w:val="005309FE"/>
    <w:rsid w:val="00530A3E"/>
    <w:rsid w:val="00530CAB"/>
    <w:rsid w:val="005312CE"/>
    <w:rsid w:val="005313D8"/>
    <w:rsid w:val="005314B5"/>
    <w:rsid w:val="0053151C"/>
    <w:rsid w:val="00531859"/>
    <w:rsid w:val="00531983"/>
    <w:rsid w:val="00531EED"/>
    <w:rsid w:val="00532254"/>
    <w:rsid w:val="00532623"/>
    <w:rsid w:val="0053279B"/>
    <w:rsid w:val="00532E12"/>
    <w:rsid w:val="00532F70"/>
    <w:rsid w:val="00533B89"/>
    <w:rsid w:val="00534067"/>
    <w:rsid w:val="00534694"/>
    <w:rsid w:val="005348E5"/>
    <w:rsid w:val="00534AB0"/>
    <w:rsid w:val="00534B96"/>
    <w:rsid w:val="0053515C"/>
    <w:rsid w:val="005351D2"/>
    <w:rsid w:val="005352E8"/>
    <w:rsid w:val="0053582C"/>
    <w:rsid w:val="00535B0E"/>
    <w:rsid w:val="0053630B"/>
    <w:rsid w:val="00536783"/>
    <w:rsid w:val="00536876"/>
    <w:rsid w:val="005368BA"/>
    <w:rsid w:val="00537040"/>
    <w:rsid w:val="00537653"/>
    <w:rsid w:val="00537A50"/>
    <w:rsid w:val="00537B08"/>
    <w:rsid w:val="00537C12"/>
    <w:rsid w:val="00537D28"/>
    <w:rsid w:val="0054072D"/>
    <w:rsid w:val="00540F28"/>
    <w:rsid w:val="00541CC9"/>
    <w:rsid w:val="005427FE"/>
    <w:rsid w:val="00542F3F"/>
    <w:rsid w:val="00543130"/>
    <w:rsid w:val="005432A1"/>
    <w:rsid w:val="005434BA"/>
    <w:rsid w:val="00543578"/>
    <w:rsid w:val="00543580"/>
    <w:rsid w:val="0054358F"/>
    <w:rsid w:val="00543912"/>
    <w:rsid w:val="00543DF5"/>
    <w:rsid w:val="00544368"/>
    <w:rsid w:val="00544A37"/>
    <w:rsid w:val="00544A63"/>
    <w:rsid w:val="00544C3F"/>
    <w:rsid w:val="00544F5E"/>
    <w:rsid w:val="005465B5"/>
    <w:rsid w:val="005467D9"/>
    <w:rsid w:val="005468B7"/>
    <w:rsid w:val="00546ABC"/>
    <w:rsid w:val="00546C0B"/>
    <w:rsid w:val="00546C55"/>
    <w:rsid w:val="00547132"/>
    <w:rsid w:val="00547388"/>
    <w:rsid w:val="00547432"/>
    <w:rsid w:val="0054772D"/>
    <w:rsid w:val="00547AA4"/>
    <w:rsid w:val="00550C77"/>
    <w:rsid w:val="0055143A"/>
    <w:rsid w:val="00551588"/>
    <w:rsid w:val="005516E3"/>
    <w:rsid w:val="00551961"/>
    <w:rsid w:val="0055199E"/>
    <w:rsid w:val="00551F1C"/>
    <w:rsid w:val="0055244C"/>
    <w:rsid w:val="005525E8"/>
    <w:rsid w:val="0055288A"/>
    <w:rsid w:val="00552D63"/>
    <w:rsid w:val="0055370E"/>
    <w:rsid w:val="005538BE"/>
    <w:rsid w:val="00553A79"/>
    <w:rsid w:val="00553C0D"/>
    <w:rsid w:val="00554299"/>
    <w:rsid w:val="00554D73"/>
    <w:rsid w:val="00554D76"/>
    <w:rsid w:val="00554F65"/>
    <w:rsid w:val="005554DF"/>
    <w:rsid w:val="00555CEF"/>
    <w:rsid w:val="00556436"/>
    <w:rsid w:val="005567C4"/>
    <w:rsid w:val="00556D98"/>
    <w:rsid w:val="00557A5C"/>
    <w:rsid w:val="00557CE4"/>
    <w:rsid w:val="00557E7C"/>
    <w:rsid w:val="005600FA"/>
    <w:rsid w:val="00560B14"/>
    <w:rsid w:val="00560B6E"/>
    <w:rsid w:val="00560BFA"/>
    <w:rsid w:val="00560D67"/>
    <w:rsid w:val="005611AF"/>
    <w:rsid w:val="005612D6"/>
    <w:rsid w:val="00561C97"/>
    <w:rsid w:val="0056232A"/>
    <w:rsid w:val="00562BB1"/>
    <w:rsid w:val="00562E00"/>
    <w:rsid w:val="00563A50"/>
    <w:rsid w:val="00563C76"/>
    <w:rsid w:val="005640E1"/>
    <w:rsid w:val="00564A81"/>
    <w:rsid w:val="00564E0E"/>
    <w:rsid w:val="00564E6C"/>
    <w:rsid w:val="00565051"/>
    <w:rsid w:val="00565479"/>
    <w:rsid w:val="0056599B"/>
    <w:rsid w:val="005659C1"/>
    <w:rsid w:val="00565A0A"/>
    <w:rsid w:val="00566107"/>
    <w:rsid w:val="00566A47"/>
    <w:rsid w:val="00566BBD"/>
    <w:rsid w:val="00566E6F"/>
    <w:rsid w:val="005670FB"/>
    <w:rsid w:val="00567409"/>
    <w:rsid w:val="00567AD8"/>
    <w:rsid w:val="00567E43"/>
    <w:rsid w:val="00570391"/>
    <w:rsid w:val="005708A6"/>
    <w:rsid w:val="0057147A"/>
    <w:rsid w:val="005714E8"/>
    <w:rsid w:val="00571F37"/>
    <w:rsid w:val="00572191"/>
    <w:rsid w:val="005725BB"/>
    <w:rsid w:val="00572C88"/>
    <w:rsid w:val="00572FD4"/>
    <w:rsid w:val="005743AF"/>
    <w:rsid w:val="00574437"/>
    <w:rsid w:val="0057588D"/>
    <w:rsid w:val="005758EE"/>
    <w:rsid w:val="0057633B"/>
    <w:rsid w:val="0057637C"/>
    <w:rsid w:val="00576525"/>
    <w:rsid w:val="00576C6F"/>
    <w:rsid w:val="005779C1"/>
    <w:rsid w:val="00577AA3"/>
    <w:rsid w:val="00577AAA"/>
    <w:rsid w:val="00577CEF"/>
    <w:rsid w:val="00577F0E"/>
    <w:rsid w:val="005800BD"/>
    <w:rsid w:val="00581215"/>
    <w:rsid w:val="00581E3A"/>
    <w:rsid w:val="00582150"/>
    <w:rsid w:val="0058219A"/>
    <w:rsid w:val="00582402"/>
    <w:rsid w:val="00582953"/>
    <w:rsid w:val="00582B81"/>
    <w:rsid w:val="00582F74"/>
    <w:rsid w:val="00583352"/>
    <w:rsid w:val="0058354A"/>
    <w:rsid w:val="00583AB4"/>
    <w:rsid w:val="00583CE3"/>
    <w:rsid w:val="00583EB3"/>
    <w:rsid w:val="00583F36"/>
    <w:rsid w:val="0058400A"/>
    <w:rsid w:val="00584063"/>
    <w:rsid w:val="005841A1"/>
    <w:rsid w:val="0058435D"/>
    <w:rsid w:val="00584A9B"/>
    <w:rsid w:val="00584FDF"/>
    <w:rsid w:val="0058588F"/>
    <w:rsid w:val="0058592B"/>
    <w:rsid w:val="005859AB"/>
    <w:rsid w:val="00585E81"/>
    <w:rsid w:val="005870B6"/>
    <w:rsid w:val="005871ED"/>
    <w:rsid w:val="00587C60"/>
    <w:rsid w:val="005906F3"/>
    <w:rsid w:val="00590D3E"/>
    <w:rsid w:val="005914FD"/>
    <w:rsid w:val="00591B7B"/>
    <w:rsid w:val="00591E3D"/>
    <w:rsid w:val="005920FF"/>
    <w:rsid w:val="00593324"/>
    <w:rsid w:val="005935C3"/>
    <w:rsid w:val="0059366E"/>
    <w:rsid w:val="00593799"/>
    <w:rsid w:val="005939AC"/>
    <w:rsid w:val="00594351"/>
    <w:rsid w:val="005949CC"/>
    <w:rsid w:val="00594B4D"/>
    <w:rsid w:val="00594E49"/>
    <w:rsid w:val="005954F0"/>
    <w:rsid w:val="00595D9A"/>
    <w:rsid w:val="00596147"/>
    <w:rsid w:val="005965C9"/>
    <w:rsid w:val="00596A01"/>
    <w:rsid w:val="00596C4F"/>
    <w:rsid w:val="005970FC"/>
    <w:rsid w:val="00597B81"/>
    <w:rsid w:val="005A0082"/>
    <w:rsid w:val="005A0DB2"/>
    <w:rsid w:val="005A1002"/>
    <w:rsid w:val="005A12A5"/>
    <w:rsid w:val="005A1556"/>
    <w:rsid w:val="005A1942"/>
    <w:rsid w:val="005A1BC5"/>
    <w:rsid w:val="005A220D"/>
    <w:rsid w:val="005A22E0"/>
    <w:rsid w:val="005A23A5"/>
    <w:rsid w:val="005A24DD"/>
    <w:rsid w:val="005A2578"/>
    <w:rsid w:val="005A2D82"/>
    <w:rsid w:val="005A3146"/>
    <w:rsid w:val="005A390A"/>
    <w:rsid w:val="005A3C4D"/>
    <w:rsid w:val="005A4158"/>
    <w:rsid w:val="005A44E0"/>
    <w:rsid w:val="005A483B"/>
    <w:rsid w:val="005A48F7"/>
    <w:rsid w:val="005A4986"/>
    <w:rsid w:val="005A579D"/>
    <w:rsid w:val="005A6BDA"/>
    <w:rsid w:val="005A6CC1"/>
    <w:rsid w:val="005A73DD"/>
    <w:rsid w:val="005A76BF"/>
    <w:rsid w:val="005A7A65"/>
    <w:rsid w:val="005B009A"/>
    <w:rsid w:val="005B0243"/>
    <w:rsid w:val="005B062F"/>
    <w:rsid w:val="005B08A1"/>
    <w:rsid w:val="005B0AD5"/>
    <w:rsid w:val="005B0DC2"/>
    <w:rsid w:val="005B1308"/>
    <w:rsid w:val="005B170B"/>
    <w:rsid w:val="005B1762"/>
    <w:rsid w:val="005B2897"/>
    <w:rsid w:val="005B29D1"/>
    <w:rsid w:val="005B2B94"/>
    <w:rsid w:val="005B2FE0"/>
    <w:rsid w:val="005B3E33"/>
    <w:rsid w:val="005B3F0A"/>
    <w:rsid w:val="005B4245"/>
    <w:rsid w:val="005B4A20"/>
    <w:rsid w:val="005B4D26"/>
    <w:rsid w:val="005B4F7E"/>
    <w:rsid w:val="005B5669"/>
    <w:rsid w:val="005B5933"/>
    <w:rsid w:val="005B5D68"/>
    <w:rsid w:val="005B638E"/>
    <w:rsid w:val="005B6674"/>
    <w:rsid w:val="005B6878"/>
    <w:rsid w:val="005B6A4D"/>
    <w:rsid w:val="005B6F07"/>
    <w:rsid w:val="005B7576"/>
    <w:rsid w:val="005B7C9C"/>
    <w:rsid w:val="005B7D0A"/>
    <w:rsid w:val="005C01BF"/>
    <w:rsid w:val="005C0D98"/>
    <w:rsid w:val="005C2536"/>
    <w:rsid w:val="005C3186"/>
    <w:rsid w:val="005C326F"/>
    <w:rsid w:val="005C37A2"/>
    <w:rsid w:val="005C3D86"/>
    <w:rsid w:val="005C40D6"/>
    <w:rsid w:val="005C43FB"/>
    <w:rsid w:val="005C45BB"/>
    <w:rsid w:val="005C4E72"/>
    <w:rsid w:val="005C54C1"/>
    <w:rsid w:val="005C56C1"/>
    <w:rsid w:val="005C57F2"/>
    <w:rsid w:val="005C5DA6"/>
    <w:rsid w:val="005C5F7D"/>
    <w:rsid w:val="005C6190"/>
    <w:rsid w:val="005C65CC"/>
    <w:rsid w:val="005C67F8"/>
    <w:rsid w:val="005C6840"/>
    <w:rsid w:val="005C6951"/>
    <w:rsid w:val="005C6B68"/>
    <w:rsid w:val="005C6D13"/>
    <w:rsid w:val="005C6E2C"/>
    <w:rsid w:val="005C7380"/>
    <w:rsid w:val="005C77C6"/>
    <w:rsid w:val="005C7ADC"/>
    <w:rsid w:val="005D02B7"/>
    <w:rsid w:val="005D052D"/>
    <w:rsid w:val="005D0681"/>
    <w:rsid w:val="005D0C0F"/>
    <w:rsid w:val="005D0D85"/>
    <w:rsid w:val="005D1A5E"/>
    <w:rsid w:val="005D1F67"/>
    <w:rsid w:val="005D21DD"/>
    <w:rsid w:val="005D3952"/>
    <w:rsid w:val="005D3DDB"/>
    <w:rsid w:val="005D3F7A"/>
    <w:rsid w:val="005D3FF9"/>
    <w:rsid w:val="005D448C"/>
    <w:rsid w:val="005D4B28"/>
    <w:rsid w:val="005D4FD9"/>
    <w:rsid w:val="005D51B4"/>
    <w:rsid w:val="005D5711"/>
    <w:rsid w:val="005D58CD"/>
    <w:rsid w:val="005D5AF0"/>
    <w:rsid w:val="005D606E"/>
    <w:rsid w:val="005D6C04"/>
    <w:rsid w:val="005D7624"/>
    <w:rsid w:val="005D7F7F"/>
    <w:rsid w:val="005E0058"/>
    <w:rsid w:val="005E0159"/>
    <w:rsid w:val="005E1E92"/>
    <w:rsid w:val="005E1EF8"/>
    <w:rsid w:val="005E282C"/>
    <w:rsid w:val="005E29C2"/>
    <w:rsid w:val="005E2FE1"/>
    <w:rsid w:val="005E317A"/>
    <w:rsid w:val="005E321A"/>
    <w:rsid w:val="005E3480"/>
    <w:rsid w:val="005E3A79"/>
    <w:rsid w:val="005E3A7D"/>
    <w:rsid w:val="005E3AEC"/>
    <w:rsid w:val="005E3CA7"/>
    <w:rsid w:val="005E3FCD"/>
    <w:rsid w:val="005E3FF8"/>
    <w:rsid w:val="005E41CC"/>
    <w:rsid w:val="005E4C18"/>
    <w:rsid w:val="005E4CC0"/>
    <w:rsid w:val="005E50A6"/>
    <w:rsid w:val="005E5188"/>
    <w:rsid w:val="005E5269"/>
    <w:rsid w:val="005E62B3"/>
    <w:rsid w:val="005E6709"/>
    <w:rsid w:val="005E6F10"/>
    <w:rsid w:val="005E7315"/>
    <w:rsid w:val="005E7560"/>
    <w:rsid w:val="005E7613"/>
    <w:rsid w:val="005E7CF9"/>
    <w:rsid w:val="005E7E3D"/>
    <w:rsid w:val="005F02DF"/>
    <w:rsid w:val="005F0AF0"/>
    <w:rsid w:val="005F0FC0"/>
    <w:rsid w:val="005F1319"/>
    <w:rsid w:val="005F1B6D"/>
    <w:rsid w:val="005F1EE9"/>
    <w:rsid w:val="005F243B"/>
    <w:rsid w:val="005F2957"/>
    <w:rsid w:val="005F3425"/>
    <w:rsid w:val="005F35F3"/>
    <w:rsid w:val="005F360A"/>
    <w:rsid w:val="005F3777"/>
    <w:rsid w:val="005F3FC4"/>
    <w:rsid w:val="005F40AB"/>
    <w:rsid w:val="005F44DC"/>
    <w:rsid w:val="005F4516"/>
    <w:rsid w:val="005F4A57"/>
    <w:rsid w:val="005F4BDD"/>
    <w:rsid w:val="005F4CA7"/>
    <w:rsid w:val="005F4ECC"/>
    <w:rsid w:val="005F5D30"/>
    <w:rsid w:val="005F5D3C"/>
    <w:rsid w:val="005F6632"/>
    <w:rsid w:val="005F6863"/>
    <w:rsid w:val="005F6931"/>
    <w:rsid w:val="005F6E42"/>
    <w:rsid w:val="005F701E"/>
    <w:rsid w:val="005F7601"/>
    <w:rsid w:val="005F76AC"/>
    <w:rsid w:val="005F7B36"/>
    <w:rsid w:val="00600256"/>
    <w:rsid w:val="0060070A"/>
    <w:rsid w:val="00601175"/>
    <w:rsid w:val="006014C9"/>
    <w:rsid w:val="00601594"/>
    <w:rsid w:val="006015E6"/>
    <w:rsid w:val="006017A8"/>
    <w:rsid w:val="00601FC7"/>
    <w:rsid w:val="00602266"/>
    <w:rsid w:val="006027B5"/>
    <w:rsid w:val="00603342"/>
    <w:rsid w:val="0060337E"/>
    <w:rsid w:val="00603390"/>
    <w:rsid w:val="006037EE"/>
    <w:rsid w:val="00603FA0"/>
    <w:rsid w:val="0060419F"/>
    <w:rsid w:val="0060497A"/>
    <w:rsid w:val="00604AF6"/>
    <w:rsid w:val="00604C03"/>
    <w:rsid w:val="00605073"/>
    <w:rsid w:val="00605950"/>
    <w:rsid w:val="00605AC8"/>
    <w:rsid w:val="00605B6F"/>
    <w:rsid w:val="00605D00"/>
    <w:rsid w:val="00605F11"/>
    <w:rsid w:val="0060605B"/>
    <w:rsid w:val="00606683"/>
    <w:rsid w:val="0060676C"/>
    <w:rsid w:val="00606D1E"/>
    <w:rsid w:val="00606DF5"/>
    <w:rsid w:val="00607054"/>
    <w:rsid w:val="00607DF5"/>
    <w:rsid w:val="00607F72"/>
    <w:rsid w:val="0061020F"/>
    <w:rsid w:val="0061063D"/>
    <w:rsid w:val="00611643"/>
    <w:rsid w:val="006116B9"/>
    <w:rsid w:val="0061184C"/>
    <w:rsid w:val="006118E4"/>
    <w:rsid w:val="00611C52"/>
    <w:rsid w:val="00611F42"/>
    <w:rsid w:val="00611F4E"/>
    <w:rsid w:val="0061227F"/>
    <w:rsid w:val="006131C2"/>
    <w:rsid w:val="006133BC"/>
    <w:rsid w:val="0061435A"/>
    <w:rsid w:val="00614AA1"/>
    <w:rsid w:val="00615A72"/>
    <w:rsid w:val="00615F7F"/>
    <w:rsid w:val="0061657E"/>
    <w:rsid w:val="006168D8"/>
    <w:rsid w:val="00616D75"/>
    <w:rsid w:val="006172A5"/>
    <w:rsid w:val="00617320"/>
    <w:rsid w:val="00617333"/>
    <w:rsid w:val="0061779F"/>
    <w:rsid w:val="00617AA7"/>
    <w:rsid w:val="00617EC3"/>
    <w:rsid w:val="00620074"/>
    <w:rsid w:val="006202A1"/>
    <w:rsid w:val="006206C8"/>
    <w:rsid w:val="00620726"/>
    <w:rsid w:val="00620849"/>
    <w:rsid w:val="00620DDD"/>
    <w:rsid w:val="006210C7"/>
    <w:rsid w:val="00621116"/>
    <w:rsid w:val="006217E2"/>
    <w:rsid w:val="006218F0"/>
    <w:rsid w:val="00621E0C"/>
    <w:rsid w:val="006228F5"/>
    <w:rsid w:val="00623587"/>
    <w:rsid w:val="00623B62"/>
    <w:rsid w:val="00623C96"/>
    <w:rsid w:val="0062420B"/>
    <w:rsid w:val="00624685"/>
    <w:rsid w:val="0062495B"/>
    <w:rsid w:val="00624CF1"/>
    <w:rsid w:val="00624F05"/>
    <w:rsid w:val="006250DE"/>
    <w:rsid w:val="00625303"/>
    <w:rsid w:val="00625D2C"/>
    <w:rsid w:val="00626A85"/>
    <w:rsid w:val="00626E2E"/>
    <w:rsid w:val="00626F86"/>
    <w:rsid w:val="006275B0"/>
    <w:rsid w:val="00627B51"/>
    <w:rsid w:val="0062890A"/>
    <w:rsid w:val="00630597"/>
    <w:rsid w:val="006305AB"/>
    <w:rsid w:val="00631208"/>
    <w:rsid w:val="006312FB"/>
    <w:rsid w:val="00631B55"/>
    <w:rsid w:val="00631D06"/>
    <w:rsid w:val="006324A1"/>
    <w:rsid w:val="00632BD5"/>
    <w:rsid w:val="00632FCD"/>
    <w:rsid w:val="00633101"/>
    <w:rsid w:val="00633A2C"/>
    <w:rsid w:val="00634071"/>
    <w:rsid w:val="00634849"/>
    <w:rsid w:val="00634A74"/>
    <w:rsid w:val="00634C65"/>
    <w:rsid w:val="00634EFE"/>
    <w:rsid w:val="006350AB"/>
    <w:rsid w:val="006350B2"/>
    <w:rsid w:val="0063511D"/>
    <w:rsid w:val="00635893"/>
    <w:rsid w:val="00635D93"/>
    <w:rsid w:val="006365FF"/>
    <w:rsid w:val="00636CDD"/>
    <w:rsid w:val="00637056"/>
    <w:rsid w:val="00637488"/>
    <w:rsid w:val="00637DE5"/>
    <w:rsid w:val="00637FAE"/>
    <w:rsid w:val="00637FB8"/>
    <w:rsid w:val="00640165"/>
    <w:rsid w:val="006402FE"/>
    <w:rsid w:val="00640461"/>
    <w:rsid w:val="00640BD0"/>
    <w:rsid w:val="00640FB2"/>
    <w:rsid w:val="00641A20"/>
    <w:rsid w:val="00641BF2"/>
    <w:rsid w:val="0064243A"/>
    <w:rsid w:val="006424F2"/>
    <w:rsid w:val="00642514"/>
    <w:rsid w:val="00642780"/>
    <w:rsid w:val="00642BED"/>
    <w:rsid w:val="00642F37"/>
    <w:rsid w:val="006434D5"/>
    <w:rsid w:val="0064370B"/>
    <w:rsid w:val="00643939"/>
    <w:rsid w:val="0064397E"/>
    <w:rsid w:val="00643B64"/>
    <w:rsid w:val="00644575"/>
    <w:rsid w:val="00644B56"/>
    <w:rsid w:val="00644DA3"/>
    <w:rsid w:val="00645004"/>
    <w:rsid w:val="00645403"/>
    <w:rsid w:val="00645554"/>
    <w:rsid w:val="006457DF"/>
    <w:rsid w:val="00645A19"/>
    <w:rsid w:val="00645A21"/>
    <w:rsid w:val="00645DA6"/>
    <w:rsid w:val="00646955"/>
    <w:rsid w:val="006470AF"/>
    <w:rsid w:val="006507DD"/>
    <w:rsid w:val="00650A3D"/>
    <w:rsid w:val="006512E6"/>
    <w:rsid w:val="00651962"/>
    <w:rsid w:val="006519A6"/>
    <w:rsid w:val="00651BDF"/>
    <w:rsid w:val="00651F21"/>
    <w:rsid w:val="0065239B"/>
    <w:rsid w:val="00652A78"/>
    <w:rsid w:val="00652CB3"/>
    <w:rsid w:val="006532ED"/>
    <w:rsid w:val="0065363E"/>
    <w:rsid w:val="00653EFE"/>
    <w:rsid w:val="006541AB"/>
    <w:rsid w:val="006548A5"/>
    <w:rsid w:val="006550F5"/>
    <w:rsid w:val="006553BB"/>
    <w:rsid w:val="006559A0"/>
    <w:rsid w:val="00655C00"/>
    <w:rsid w:val="00655DFF"/>
    <w:rsid w:val="00655E6C"/>
    <w:rsid w:val="00656426"/>
    <w:rsid w:val="006565B8"/>
    <w:rsid w:val="00656897"/>
    <w:rsid w:val="00656EDD"/>
    <w:rsid w:val="00656EEB"/>
    <w:rsid w:val="00657714"/>
    <w:rsid w:val="0065A860"/>
    <w:rsid w:val="00660101"/>
    <w:rsid w:val="006608C2"/>
    <w:rsid w:val="00660EB3"/>
    <w:rsid w:val="006612EA"/>
    <w:rsid w:val="0066151D"/>
    <w:rsid w:val="00661B60"/>
    <w:rsid w:val="00662507"/>
    <w:rsid w:val="00662748"/>
    <w:rsid w:val="00662B08"/>
    <w:rsid w:val="0066399F"/>
    <w:rsid w:val="00663AEF"/>
    <w:rsid w:val="00663CAB"/>
    <w:rsid w:val="00664955"/>
    <w:rsid w:val="00664C2B"/>
    <w:rsid w:val="006653E5"/>
    <w:rsid w:val="0066687E"/>
    <w:rsid w:val="00667103"/>
    <w:rsid w:val="00667236"/>
    <w:rsid w:val="006674B0"/>
    <w:rsid w:val="00667523"/>
    <w:rsid w:val="006675F3"/>
    <w:rsid w:val="006678D5"/>
    <w:rsid w:val="00670A4B"/>
    <w:rsid w:val="00670EC5"/>
    <w:rsid w:val="00670F07"/>
    <w:rsid w:val="00671654"/>
    <w:rsid w:val="00671C6D"/>
    <w:rsid w:val="0067219A"/>
    <w:rsid w:val="0067235A"/>
    <w:rsid w:val="006726E9"/>
    <w:rsid w:val="00672FAF"/>
    <w:rsid w:val="00673560"/>
    <w:rsid w:val="0067489E"/>
    <w:rsid w:val="00674992"/>
    <w:rsid w:val="00674E3F"/>
    <w:rsid w:val="0067568D"/>
    <w:rsid w:val="00675910"/>
    <w:rsid w:val="006761FC"/>
    <w:rsid w:val="006764E7"/>
    <w:rsid w:val="0067684D"/>
    <w:rsid w:val="006769F6"/>
    <w:rsid w:val="00676BA8"/>
    <w:rsid w:val="00676EA5"/>
    <w:rsid w:val="006772D1"/>
    <w:rsid w:val="00677738"/>
    <w:rsid w:val="0068039A"/>
    <w:rsid w:val="0068045C"/>
    <w:rsid w:val="00680580"/>
    <w:rsid w:val="00680B4B"/>
    <w:rsid w:val="00680CBF"/>
    <w:rsid w:val="00681134"/>
    <w:rsid w:val="0068165C"/>
    <w:rsid w:val="00682A98"/>
    <w:rsid w:val="00682FA9"/>
    <w:rsid w:val="006834CF"/>
    <w:rsid w:val="00683D95"/>
    <w:rsid w:val="00683F33"/>
    <w:rsid w:val="006851AF"/>
    <w:rsid w:val="00685D47"/>
    <w:rsid w:val="00685DE1"/>
    <w:rsid w:val="00686088"/>
    <w:rsid w:val="00686854"/>
    <w:rsid w:val="00686EE4"/>
    <w:rsid w:val="006871AA"/>
    <w:rsid w:val="00687975"/>
    <w:rsid w:val="00690387"/>
    <w:rsid w:val="0069051E"/>
    <w:rsid w:val="0069054B"/>
    <w:rsid w:val="0069060C"/>
    <w:rsid w:val="00690923"/>
    <w:rsid w:val="00691103"/>
    <w:rsid w:val="00691329"/>
    <w:rsid w:val="0069173A"/>
    <w:rsid w:val="00691882"/>
    <w:rsid w:val="006919DD"/>
    <w:rsid w:val="00691C81"/>
    <w:rsid w:val="00692300"/>
    <w:rsid w:val="00692A84"/>
    <w:rsid w:val="00692ACE"/>
    <w:rsid w:val="00692B2F"/>
    <w:rsid w:val="00692C01"/>
    <w:rsid w:val="0069340C"/>
    <w:rsid w:val="00693930"/>
    <w:rsid w:val="00694037"/>
    <w:rsid w:val="0069440D"/>
    <w:rsid w:val="006947AC"/>
    <w:rsid w:val="006948A6"/>
    <w:rsid w:val="006948DB"/>
    <w:rsid w:val="00694A31"/>
    <w:rsid w:val="00695054"/>
    <w:rsid w:val="006951E3"/>
    <w:rsid w:val="006958DF"/>
    <w:rsid w:val="006959D6"/>
    <w:rsid w:val="00695A39"/>
    <w:rsid w:val="00696D96"/>
    <w:rsid w:val="00697497"/>
    <w:rsid w:val="006974C1"/>
    <w:rsid w:val="006975F7"/>
    <w:rsid w:val="00697696"/>
    <w:rsid w:val="006976F7"/>
    <w:rsid w:val="00697EE9"/>
    <w:rsid w:val="006A0679"/>
    <w:rsid w:val="006A0DB9"/>
    <w:rsid w:val="006A0E26"/>
    <w:rsid w:val="006A141C"/>
    <w:rsid w:val="006A175A"/>
    <w:rsid w:val="006A1E87"/>
    <w:rsid w:val="006A226B"/>
    <w:rsid w:val="006A2951"/>
    <w:rsid w:val="006A2A16"/>
    <w:rsid w:val="006A2B34"/>
    <w:rsid w:val="006A3877"/>
    <w:rsid w:val="006A38B3"/>
    <w:rsid w:val="006A3ABE"/>
    <w:rsid w:val="006A3E6E"/>
    <w:rsid w:val="006A3F49"/>
    <w:rsid w:val="006A4186"/>
    <w:rsid w:val="006A445F"/>
    <w:rsid w:val="006A4E8E"/>
    <w:rsid w:val="006A4EBB"/>
    <w:rsid w:val="006A5E8A"/>
    <w:rsid w:val="006A6CD1"/>
    <w:rsid w:val="006A710E"/>
    <w:rsid w:val="006A751D"/>
    <w:rsid w:val="006A7EEE"/>
    <w:rsid w:val="006B0173"/>
    <w:rsid w:val="006B022D"/>
    <w:rsid w:val="006B02FB"/>
    <w:rsid w:val="006B0AC6"/>
    <w:rsid w:val="006B1235"/>
    <w:rsid w:val="006B14C3"/>
    <w:rsid w:val="006B1782"/>
    <w:rsid w:val="006B1818"/>
    <w:rsid w:val="006B1C78"/>
    <w:rsid w:val="006B218A"/>
    <w:rsid w:val="006B25C3"/>
    <w:rsid w:val="006B3A04"/>
    <w:rsid w:val="006B428D"/>
    <w:rsid w:val="006B4C51"/>
    <w:rsid w:val="006B53D1"/>
    <w:rsid w:val="006B544D"/>
    <w:rsid w:val="006B5812"/>
    <w:rsid w:val="006B5C51"/>
    <w:rsid w:val="006B5F10"/>
    <w:rsid w:val="006B5F3F"/>
    <w:rsid w:val="006B651E"/>
    <w:rsid w:val="006B6B9B"/>
    <w:rsid w:val="006B6CDF"/>
    <w:rsid w:val="006B6D6F"/>
    <w:rsid w:val="006B6D9A"/>
    <w:rsid w:val="006B6E4A"/>
    <w:rsid w:val="006B73F2"/>
    <w:rsid w:val="006B76DB"/>
    <w:rsid w:val="006B78AD"/>
    <w:rsid w:val="006C0519"/>
    <w:rsid w:val="006C0922"/>
    <w:rsid w:val="006C0EA6"/>
    <w:rsid w:val="006C1552"/>
    <w:rsid w:val="006C162B"/>
    <w:rsid w:val="006C177C"/>
    <w:rsid w:val="006C2123"/>
    <w:rsid w:val="006C2936"/>
    <w:rsid w:val="006C2F79"/>
    <w:rsid w:val="006C30F6"/>
    <w:rsid w:val="006C33E6"/>
    <w:rsid w:val="006C3882"/>
    <w:rsid w:val="006C3AA5"/>
    <w:rsid w:val="006C424E"/>
    <w:rsid w:val="006C4287"/>
    <w:rsid w:val="006C437D"/>
    <w:rsid w:val="006C43F9"/>
    <w:rsid w:val="006C4A93"/>
    <w:rsid w:val="006C51DC"/>
    <w:rsid w:val="006C5C1B"/>
    <w:rsid w:val="006C5C74"/>
    <w:rsid w:val="006C6A23"/>
    <w:rsid w:val="006C6A45"/>
    <w:rsid w:val="006C6C20"/>
    <w:rsid w:val="006C7033"/>
    <w:rsid w:val="006C70FB"/>
    <w:rsid w:val="006C7576"/>
    <w:rsid w:val="006C7753"/>
    <w:rsid w:val="006C794C"/>
    <w:rsid w:val="006C7A63"/>
    <w:rsid w:val="006C7AB2"/>
    <w:rsid w:val="006D0314"/>
    <w:rsid w:val="006D0773"/>
    <w:rsid w:val="006D099A"/>
    <w:rsid w:val="006D1054"/>
    <w:rsid w:val="006D16DD"/>
    <w:rsid w:val="006D1AB8"/>
    <w:rsid w:val="006D1DD3"/>
    <w:rsid w:val="006D275D"/>
    <w:rsid w:val="006D28E4"/>
    <w:rsid w:val="006D3181"/>
    <w:rsid w:val="006D348A"/>
    <w:rsid w:val="006D37D7"/>
    <w:rsid w:val="006D3968"/>
    <w:rsid w:val="006D3ECE"/>
    <w:rsid w:val="006D419F"/>
    <w:rsid w:val="006D4544"/>
    <w:rsid w:val="006D4A57"/>
    <w:rsid w:val="006D4E57"/>
    <w:rsid w:val="006D4EF5"/>
    <w:rsid w:val="006D50D2"/>
    <w:rsid w:val="006D51B9"/>
    <w:rsid w:val="006D54EB"/>
    <w:rsid w:val="006D5A03"/>
    <w:rsid w:val="006D6435"/>
    <w:rsid w:val="006D64C4"/>
    <w:rsid w:val="006D64F7"/>
    <w:rsid w:val="006D693C"/>
    <w:rsid w:val="006D6985"/>
    <w:rsid w:val="006D6ECD"/>
    <w:rsid w:val="006D7202"/>
    <w:rsid w:val="006D72D7"/>
    <w:rsid w:val="006D72DB"/>
    <w:rsid w:val="006D7938"/>
    <w:rsid w:val="006D7B02"/>
    <w:rsid w:val="006D7B55"/>
    <w:rsid w:val="006D7CB4"/>
    <w:rsid w:val="006D7E73"/>
    <w:rsid w:val="006E01C9"/>
    <w:rsid w:val="006E0434"/>
    <w:rsid w:val="006E047D"/>
    <w:rsid w:val="006E0922"/>
    <w:rsid w:val="006E0B25"/>
    <w:rsid w:val="006E0B98"/>
    <w:rsid w:val="006E0DBE"/>
    <w:rsid w:val="006E1A4D"/>
    <w:rsid w:val="006E23FF"/>
    <w:rsid w:val="006E2BED"/>
    <w:rsid w:val="006E2EF8"/>
    <w:rsid w:val="006E2F00"/>
    <w:rsid w:val="006E32B7"/>
    <w:rsid w:val="006E3332"/>
    <w:rsid w:val="006E3BC5"/>
    <w:rsid w:val="006E454C"/>
    <w:rsid w:val="006E459A"/>
    <w:rsid w:val="006E4A58"/>
    <w:rsid w:val="006E4C6A"/>
    <w:rsid w:val="006E555D"/>
    <w:rsid w:val="006E5F41"/>
    <w:rsid w:val="006E62EB"/>
    <w:rsid w:val="006E65A3"/>
    <w:rsid w:val="006E6D8C"/>
    <w:rsid w:val="006E70B7"/>
    <w:rsid w:val="006E7742"/>
    <w:rsid w:val="006E7B92"/>
    <w:rsid w:val="006F0424"/>
    <w:rsid w:val="006F06E8"/>
    <w:rsid w:val="006F0CBA"/>
    <w:rsid w:val="006F1116"/>
    <w:rsid w:val="006F114F"/>
    <w:rsid w:val="006F127B"/>
    <w:rsid w:val="006F16FC"/>
    <w:rsid w:val="006F206D"/>
    <w:rsid w:val="006F22D6"/>
    <w:rsid w:val="006F2A09"/>
    <w:rsid w:val="006F2CE8"/>
    <w:rsid w:val="006F2D96"/>
    <w:rsid w:val="006F30C8"/>
    <w:rsid w:val="006F31F1"/>
    <w:rsid w:val="006F331A"/>
    <w:rsid w:val="006F36E8"/>
    <w:rsid w:val="006F3D36"/>
    <w:rsid w:val="006F524A"/>
    <w:rsid w:val="006F5748"/>
    <w:rsid w:val="006F5753"/>
    <w:rsid w:val="006F5D7B"/>
    <w:rsid w:val="006F60B1"/>
    <w:rsid w:val="006F64A4"/>
    <w:rsid w:val="006F6794"/>
    <w:rsid w:val="006F6F70"/>
    <w:rsid w:val="006F6F84"/>
    <w:rsid w:val="006F776E"/>
    <w:rsid w:val="006F77A3"/>
    <w:rsid w:val="006F79A0"/>
    <w:rsid w:val="00700080"/>
    <w:rsid w:val="00700094"/>
    <w:rsid w:val="00701B7A"/>
    <w:rsid w:val="00701C3D"/>
    <w:rsid w:val="0070216C"/>
    <w:rsid w:val="00702399"/>
    <w:rsid w:val="00702DB2"/>
    <w:rsid w:val="00702F5C"/>
    <w:rsid w:val="00703CFC"/>
    <w:rsid w:val="00704008"/>
    <w:rsid w:val="007042B1"/>
    <w:rsid w:val="0070430F"/>
    <w:rsid w:val="00704632"/>
    <w:rsid w:val="007050C7"/>
    <w:rsid w:val="00705C11"/>
    <w:rsid w:val="00705D23"/>
    <w:rsid w:val="007060D4"/>
    <w:rsid w:val="00706F49"/>
    <w:rsid w:val="00707E58"/>
    <w:rsid w:val="00707FE2"/>
    <w:rsid w:val="007100A4"/>
    <w:rsid w:val="007101D8"/>
    <w:rsid w:val="007107BE"/>
    <w:rsid w:val="0071090A"/>
    <w:rsid w:val="00711541"/>
    <w:rsid w:val="00711A41"/>
    <w:rsid w:val="0071239B"/>
    <w:rsid w:val="007124DC"/>
    <w:rsid w:val="00712951"/>
    <w:rsid w:val="00713151"/>
    <w:rsid w:val="00713E22"/>
    <w:rsid w:val="00714311"/>
    <w:rsid w:val="00714993"/>
    <w:rsid w:val="00715390"/>
    <w:rsid w:val="00715BCB"/>
    <w:rsid w:val="00715E5D"/>
    <w:rsid w:val="00715E8A"/>
    <w:rsid w:val="007165F9"/>
    <w:rsid w:val="007168EE"/>
    <w:rsid w:val="00716934"/>
    <w:rsid w:val="00716F44"/>
    <w:rsid w:val="007170E9"/>
    <w:rsid w:val="007174E2"/>
    <w:rsid w:val="00720247"/>
    <w:rsid w:val="00720486"/>
    <w:rsid w:val="00720BD6"/>
    <w:rsid w:val="00720CF0"/>
    <w:rsid w:val="007218A1"/>
    <w:rsid w:val="00721F05"/>
    <w:rsid w:val="00721F76"/>
    <w:rsid w:val="00721FDA"/>
    <w:rsid w:val="007221B6"/>
    <w:rsid w:val="007221EF"/>
    <w:rsid w:val="007222D2"/>
    <w:rsid w:val="00722411"/>
    <w:rsid w:val="007227A5"/>
    <w:rsid w:val="007228B4"/>
    <w:rsid w:val="00722CBD"/>
    <w:rsid w:val="007233BB"/>
    <w:rsid w:val="007233D6"/>
    <w:rsid w:val="00723766"/>
    <w:rsid w:val="0072390B"/>
    <w:rsid w:val="0072396F"/>
    <w:rsid w:val="00723D19"/>
    <w:rsid w:val="00724463"/>
    <w:rsid w:val="00724739"/>
    <w:rsid w:val="00725C27"/>
    <w:rsid w:val="0072637B"/>
    <w:rsid w:val="00726595"/>
    <w:rsid w:val="00726955"/>
    <w:rsid w:val="00726D3C"/>
    <w:rsid w:val="007271E2"/>
    <w:rsid w:val="007273B9"/>
    <w:rsid w:val="00730292"/>
    <w:rsid w:val="00730A44"/>
    <w:rsid w:val="007313AA"/>
    <w:rsid w:val="00731EF5"/>
    <w:rsid w:val="00731F59"/>
    <w:rsid w:val="00732325"/>
    <w:rsid w:val="0073264C"/>
    <w:rsid w:val="00732747"/>
    <w:rsid w:val="007328FA"/>
    <w:rsid w:val="007329AE"/>
    <w:rsid w:val="00732D9F"/>
    <w:rsid w:val="00732F18"/>
    <w:rsid w:val="00733013"/>
    <w:rsid w:val="00733236"/>
    <w:rsid w:val="00733407"/>
    <w:rsid w:val="00733436"/>
    <w:rsid w:val="00733E29"/>
    <w:rsid w:val="0073423D"/>
    <w:rsid w:val="00734248"/>
    <w:rsid w:val="00734527"/>
    <w:rsid w:val="00734658"/>
    <w:rsid w:val="0073480E"/>
    <w:rsid w:val="00734CB1"/>
    <w:rsid w:val="00735407"/>
    <w:rsid w:val="00735490"/>
    <w:rsid w:val="007358C9"/>
    <w:rsid w:val="0073596E"/>
    <w:rsid w:val="00735A81"/>
    <w:rsid w:val="00736866"/>
    <w:rsid w:val="00737154"/>
    <w:rsid w:val="007371F3"/>
    <w:rsid w:val="007372F2"/>
    <w:rsid w:val="00737558"/>
    <w:rsid w:val="00737793"/>
    <w:rsid w:val="00737AE8"/>
    <w:rsid w:val="00737DBF"/>
    <w:rsid w:val="00740760"/>
    <w:rsid w:val="00740DCD"/>
    <w:rsid w:val="007419E9"/>
    <w:rsid w:val="00741C60"/>
    <w:rsid w:val="00741F63"/>
    <w:rsid w:val="0074220C"/>
    <w:rsid w:val="0074226C"/>
    <w:rsid w:val="0074276A"/>
    <w:rsid w:val="007428F1"/>
    <w:rsid w:val="00742D08"/>
    <w:rsid w:val="007430B3"/>
    <w:rsid w:val="007432EC"/>
    <w:rsid w:val="00743694"/>
    <w:rsid w:val="00743C13"/>
    <w:rsid w:val="007442D8"/>
    <w:rsid w:val="007444E4"/>
    <w:rsid w:val="00744C05"/>
    <w:rsid w:val="00744F1A"/>
    <w:rsid w:val="0074575A"/>
    <w:rsid w:val="00745A7B"/>
    <w:rsid w:val="00745DA6"/>
    <w:rsid w:val="00745E90"/>
    <w:rsid w:val="007465D8"/>
    <w:rsid w:val="007468B4"/>
    <w:rsid w:val="00746F38"/>
    <w:rsid w:val="00747371"/>
    <w:rsid w:val="00747376"/>
    <w:rsid w:val="00747436"/>
    <w:rsid w:val="007474BA"/>
    <w:rsid w:val="007475B8"/>
    <w:rsid w:val="00750CF0"/>
    <w:rsid w:val="00750DDB"/>
    <w:rsid w:val="00750E1E"/>
    <w:rsid w:val="00750FC9"/>
    <w:rsid w:val="00751796"/>
    <w:rsid w:val="00751E54"/>
    <w:rsid w:val="007521B4"/>
    <w:rsid w:val="00752830"/>
    <w:rsid w:val="00752F79"/>
    <w:rsid w:val="00753289"/>
    <w:rsid w:val="00753505"/>
    <w:rsid w:val="00753A69"/>
    <w:rsid w:val="00753B6D"/>
    <w:rsid w:val="007545BF"/>
    <w:rsid w:val="0075473A"/>
    <w:rsid w:val="00754A95"/>
    <w:rsid w:val="007551A7"/>
    <w:rsid w:val="007561C0"/>
    <w:rsid w:val="007564EE"/>
    <w:rsid w:val="007568BB"/>
    <w:rsid w:val="00756DE1"/>
    <w:rsid w:val="00757295"/>
    <w:rsid w:val="007573EA"/>
    <w:rsid w:val="00757640"/>
    <w:rsid w:val="00757E8B"/>
    <w:rsid w:val="0076043D"/>
    <w:rsid w:val="00760898"/>
    <w:rsid w:val="0076094C"/>
    <w:rsid w:val="0076154A"/>
    <w:rsid w:val="00761854"/>
    <w:rsid w:val="00761BEE"/>
    <w:rsid w:val="00761EF6"/>
    <w:rsid w:val="00762582"/>
    <w:rsid w:val="00762971"/>
    <w:rsid w:val="00762AB3"/>
    <w:rsid w:val="00762FC3"/>
    <w:rsid w:val="00763111"/>
    <w:rsid w:val="00763BEC"/>
    <w:rsid w:val="00763CFF"/>
    <w:rsid w:val="00763E93"/>
    <w:rsid w:val="00764BE3"/>
    <w:rsid w:val="00764F8D"/>
    <w:rsid w:val="00765231"/>
    <w:rsid w:val="007657CC"/>
    <w:rsid w:val="00765A6F"/>
    <w:rsid w:val="00765DAE"/>
    <w:rsid w:val="00765ED9"/>
    <w:rsid w:val="00766559"/>
    <w:rsid w:val="007665A4"/>
    <w:rsid w:val="00767361"/>
    <w:rsid w:val="00767367"/>
    <w:rsid w:val="007675D4"/>
    <w:rsid w:val="007703DA"/>
    <w:rsid w:val="007704B5"/>
    <w:rsid w:val="00770923"/>
    <w:rsid w:val="00770B44"/>
    <w:rsid w:val="00771558"/>
    <w:rsid w:val="0077214C"/>
    <w:rsid w:val="00772518"/>
    <w:rsid w:val="0077260F"/>
    <w:rsid w:val="00772F1A"/>
    <w:rsid w:val="0077393F"/>
    <w:rsid w:val="00773E2F"/>
    <w:rsid w:val="0077506E"/>
    <w:rsid w:val="00775235"/>
    <w:rsid w:val="007753AF"/>
    <w:rsid w:val="00775BC5"/>
    <w:rsid w:val="0077609A"/>
    <w:rsid w:val="00776E06"/>
    <w:rsid w:val="00776F68"/>
    <w:rsid w:val="007771B4"/>
    <w:rsid w:val="00777387"/>
    <w:rsid w:val="00777649"/>
    <w:rsid w:val="00780211"/>
    <w:rsid w:val="0078038D"/>
    <w:rsid w:val="00780BB2"/>
    <w:rsid w:val="00781C86"/>
    <w:rsid w:val="00781C9E"/>
    <w:rsid w:val="00782C2E"/>
    <w:rsid w:val="00782FD4"/>
    <w:rsid w:val="00783185"/>
    <w:rsid w:val="00783B00"/>
    <w:rsid w:val="00783EF8"/>
    <w:rsid w:val="00784A73"/>
    <w:rsid w:val="00784D0D"/>
    <w:rsid w:val="007857F3"/>
    <w:rsid w:val="00785A62"/>
    <w:rsid w:val="00786F3A"/>
    <w:rsid w:val="00787016"/>
    <w:rsid w:val="00787B37"/>
    <w:rsid w:val="00787C39"/>
    <w:rsid w:val="0079023E"/>
    <w:rsid w:val="00790253"/>
    <w:rsid w:val="007902F8"/>
    <w:rsid w:val="0079080C"/>
    <w:rsid w:val="00791093"/>
    <w:rsid w:val="007910C1"/>
    <w:rsid w:val="007916D9"/>
    <w:rsid w:val="00791AD9"/>
    <w:rsid w:val="00791DB8"/>
    <w:rsid w:val="00792164"/>
    <w:rsid w:val="00792218"/>
    <w:rsid w:val="007924C6"/>
    <w:rsid w:val="0079338D"/>
    <w:rsid w:val="0079358A"/>
    <w:rsid w:val="007938D0"/>
    <w:rsid w:val="00795387"/>
    <w:rsid w:val="00795769"/>
    <w:rsid w:val="00795BA4"/>
    <w:rsid w:val="00795FBC"/>
    <w:rsid w:val="00796065"/>
    <w:rsid w:val="0079649D"/>
    <w:rsid w:val="00796C8D"/>
    <w:rsid w:val="0079716D"/>
    <w:rsid w:val="00797181"/>
    <w:rsid w:val="007A09B7"/>
    <w:rsid w:val="007A0CC6"/>
    <w:rsid w:val="007A0DDA"/>
    <w:rsid w:val="007A156A"/>
    <w:rsid w:val="007A23B5"/>
    <w:rsid w:val="007A38A6"/>
    <w:rsid w:val="007A3E35"/>
    <w:rsid w:val="007A4736"/>
    <w:rsid w:val="007A4BAC"/>
    <w:rsid w:val="007A4CA4"/>
    <w:rsid w:val="007A4D12"/>
    <w:rsid w:val="007A5005"/>
    <w:rsid w:val="007A55BD"/>
    <w:rsid w:val="007A5E25"/>
    <w:rsid w:val="007A5FD5"/>
    <w:rsid w:val="007A6B82"/>
    <w:rsid w:val="007A71D9"/>
    <w:rsid w:val="007A7225"/>
    <w:rsid w:val="007A75E9"/>
    <w:rsid w:val="007A790F"/>
    <w:rsid w:val="007B1411"/>
    <w:rsid w:val="007B1469"/>
    <w:rsid w:val="007B18E2"/>
    <w:rsid w:val="007B19FF"/>
    <w:rsid w:val="007B1A54"/>
    <w:rsid w:val="007B1ED1"/>
    <w:rsid w:val="007B2098"/>
    <w:rsid w:val="007B2922"/>
    <w:rsid w:val="007B3184"/>
    <w:rsid w:val="007B372B"/>
    <w:rsid w:val="007B3C93"/>
    <w:rsid w:val="007B4061"/>
    <w:rsid w:val="007B4CA2"/>
    <w:rsid w:val="007B5146"/>
    <w:rsid w:val="007B5554"/>
    <w:rsid w:val="007B5A3A"/>
    <w:rsid w:val="007B6267"/>
    <w:rsid w:val="007B633A"/>
    <w:rsid w:val="007B6F47"/>
    <w:rsid w:val="007B709E"/>
    <w:rsid w:val="007B70EF"/>
    <w:rsid w:val="007B726E"/>
    <w:rsid w:val="007B7B25"/>
    <w:rsid w:val="007B7C59"/>
    <w:rsid w:val="007C01C8"/>
    <w:rsid w:val="007C033B"/>
    <w:rsid w:val="007C036B"/>
    <w:rsid w:val="007C136D"/>
    <w:rsid w:val="007C20F0"/>
    <w:rsid w:val="007C2B29"/>
    <w:rsid w:val="007C2B42"/>
    <w:rsid w:val="007C2F7F"/>
    <w:rsid w:val="007C382D"/>
    <w:rsid w:val="007C3D38"/>
    <w:rsid w:val="007C4934"/>
    <w:rsid w:val="007C49B9"/>
    <w:rsid w:val="007C5158"/>
    <w:rsid w:val="007C52CE"/>
    <w:rsid w:val="007C575D"/>
    <w:rsid w:val="007C5983"/>
    <w:rsid w:val="007C5C34"/>
    <w:rsid w:val="007C5E03"/>
    <w:rsid w:val="007C61D5"/>
    <w:rsid w:val="007C6A5C"/>
    <w:rsid w:val="007C6B76"/>
    <w:rsid w:val="007C6D97"/>
    <w:rsid w:val="007C6DC2"/>
    <w:rsid w:val="007C70B8"/>
    <w:rsid w:val="007C7972"/>
    <w:rsid w:val="007C7CDA"/>
    <w:rsid w:val="007C7E25"/>
    <w:rsid w:val="007C7EB9"/>
    <w:rsid w:val="007D0892"/>
    <w:rsid w:val="007D0C9F"/>
    <w:rsid w:val="007D111C"/>
    <w:rsid w:val="007D1666"/>
    <w:rsid w:val="007D1D2D"/>
    <w:rsid w:val="007D2137"/>
    <w:rsid w:val="007D29BA"/>
    <w:rsid w:val="007D2BF5"/>
    <w:rsid w:val="007D2CF4"/>
    <w:rsid w:val="007D2D94"/>
    <w:rsid w:val="007D3361"/>
    <w:rsid w:val="007D364D"/>
    <w:rsid w:val="007D372F"/>
    <w:rsid w:val="007D3BC7"/>
    <w:rsid w:val="007D3C73"/>
    <w:rsid w:val="007D3F22"/>
    <w:rsid w:val="007D3F42"/>
    <w:rsid w:val="007D3FAF"/>
    <w:rsid w:val="007D4325"/>
    <w:rsid w:val="007D452E"/>
    <w:rsid w:val="007D492F"/>
    <w:rsid w:val="007D4D73"/>
    <w:rsid w:val="007D4EAF"/>
    <w:rsid w:val="007D5098"/>
    <w:rsid w:val="007D583A"/>
    <w:rsid w:val="007D5B17"/>
    <w:rsid w:val="007D5CD4"/>
    <w:rsid w:val="007D5D29"/>
    <w:rsid w:val="007D60CD"/>
    <w:rsid w:val="007D647A"/>
    <w:rsid w:val="007D6682"/>
    <w:rsid w:val="007D6881"/>
    <w:rsid w:val="007D6B0E"/>
    <w:rsid w:val="007D6C74"/>
    <w:rsid w:val="007D6DD6"/>
    <w:rsid w:val="007D7676"/>
    <w:rsid w:val="007D769F"/>
    <w:rsid w:val="007D79C6"/>
    <w:rsid w:val="007D7B3F"/>
    <w:rsid w:val="007D7BBF"/>
    <w:rsid w:val="007D7C28"/>
    <w:rsid w:val="007D7FD1"/>
    <w:rsid w:val="007E0DF0"/>
    <w:rsid w:val="007E1398"/>
    <w:rsid w:val="007E17DB"/>
    <w:rsid w:val="007E183A"/>
    <w:rsid w:val="007E1B14"/>
    <w:rsid w:val="007E1E2A"/>
    <w:rsid w:val="007E21A0"/>
    <w:rsid w:val="007E2801"/>
    <w:rsid w:val="007E2C0B"/>
    <w:rsid w:val="007E2D0E"/>
    <w:rsid w:val="007E3874"/>
    <w:rsid w:val="007E3CB2"/>
    <w:rsid w:val="007E3D93"/>
    <w:rsid w:val="007E419C"/>
    <w:rsid w:val="007E4232"/>
    <w:rsid w:val="007E4432"/>
    <w:rsid w:val="007E4455"/>
    <w:rsid w:val="007E5C67"/>
    <w:rsid w:val="007E5D14"/>
    <w:rsid w:val="007E5F6F"/>
    <w:rsid w:val="007E6806"/>
    <w:rsid w:val="007E6E6A"/>
    <w:rsid w:val="007E6FC3"/>
    <w:rsid w:val="007E711D"/>
    <w:rsid w:val="007E753C"/>
    <w:rsid w:val="007E7655"/>
    <w:rsid w:val="007E7BF7"/>
    <w:rsid w:val="007E7FCE"/>
    <w:rsid w:val="007F022B"/>
    <w:rsid w:val="007F1082"/>
    <w:rsid w:val="007F1878"/>
    <w:rsid w:val="007F1A6B"/>
    <w:rsid w:val="007F1B64"/>
    <w:rsid w:val="007F1C67"/>
    <w:rsid w:val="007F1E55"/>
    <w:rsid w:val="007F232E"/>
    <w:rsid w:val="007F2960"/>
    <w:rsid w:val="007F2C55"/>
    <w:rsid w:val="007F31C1"/>
    <w:rsid w:val="007F423B"/>
    <w:rsid w:val="007F438D"/>
    <w:rsid w:val="007F481D"/>
    <w:rsid w:val="007F481E"/>
    <w:rsid w:val="007F48C9"/>
    <w:rsid w:val="007F4E08"/>
    <w:rsid w:val="007F547C"/>
    <w:rsid w:val="007F56B6"/>
    <w:rsid w:val="007F5894"/>
    <w:rsid w:val="007F59B8"/>
    <w:rsid w:val="007F5D17"/>
    <w:rsid w:val="007F6582"/>
    <w:rsid w:val="007F6CE2"/>
    <w:rsid w:val="007F7319"/>
    <w:rsid w:val="007F7785"/>
    <w:rsid w:val="007F7BA4"/>
    <w:rsid w:val="007F7D33"/>
    <w:rsid w:val="0080061B"/>
    <w:rsid w:val="0080094D"/>
    <w:rsid w:val="00800DCA"/>
    <w:rsid w:val="00800E67"/>
    <w:rsid w:val="00801058"/>
    <w:rsid w:val="0080106D"/>
    <w:rsid w:val="0080155B"/>
    <w:rsid w:val="0080188B"/>
    <w:rsid w:val="00801A25"/>
    <w:rsid w:val="0080204E"/>
    <w:rsid w:val="008022DB"/>
    <w:rsid w:val="00802400"/>
    <w:rsid w:val="00802744"/>
    <w:rsid w:val="00802F5B"/>
    <w:rsid w:val="008030CE"/>
    <w:rsid w:val="0080358B"/>
    <w:rsid w:val="008037AF"/>
    <w:rsid w:val="008037B7"/>
    <w:rsid w:val="00803942"/>
    <w:rsid w:val="00803D00"/>
    <w:rsid w:val="00803ED2"/>
    <w:rsid w:val="008040E4"/>
    <w:rsid w:val="0080418C"/>
    <w:rsid w:val="0080452D"/>
    <w:rsid w:val="00804A37"/>
    <w:rsid w:val="00804A90"/>
    <w:rsid w:val="00804D02"/>
    <w:rsid w:val="0080550B"/>
    <w:rsid w:val="00805C0D"/>
    <w:rsid w:val="00805E92"/>
    <w:rsid w:val="00805FA5"/>
    <w:rsid w:val="0080653E"/>
    <w:rsid w:val="00806610"/>
    <w:rsid w:val="00806A98"/>
    <w:rsid w:val="00806BEE"/>
    <w:rsid w:val="0080704F"/>
    <w:rsid w:val="008070D4"/>
    <w:rsid w:val="00807188"/>
    <w:rsid w:val="0081007E"/>
    <w:rsid w:val="008106CA"/>
    <w:rsid w:val="008107D1"/>
    <w:rsid w:val="0081095A"/>
    <w:rsid w:val="00810CEC"/>
    <w:rsid w:val="00810EC0"/>
    <w:rsid w:val="008112AE"/>
    <w:rsid w:val="0081142B"/>
    <w:rsid w:val="00811934"/>
    <w:rsid w:val="00812380"/>
    <w:rsid w:val="00812A83"/>
    <w:rsid w:val="00812C9B"/>
    <w:rsid w:val="00813485"/>
    <w:rsid w:val="00813B2C"/>
    <w:rsid w:val="0081431F"/>
    <w:rsid w:val="0081432C"/>
    <w:rsid w:val="00814433"/>
    <w:rsid w:val="00814483"/>
    <w:rsid w:val="00814532"/>
    <w:rsid w:val="00814D8E"/>
    <w:rsid w:val="008156A3"/>
    <w:rsid w:val="0081594F"/>
    <w:rsid w:val="008159C5"/>
    <w:rsid w:val="00815AB8"/>
    <w:rsid w:val="00815C1F"/>
    <w:rsid w:val="00815EDD"/>
    <w:rsid w:val="008162B7"/>
    <w:rsid w:val="008164D2"/>
    <w:rsid w:val="008164EC"/>
    <w:rsid w:val="0081672F"/>
    <w:rsid w:val="00817563"/>
    <w:rsid w:val="00820387"/>
    <w:rsid w:val="00820678"/>
    <w:rsid w:val="008207EE"/>
    <w:rsid w:val="00820B38"/>
    <w:rsid w:val="00820D73"/>
    <w:rsid w:val="00821096"/>
    <w:rsid w:val="00821EE5"/>
    <w:rsid w:val="008224E2"/>
    <w:rsid w:val="00822B30"/>
    <w:rsid w:val="00822C10"/>
    <w:rsid w:val="00822CC3"/>
    <w:rsid w:val="00822CE3"/>
    <w:rsid w:val="00823918"/>
    <w:rsid w:val="00824310"/>
    <w:rsid w:val="0082489E"/>
    <w:rsid w:val="00824C3A"/>
    <w:rsid w:val="00824D5C"/>
    <w:rsid w:val="0082503A"/>
    <w:rsid w:val="00825494"/>
    <w:rsid w:val="00825AF8"/>
    <w:rsid w:val="00826100"/>
    <w:rsid w:val="008264CB"/>
    <w:rsid w:val="008264E1"/>
    <w:rsid w:val="00826A9D"/>
    <w:rsid w:val="008275C4"/>
    <w:rsid w:val="00827938"/>
    <w:rsid w:val="00827A7F"/>
    <w:rsid w:val="00827E10"/>
    <w:rsid w:val="00827F73"/>
    <w:rsid w:val="00830ABA"/>
    <w:rsid w:val="00830B07"/>
    <w:rsid w:val="00830BCF"/>
    <w:rsid w:val="00830C2E"/>
    <w:rsid w:val="00831109"/>
    <w:rsid w:val="0083190F"/>
    <w:rsid w:val="00831DDD"/>
    <w:rsid w:val="00832229"/>
    <w:rsid w:val="00833422"/>
    <w:rsid w:val="00833680"/>
    <w:rsid w:val="008343A3"/>
    <w:rsid w:val="008348FB"/>
    <w:rsid w:val="008349F5"/>
    <w:rsid w:val="00835B9A"/>
    <w:rsid w:val="00835DB4"/>
    <w:rsid w:val="00836150"/>
    <w:rsid w:val="008364DD"/>
    <w:rsid w:val="00836A6D"/>
    <w:rsid w:val="00836CCF"/>
    <w:rsid w:val="0083724A"/>
    <w:rsid w:val="00837898"/>
    <w:rsid w:val="00837944"/>
    <w:rsid w:val="0083796D"/>
    <w:rsid w:val="00839851"/>
    <w:rsid w:val="0084055C"/>
    <w:rsid w:val="00840737"/>
    <w:rsid w:val="00840D48"/>
    <w:rsid w:val="00841630"/>
    <w:rsid w:val="00841907"/>
    <w:rsid w:val="00841CEC"/>
    <w:rsid w:val="00841DA0"/>
    <w:rsid w:val="00842E5B"/>
    <w:rsid w:val="008434AC"/>
    <w:rsid w:val="00843581"/>
    <w:rsid w:val="0084359E"/>
    <w:rsid w:val="00843936"/>
    <w:rsid w:val="008439E6"/>
    <w:rsid w:val="00843F76"/>
    <w:rsid w:val="00844F47"/>
    <w:rsid w:val="008456E8"/>
    <w:rsid w:val="008459E9"/>
    <w:rsid w:val="00845CD5"/>
    <w:rsid w:val="00846065"/>
    <w:rsid w:val="00846108"/>
    <w:rsid w:val="0084634C"/>
    <w:rsid w:val="008468B9"/>
    <w:rsid w:val="0084757F"/>
    <w:rsid w:val="00847E05"/>
    <w:rsid w:val="0085064F"/>
    <w:rsid w:val="008508B7"/>
    <w:rsid w:val="00850C88"/>
    <w:rsid w:val="00850F41"/>
    <w:rsid w:val="00851AF0"/>
    <w:rsid w:val="00851C24"/>
    <w:rsid w:val="00852DB4"/>
    <w:rsid w:val="00853073"/>
    <w:rsid w:val="008536D8"/>
    <w:rsid w:val="0085395F"/>
    <w:rsid w:val="008539F7"/>
    <w:rsid w:val="00853D99"/>
    <w:rsid w:val="0085466E"/>
    <w:rsid w:val="00854B66"/>
    <w:rsid w:val="00854E7A"/>
    <w:rsid w:val="00854E7B"/>
    <w:rsid w:val="008552B2"/>
    <w:rsid w:val="00855CF3"/>
    <w:rsid w:val="00855D19"/>
    <w:rsid w:val="00856769"/>
    <w:rsid w:val="00857302"/>
    <w:rsid w:val="008579AE"/>
    <w:rsid w:val="00857B26"/>
    <w:rsid w:val="00857C37"/>
    <w:rsid w:val="00857DDB"/>
    <w:rsid w:val="008603EB"/>
    <w:rsid w:val="00861040"/>
    <w:rsid w:val="0086144E"/>
    <w:rsid w:val="00861AC4"/>
    <w:rsid w:val="00861CBD"/>
    <w:rsid w:val="00861E1B"/>
    <w:rsid w:val="00861EBB"/>
    <w:rsid w:val="0086200E"/>
    <w:rsid w:val="008623A1"/>
    <w:rsid w:val="00862691"/>
    <w:rsid w:val="008628DC"/>
    <w:rsid w:val="0086320B"/>
    <w:rsid w:val="00863453"/>
    <w:rsid w:val="008640EE"/>
    <w:rsid w:val="008645B4"/>
    <w:rsid w:val="00864C25"/>
    <w:rsid w:val="00864C61"/>
    <w:rsid w:val="008652D5"/>
    <w:rsid w:val="00865475"/>
    <w:rsid w:val="00865FC2"/>
    <w:rsid w:val="008664BA"/>
    <w:rsid w:val="00866588"/>
    <w:rsid w:val="008667A7"/>
    <w:rsid w:val="008667CF"/>
    <w:rsid w:val="00866DBF"/>
    <w:rsid w:val="00866EBA"/>
    <w:rsid w:val="00867215"/>
    <w:rsid w:val="00870057"/>
    <w:rsid w:val="008703B2"/>
    <w:rsid w:val="00870CE4"/>
    <w:rsid w:val="00870E7D"/>
    <w:rsid w:val="008711F0"/>
    <w:rsid w:val="0087134E"/>
    <w:rsid w:val="00871621"/>
    <w:rsid w:val="00871F28"/>
    <w:rsid w:val="008720E0"/>
    <w:rsid w:val="008726DD"/>
    <w:rsid w:val="00872AA5"/>
    <w:rsid w:val="00872AA7"/>
    <w:rsid w:val="00872B19"/>
    <w:rsid w:val="00872E05"/>
    <w:rsid w:val="00872EE6"/>
    <w:rsid w:val="008731BA"/>
    <w:rsid w:val="008731E2"/>
    <w:rsid w:val="008731F4"/>
    <w:rsid w:val="00873ABA"/>
    <w:rsid w:val="00873BC8"/>
    <w:rsid w:val="00873EFE"/>
    <w:rsid w:val="008740E4"/>
    <w:rsid w:val="008742A9"/>
    <w:rsid w:val="00874455"/>
    <w:rsid w:val="008745D5"/>
    <w:rsid w:val="00874DC1"/>
    <w:rsid w:val="00875339"/>
    <w:rsid w:val="008756EF"/>
    <w:rsid w:val="00875A3B"/>
    <w:rsid w:val="00875A9F"/>
    <w:rsid w:val="008760D3"/>
    <w:rsid w:val="0087651F"/>
    <w:rsid w:val="00876C60"/>
    <w:rsid w:val="00876CFB"/>
    <w:rsid w:val="00876F63"/>
    <w:rsid w:val="00876F74"/>
    <w:rsid w:val="00877555"/>
    <w:rsid w:val="008778B0"/>
    <w:rsid w:val="00877B4B"/>
    <w:rsid w:val="00877ECE"/>
    <w:rsid w:val="00877F5E"/>
    <w:rsid w:val="008803CC"/>
    <w:rsid w:val="00880A9D"/>
    <w:rsid w:val="00880AD0"/>
    <w:rsid w:val="00881246"/>
    <w:rsid w:val="00881416"/>
    <w:rsid w:val="008816B5"/>
    <w:rsid w:val="00881839"/>
    <w:rsid w:val="0088208B"/>
    <w:rsid w:val="008821E1"/>
    <w:rsid w:val="00882251"/>
    <w:rsid w:val="00883D23"/>
    <w:rsid w:val="008843EA"/>
    <w:rsid w:val="00884B77"/>
    <w:rsid w:val="008851E1"/>
    <w:rsid w:val="00885D83"/>
    <w:rsid w:val="008865ED"/>
    <w:rsid w:val="0088697F"/>
    <w:rsid w:val="008870EC"/>
    <w:rsid w:val="0088791C"/>
    <w:rsid w:val="00890382"/>
    <w:rsid w:val="0089053D"/>
    <w:rsid w:val="00890CB4"/>
    <w:rsid w:val="00891366"/>
    <w:rsid w:val="008914C8"/>
    <w:rsid w:val="008917D6"/>
    <w:rsid w:val="008922FA"/>
    <w:rsid w:val="00892D17"/>
    <w:rsid w:val="0089311B"/>
    <w:rsid w:val="00893163"/>
    <w:rsid w:val="00893B08"/>
    <w:rsid w:val="00894073"/>
    <w:rsid w:val="008947CC"/>
    <w:rsid w:val="00894EA5"/>
    <w:rsid w:val="0089505B"/>
    <w:rsid w:val="008952D2"/>
    <w:rsid w:val="0089564A"/>
    <w:rsid w:val="00895BE6"/>
    <w:rsid w:val="008961CF"/>
    <w:rsid w:val="008963A0"/>
    <w:rsid w:val="00896456"/>
    <w:rsid w:val="0089688C"/>
    <w:rsid w:val="00896BE7"/>
    <w:rsid w:val="00896D09"/>
    <w:rsid w:val="00897414"/>
    <w:rsid w:val="00897F4C"/>
    <w:rsid w:val="008A066A"/>
    <w:rsid w:val="008A08A8"/>
    <w:rsid w:val="008A0A96"/>
    <w:rsid w:val="008A11C3"/>
    <w:rsid w:val="008A20AE"/>
    <w:rsid w:val="008A2210"/>
    <w:rsid w:val="008A2BC2"/>
    <w:rsid w:val="008A3046"/>
    <w:rsid w:val="008A352C"/>
    <w:rsid w:val="008A35E2"/>
    <w:rsid w:val="008A3C56"/>
    <w:rsid w:val="008A3EBB"/>
    <w:rsid w:val="008A4311"/>
    <w:rsid w:val="008A4F1F"/>
    <w:rsid w:val="008A55D8"/>
    <w:rsid w:val="008A5AEF"/>
    <w:rsid w:val="008A5E1E"/>
    <w:rsid w:val="008A5E88"/>
    <w:rsid w:val="008A66AA"/>
    <w:rsid w:val="008A6917"/>
    <w:rsid w:val="008A6AD7"/>
    <w:rsid w:val="008A6BD9"/>
    <w:rsid w:val="008A6E27"/>
    <w:rsid w:val="008A6E8C"/>
    <w:rsid w:val="008A715E"/>
    <w:rsid w:val="008A79C2"/>
    <w:rsid w:val="008A7A31"/>
    <w:rsid w:val="008A7EE5"/>
    <w:rsid w:val="008A87A3"/>
    <w:rsid w:val="008B09EB"/>
    <w:rsid w:val="008B0D04"/>
    <w:rsid w:val="008B0E27"/>
    <w:rsid w:val="008B1237"/>
    <w:rsid w:val="008B1C4E"/>
    <w:rsid w:val="008B1D56"/>
    <w:rsid w:val="008B1E0C"/>
    <w:rsid w:val="008B1FA2"/>
    <w:rsid w:val="008B23B5"/>
    <w:rsid w:val="008B2C5B"/>
    <w:rsid w:val="008B2D55"/>
    <w:rsid w:val="008B3059"/>
    <w:rsid w:val="008B3529"/>
    <w:rsid w:val="008B35FE"/>
    <w:rsid w:val="008B3810"/>
    <w:rsid w:val="008B399E"/>
    <w:rsid w:val="008B3FE8"/>
    <w:rsid w:val="008B439F"/>
    <w:rsid w:val="008B4A5F"/>
    <w:rsid w:val="008B4AF3"/>
    <w:rsid w:val="008B5525"/>
    <w:rsid w:val="008B63AD"/>
    <w:rsid w:val="008B6760"/>
    <w:rsid w:val="008B6A1A"/>
    <w:rsid w:val="008B6B3E"/>
    <w:rsid w:val="008B70E5"/>
    <w:rsid w:val="008B73BE"/>
    <w:rsid w:val="008B7797"/>
    <w:rsid w:val="008B7806"/>
    <w:rsid w:val="008C00F4"/>
    <w:rsid w:val="008C0225"/>
    <w:rsid w:val="008C05A4"/>
    <w:rsid w:val="008C2328"/>
    <w:rsid w:val="008C2387"/>
    <w:rsid w:val="008C298E"/>
    <w:rsid w:val="008C36C0"/>
    <w:rsid w:val="008C4381"/>
    <w:rsid w:val="008C43D9"/>
    <w:rsid w:val="008C4B9D"/>
    <w:rsid w:val="008C4E4C"/>
    <w:rsid w:val="008C53F0"/>
    <w:rsid w:val="008C56CE"/>
    <w:rsid w:val="008C5988"/>
    <w:rsid w:val="008C5BA8"/>
    <w:rsid w:val="008C5DDA"/>
    <w:rsid w:val="008C60DC"/>
    <w:rsid w:val="008C66AF"/>
    <w:rsid w:val="008C66CA"/>
    <w:rsid w:val="008C6ACE"/>
    <w:rsid w:val="008C6FAA"/>
    <w:rsid w:val="008C6FCD"/>
    <w:rsid w:val="008C6FED"/>
    <w:rsid w:val="008C724C"/>
    <w:rsid w:val="008C731A"/>
    <w:rsid w:val="008C7364"/>
    <w:rsid w:val="008C74CA"/>
    <w:rsid w:val="008C75F6"/>
    <w:rsid w:val="008C7C54"/>
    <w:rsid w:val="008C7DC3"/>
    <w:rsid w:val="008C7E7D"/>
    <w:rsid w:val="008D023E"/>
    <w:rsid w:val="008D0538"/>
    <w:rsid w:val="008D0987"/>
    <w:rsid w:val="008D0AA1"/>
    <w:rsid w:val="008D1016"/>
    <w:rsid w:val="008D12D2"/>
    <w:rsid w:val="008D1574"/>
    <w:rsid w:val="008D1A4D"/>
    <w:rsid w:val="008D2455"/>
    <w:rsid w:val="008D26C8"/>
    <w:rsid w:val="008D2738"/>
    <w:rsid w:val="008D27BC"/>
    <w:rsid w:val="008D29D0"/>
    <w:rsid w:val="008D2BC6"/>
    <w:rsid w:val="008D2C44"/>
    <w:rsid w:val="008D2E7C"/>
    <w:rsid w:val="008D2FA9"/>
    <w:rsid w:val="008D340F"/>
    <w:rsid w:val="008D39AF"/>
    <w:rsid w:val="008D3EB4"/>
    <w:rsid w:val="008D4349"/>
    <w:rsid w:val="008D46BC"/>
    <w:rsid w:val="008D4886"/>
    <w:rsid w:val="008D4DAE"/>
    <w:rsid w:val="008D4E69"/>
    <w:rsid w:val="008D52D9"/>
    <w:rsid w:val="008D541D"/>
    <w:rsid w:val="008D5A2B"/>
    <w:rsid w:val="008D5A5D"/>
    <w:rsid w:val="008D6297"/>
    <w:rsid w:val="008D6462"/>
    <w:rsid w:val="008D6B43"/>
    <w:rsid w:val="008D6E4C"/>
    <w:rsid w:val="008D75D1"/>
    <w:rsid w:val="008D7682"/>
    <w:rsid w:val="008E0062"/>
    <w:rsid w:val="008E0883"/>
    <w:rsid w:val="008E099A"/>
    <w:rsid w:val="008E12DD"/>
    <w:rsid w:val="008E2231"/>
    <w:rsid w:val="008E242E"/>
    <w:rsid w:val="008E2A07"/>
    <w:rsid w:val="008E2C99"/>
    <w:rsid w:val="008E2EF1"/>
    <w:rsid w:val="008E306E"/>
    <w:rsid w:val="008E311B"/>
    <w:rsid w:val="008E36DE"/>
    <w:rsid w:val="008E413D"/>
    <w:rsid w:val="008E41A2"/>
    <w:rsid w:val="008E437B"/>
    <w:rsid w:val="008E441F"/>
    <w:rsid w:val="008E4603"/>
    <w:rsid w:val="008E4853"/>
    <w:rsid w:val="008E4AAC"/>
    <w:rsid w:val="008E5028"/>
    <w:rsid w:val="008E54B1"/>
    <w:rsid w:val="008E5A62"/>
    <w:rsid w:val="008E5DD5"/>
    <w:rsid w:val="008E6591"/>
    <w:rsid w:val="008E6623"/>
    <w:rsid w:val="008E7595"/>
    <w:rsid w:val="008E7782"/>
    <w:rsid w:val="008E77E9"/>
    <w:rsid w:val="008E7D78"/>
    <w:rsid w:val="008E9C45"/>
    <w:rsid w:val="008F0486"/>
    <w:rsid w:val="008F0ADE"/>
    <w:rsid w:val="008F110F"/>
    <w:rsid w:val="008F11BA"/>
    <w:rsid w:val="008F12E0"/>
    <w:rsid w:val="008F1364"/>
    <w:rsid w:val="008F1488"/>
    <w:rsid w:val="008F1589"/>
    <w:rsid w:val="008F15B9"/>
    <w:rsid w:val="008F161B"/>
    <w:rsid w:val="008F1BFE"/>
    <w:rsid w:val="008F2418"/>
    <w:rsid w:val="008F2A1A"/>
    <w:rsid w:val="008F30E8"/>
    <w:rsid w:val="008F355A"/>
    <w:rsid w:val="008F3EDF"/>
    <w:rsid w:val="008F3F24"/>
    <w:rsid w:val="008F41BC"/>
    <w:rsid w:val="008F4538"/>
    <w:rsid w:val="008F474D"/>
    <w:rsid w:val="008F487D"/>
    <w:rsid w:val="008F4A2C"/>
    <w:rsid w:val="008F4DA5"/>
    <w:rsid w:val="008F5ECD"/>
    <w:rsid w:val="008F653E"/>
    <w:rsid w:val="008F7036"/>
    <w:rsid w:val="008F70EF"/>
    <w:rsid w:val="008F73CF"/>
    <w:rsid w:val="008F782D"/>
    <w:rsid w:val="008F7860"/>
    <w:rsid w:val="008F7A83"/>
    <w:rsid w:val="008F7D10"/>
    <w:rsid w:val="008F7F6F"/>
    <w:rsid w:val="00900415"/>
    <w:rsid w:val="00900C0D"/>
    <w:rsid w:val="00900CC1"/>
    <w:rsid w:val="00900D82"/>
    <w:rsid w:val="00901192"/>
    <w:rsid w:val="00901485"/>
    <w:rsid w:val="00901A46"/>
    <w:rsid w:val="00901B68"/>
    <w:rsid w:val="00901BD4"/>
    <w:rsid w:val="00901CA1"/>
    <w:rsid w:val="00901FCC"/>
    <w:rsid w:val="00902292"/>
    <w:rsid w:val="00902478"/>
    <w:rsid w:val="009024A5"/>
    <w:rsid w:val="00902B58"/>
    <w:rsid w:val="00902EF7"/>
    <w:rsid w:val="009032D7"/>
    <w:rsid w:val="0090333F"/>
    <w:rsid w:val="009035EB"/>
    <w:rsid w:val="0090446D"/>
    <w:rsid w:val="009048CA"/>
    <w:rsid w:val="009048F2"/>
    <w:rsid w:val="00904A51"/>
    <w:rsid w:val="00904DA4"/>
    <w:rsid w:val="00904F31"/>
    <w:rsid w:val="00905F2D"/>
    <w:rsid w:val="0090628E"/>
    <w:rsid w:val="009062AC"/>
    <w:rsid w:val="00906FCA"/>
    <w:rsid w:val="009071AB"/>
    <w:rsid w:val="009072BB"/>
    <w:rsid w:val="0090732B"/>
    <w:rsid w:val="0090739F"/>
    <w:rsid w:val="00907EDD"/>
    <w:rsid w:val="00910C67"/>
    <w:rsid w:val="00910D1D"/>
    <w:rsid w:val="00910E60"/>
    <w:rsid w:val="00910F0F"/>
    <w:rsid w:val="00911539"/>
    <w:rsid w:val="00911792"/>
    <w:rsid w:val="00911CB2"/>
    <w:rsid w:val="00911D32"/>
    <w:rsid w:val="00911D8D"/>
    <w:rsid w:val="00911E28"/>
    <w:rsid w:val="00911F29"/>
    <w:rsid w:val="0091210D"/>
    <w:rsid w:val="009121A2"/>
    <w:rsid w:val="0091234C"/>
    <w:rsid w:val="009123E9"/>
    <w:rsid w:val="0091240E"/>
    <w:rsid w:val="00912A0F"/>
    <w:rsid w:val="00913382"/>
    <w:rsid w:val="00913D4D"/>
    <w:rsid w:val="00913F7D"/>
    <w:rsid w:val="00914393"/>
    <w:rsid w:val="00915845"/>
    <w:rsid w:val="00915FD5"/>
    <w:rsid w:val="00916415"/>
    <w:rsid w:val="0091695B"/>
    <w:rsid w:val="00916CD0"/>
    <w:rsid w:val="00917B4E"/>
    <w:rsid w:val="0092020C"/>
    <w:rsid w:val="00920310"/>
    <w:rsid w:val="00920372"/>
    <w:rsid w:val="00920836"/>
    <w:rsid w:val="009209BE"/>
    <w:rsid w:val="00920B1A"/>
    <w:rsid w:val="00920D87"/>
    <w:rsid w:val="00921D62"/>
    <w:rsid w:val="0092258D"/>
    <w:rsid w:val="009228D3"/>
    <w:rsid w:val="009229B0"/>
    <w:rsid w:val="00922A25"/>
    <w:rsid w:val="00922C11"/>
    <w:rsid w:val="00922EB2"/>
    <w:rsid w:val="009230EA"/>
    <w:rsid w:val="009240FA"/>
    <w:rsid w:val="0092450B"/>
    <w:rsid w:val="0092457F"/>
    <w:rsid w:val="00924B6F"/>
    <w:rsid w:val="00924D70"/>
    <w:rsid w:val="00925115"/>
    <w:rsid w:val="00925477"/>
    <w:rsid w:val="00925918"/>
    <w:rsid w:val="00925E58"/>
    <w:rsid w:val="00926061"/>
    <w:rsid w:val="00926188"/>
    <w:rsid w:val="009262A8"/>
    <w:rsid w:val="0092698B"/>
    <w:rsid w:val="00926B21"/>
    <w:rsid w:val="009275B1"/>
    <w:rsid w:val="00927821"/>
    <w:rsid w:val="009278DE"/>
    <w:rsid w:val="00927905"/>
    <w:rsid w:val="00927F84"/>
    <w:rsid w:val="0093022B"/>
    <w:rsid w:val="00930375"/>
    <w:rsid w:val="009304DE"/>
    <w:rsid w:val="009309E1"/>
    <w:rsid w:val="00930F6D"/>
    <w:rsid w:val="00931093"/>
    <w:rsid w:val="009316D7"/>
    <w:rsid w:val="00931829"/>
    <w:rsid w:val="0093186B"/>
    <w:rsid w:val="009319BA"/>
    <w:rsid w:val="00931F43"/>
    <w:rsid w:val="00932073"/>
    <w:rsid w:val="00932D7B"/>
    <w:rsid w:val="009332BD"/>
    <w:rsid w:val="00933946"/>
    <w:rsid w:val="00934157"/>
    <w:rsid w:val="009347B3"/>
    <w:rsid w:val="009347CF"/>
    <w:rsid w:val="00934B3C"/>
    <w:rsid w:val="0093565F"/>
    <w:rsid w:val="00935852"/>
    <w:rsid w:val="009358AE"/>
    <w:rsid w:val="00935BE4"/>
    <w:rsid w:val="00935C5B"/>
    <w:rsid w:val="00935C9A"/>
    <w:rsid w:val="00936449"/>
    <w:rsid w:val="00936664"/>
    <w:rsid w:val="0093683F"/>
    <w:rsid w:val="00936B1B"/>
    <w:rsid w:val="00936DFF"/>
    <w:rsid w:val="00937429"/>
    <w:rsid w:val="009378FE"/>
    <w:rsid w:val="00940329"/>
    <w:rsid w:val="00940A1B"/>
    <w:rsid w:val="00940DD9"/>
    <w:rsid w:val="009420AF"/>
    <w:rsid w:val="009422DE"/>
    <w:rsid w:val="009429FD"/>
    <w:rsid w:val="00942DDF"/>
    <w:rsid w:val="00942E2E"/>
    <w:rsid w:val="00942F33"/>
    <w:rsid w:val="00943498"/>
    <w:rsid w:val="00943614"/>
    <w:rsid w:val="00943831"/>
    <w:rsid w:val="00943ED1"/>
    <w:rsid w:val="0094415F"/>
    <w:rsid w:val="0094489B"/>
    <w:rsid w:val="00944B16"/>
    <w:rsid w:val="00944B8B"/>
    <w:rsid w:val="00944FD5"/>
    <w:rsid w:val="00945173"/>
    <w:rsid w:val="00945460"/>
    <w:rsid w:val="00945E65"/>
    <w:rsid w:val="00946A8A"/>
    <w:rsid w:val="00946C10"/>
    <w:rsid w:val="009473E7"/>
    <w:rsid w:val="009477C7"/>
    <w:rsid w:val="00947A2F"/>
    <w:rsid w:val="00950012"/>
    <w:rsid w:val="0095023F"/>
    <w:rsid w:val="00950526"/>
    <w:rsid w:val="00950578"/>
    <w:rsid w:val="0095080D"/>
    <w:rsid w:val="00950C24"/>
    <w:rsid w:val="00950EA8"/>
    <w:rsid w:val="00951026"/>
    <w:rsid w:val="00952CBD"/>
    <w:rsid w:val="0095317A"/>
    <w:rsid w:val="00953692"/>
    <w:rsid w:val="00953DDB"/>
    <w:rsid w:val="0095460C"/>
    <w:rsid w:val="00954998"/>
    <w:rsid w:val="009551D7"/>
    <w:rsid w:val="00955418"/>
    <w:rsid w:val="00956323"/>
    <w:rsid w:val="009567DB"/>
    <w:rsid w:val="0095724A"/>
    <w:rsid w:val="0095733E"/>
    <w:rsid w:val="00957FE9"/>
    <w:rsid w:val="009603D8"/>
    <w:rsid w:val="0096080D"/>
    <w:rsid w:val="00960D55"/>
    <w:rsid w:val="009610A0"/>
    <w:rsid w:val="009619CF"/>
    <w:rsid w:val="0096201A"/>
    <w:rsid w:val="0096269A"/>
    <w:rsid w:val="00962882"/>
    <w:rsid w:val="00962CB7"/>
    <w:rsid w:val="00962EE9"/>
    <w:rsid w:val="0096326D"/>
    <w:rsid w:val="00963413"/>
    <w:rsid w:val="00963486"/>
    <w:rsid w:val="009635B0"/>
    <w:rsid w:val="009637FF"/>
    <w:rsid w:val="00963FA4"/>
    <w:rsid w:val="00964031"/>
    <w:rsid w:val="009640E6"/>
    <w:rsid w:val="00964446"/>
    <w:rsid w:val="009648D9"/>
    <w:rsid w:val="00964990"/>
    <w:rsid w:val="009652B1"/>
    <w:rsid w:val="00965788"/>
    <w:rsid w:val="0096579D"/>
    <w:rsid w:val="00965A7A"/>
    <w:rsid w:val="00965BCB"/>
    <w:rsid w:val="00965D1F"/>
    <w:rsid w:val="00966898"/>
    <w:rsid w:val="00966975"/>
    <w:rsid w:val="00966B4B"/>
    <w:rsid w:val="00967388"/>
    <w:rsid w:val="0096764D"/>
    <w:rsid w:val="0096772C"/>
    <w:rsid w:val="00967D24"/>
    <w:rsid w:val="009705F1"/>
    <w:rsid w:val="009707CF"/>
    <w:rsid w:val="00970A81"/>
    <w:rsid w:val="00970D1E"/>
    <w:rsid w:val="009716CC"/>
    <w:rsid w:val="009720E6"/>
    <w:rsid w:val="00972123"/>
    <w:rsid w:val="00972266"/>
    <w:rsid w:val="009729BD"/>
    <w:rsid w:val="009729E4"/>
    <w:rsid w:val="00972BB8"/>
    <w:rsid w:val="0097319B"/>
    <w:rsid w:val="0097385A"/>
    <w:rsid w:val="00973BD8"/>
    <w:rsid w:val="00973E3C"/>
    <w:rsid w:val="00974107"/>
    <w:rsid w:val="009741F8"/>
    <w:rsid w:val="00974532"/>
    <w:rsid w:val="009747CB"/>
    <w:rsid w:val="009748C3"/>
    <w:rsid w:val="00975AF9"/>
    <w:rsid w:val="00975C65"/>
    <w:rsid w:val="00976BD0"/>
    <w:rsid w:val="00976CDF"/>
    <w:rsid w:val="009779F1"/>
    <w:rsid w:val="00977E4E"/>
    <w:rsid w:val="00980081"/>
    <w:rsid w:val="0098030B"/>
    <w:rsid w:val="00980478"/>
    <w:rsid w:val="009807E6"/>
    <w:rsid w:val="00980E90"/>
    <w:rsid w:val="00981373"/>
    <w:rsid w:val="00981521"/>
    <w:rsid w:val="0098186F"/>
    <w:rsid w:val="00981AD2"/>
    <w:rsid w:val="00981E38"/>
    <w:rsid w:val="00981E7D"/>
    <w:rsid w:val="00982050"/>
    <w:rsid w:val="009820C3"/>
    <w:rsid w:val="00982392"/>
    <w:rsid w:val="00982980"/>
    <w:rsid w:val="00982E5A"/>
    <w:rsid w:val="00983027"/>
    <w:rsid w:val="00983058"/>
    <w:rsid w:val="00983309"/>
    <w:rsid w:val="00983B12"/>
    <w:rsid w:val="00983C89"/>
    <w:rsid w:val="00983D2D"/>
    <w:rsid w:val="00983F96"/>
    <w:rsid w:val="00984411"/>
    <w:rsid w:val="00984C17"/>
    <w:rsid w:val="00984F01"/>
    <w:rsid w:val="00985204"/>
    <w:rsid w:val="00985874"/>
    <w:rsid w:val="00985AF6"/>
    <w:rsid w:val="00985D0D"/>
    <w:rsid w:val="00986712"/>
    <w:rsid w:val="00986796"/>
    <w:rsid w:val="00986B9A"/>
    <w:rsid w:val="00986D2D"/>
    <w:rsid w:val="00986D37"/>
    <w:rsid w:val="00987236"/>
    <w:rsid w:val="00987E7E"/>
    <w:rsid w:val="00987F82"/>
    <w:rsid w:val="00990277"/>
    <w:rsid w:val="00990523"/>
    <w:rsid w:val="00990942"/>
    <w:rsid w:val="0099108B"/>
    <w:rsid w:val="009916C1"/>
    <w:rsid w:val="00991D66"/>
    <w:rsid w:val="009923A8"/>
    <w:rsid w:val="00992726"/>
    <w:rsid w:val="00992758"/>
    <w:rsid w:val="00992D76"/>
    <w:rsid w:val="00992E23"/>
    <w:rsid w:val="009930B5"/>
    <w:rsid w:val="009931A3"/>
    <w:rsid w:val="009934C7"/>
    <w:rsid w:val="00993D61"/>
    <w:rsid w:val="00993E9D"/>
    <w:rsid w:val="00993EFA"/>
    <w:rsid w:val="00994106"/>
    <w:rsid w:val="00994D53"/>
    <w:rsid w:val="00994EE5"/>
    <w:rsid w:val="00995BA2"/>
    <w:rsid w:val="0099622F"/>
    <w:rsid w:val="009968EA"/>
    <w:rsid w:val="0099690E"/>
    <w:rsid w:val="00996F2D"/>
    <w:rsid w:val="009970FC"/>
    <w:rsid w:val="00997545"/>
    <w:rsid w:val="0099766D"/>
    <w:rsid w:val="0099773C"/>
    <w:rsid w:val="00997760"/>
    <w:rsid w:val="0099789B"/>
    <w:rsid w:val="00997E7C"/>
    <w:rsid w:val="009A01D7"/>
    <w:rsid w:val="009A0716"/>
    <w:rsid w:val="009A08AE"/>
    <w:rsid w:val="009A171A"/>
    <w:rsid w:val="009A1A07"/>
    <w:rsid w:val="009A1A41"/>
    <w:rsid w:val="009A1BCD"/>
    <w:rsid w:val="009A1C90"/>
    <w:rsid w:val="009A264E"/>
    <w:rsid w:val="009A2EA5"/>
    <w:rsid w:val="009A359A"/>
    <w:rsid w:val="009A3887"/>
    <w:rsid w:val="009A3A2B"/>
    <w:rsid w:val="009A3DF7"/>
    <w:rsid w:val="009A403B"/>
    <w:rsid w:val="009A4CC6"/>
    <w:rsid w:val="009A576F"/>
    <w:rsid w:val="009A5A29"/>
    <w:rsid w:val="009A5A39"/>
    <w:rsid w:val="009A5FC7"/>
    <w:rsid w:val="009A6AB5"/>
    <w:rsid w:val="009A6C2C"/>
    <w:rsid w:val="009A6FB0"/>
    <w:rsid w:val="009A7895"/>
    <w:rsid w:val="009A7B87"/>
    <w:rsid w:val="009B001A"/>
    <w:rsid w:val="009B019B"/>
    <w:rsid w:val="009B0276"/>
    <w:rsid w:val="009B0E45"/>
    <w:rsid w:val="009B0EED"/>
    <w:rsid w:val="009B1022"/>
    <w:rsid w:val="009B1C86"/>
    <w:rsid w:val="009B1D04"/>
    <w:rsid w:val="009B1E0B"/>
    <w:rsid w:val="009B214B"/>
    <w:rsid w:val="009B23C9"/>
    <w:rsid w:val="009B27BC"/>
    <w:rsid w:val="009B2922"/>
    <w:rsid w:val="009B2E8E"/>
    <w:rsid w:val="009B3140"/>
    <w:rsid w:val="009B330B"/>
    <w:rsid w:val="009B3C98"/>
    <w:rsid w:val="009B3DCD"/>
    <w:rsid w:val="009B3FA8"/>
    <w:rsid w:val="009B43F7"/>
    <w:rsid w:val="009B4EFB"/>
    <w:rsid w:val="009B4F6F"/>
    <w:rsid w:val="009B5447"/>
    <w:rsid w:val="009B5469"/>
    <w:rsid w:val="009B5ED4"/>
    <w:rsid w:val="009B5EFF"/>
    <w:rsid w:val="009B6156"/>
    <w:rsid w:val="009B61C7"/>
    <w:rsid w:val="009B7D4D"/>
    <w:rsid w:val="009B7EF4"/>
    <w:rsid w:val="009C040B"/>
    <w:rsid w:val="009C0617"/>
    <w:rsid w:val="009C0A22"/>
    <w:rsid w:val="009C0D9B"/>
    <w:rsid w:val="009C0EE3"/>
    <w:rsid w:val="009C14B6"/>
    <w:rsid w:val="009C157C"/>
    <w:rsid w:val="009C1D2D"/>
    <w:rsid w:val="009C2B14"/>
    <w:rsid w:val="009C334D"/>
    <w:rsid w:val="009C4C48"/>
    <w:rsid w:val="009C542E"/>
    <w:rsid w:val="009C58AD"/>
    <w:rsid w:val="009C651E"/>
    <w:rsid w:val="009C68ED"/>
    <w:rsid w:val="009C6E99"/>
    <w:rsid w:val="009C7131"/>
    <w:rsid w:val="009C7412"/>
    <w:rsid w:val="009C7887"/>
    <w:rsid w:val="009C7EBF"/>
    <w:rsid w:val="009D0484"/>
    <w:rsid w:val="009D05F0"/>
    <w:rsid w:val="009D07E0"/>
    <w:rsid w:val="009D081A"/>
    <w:rsid w:val="009D0DFD"/>
    <w:rsid w:val="009D153C"/>
    <w:rsid w:val="009D1827"/>
    <w:rsid w:val="009D18B1"/>
    <w:rsid w:val="009D1A4F"/>
    <w:rsid w:val="009D1F06"/>
    <w:rsid w:val="009D22F1"/>
    <w:rsid w:val="009D231E"/>
    <w:rsid w:val="009D2397"/>
    <w:rsid w:val="009D2CAF"/>
    <w:rsid w:val="009D2CE7"/>
    <w:rsid w:val="009D3417"/>
    <w:rsid w:val="009D39D7"/>
    <w:rsid w:val="009D3E55"/>
    <w:rsid w:val="009D3F76"/>
    <w:rsid w:val="009D400B"/>
    <w:rsid w:val="009D403D"/>
    <w:rsid w:val="009D48F0"/>
    <w:rsid w:val="009D5028"/>
    <w:rsid w:val="009D510D"/>
    <w:rsid w:val="009D52A4"/>
    <w:rsid w:val="009D5569"/>
    <w:rsid w:val="009D55B5"/>
    <w:rsid w:val="009D55C1"/>
    <w:rsid w:val="009D5ACA"/>
    <w:rsid w:val="009D5AD6"/>
    <w:rsid w:val="009D5B17"/>
    <w:rsid w:val="009D622F"/>
    <w:rsid w:val="009D634E"/>
    <w:rsid w:val="009D63D6"/>
    <w:rsid w:val="009D66C9"/>
    <w:rsid w:val="009D6829"/>
    <w:rsid w:val="009D6E91"/>
    <w:rsid w:val="009D78C8"/>
    <w:rsid w:val="009D79E2"/>
    <w:rsid w:val="009D7FB4"/>
    <w:rsid w:val="009E03FC"/>
    <w:rsid w:val="009E05A8"/>
    <w:rsid w:val="009E09A4"/>
    <w:rsid w:val="009E0BCF"/>
    <w:rsid w:val="009E0E6E"/>
    <w:rsid w:val="009E150E"/>
    <w:rsid w:val="009E1DFB"/>
    <w:rsid w:val="009E1F15"/>
    <w:rsid w:val="009E225D"/>
    <w:rsid w:val="009E2474"/>
    <w:rsid w:val="009E25F7"/>
    <w:rsid w:val="009E2F6C"/>
    <w:rsid w:val="009E3359"/>
    <w:rsid w:val="009E37B2"/>
    <w:rsid w:val="009E37E5"/>
    <w:rsid w:val="009E3BCA"/>
    <w:rsid w:val="009E3E35"/>
    <w:rsid w:val="009E4016"/>
    <w:rsid w:val="009E415E"/>
    <w:rsid w:val="009E4184"/>
    <w:rsid w:val="009E4583"/>
    <w:rsid w:val="009E476D"/>
    <w:rsid w:val="009E4ACB"/>
    <w:rsid w:val="009E4C83"/>
    <w:rsid w:val="009E4E23"/>
    <w:rsid w:val="009E519A"/>
    <w:rsid w:val="009E52CE"/>
    <w:rsid w:val="009E5462"/>
    <w:rsid w:val="009E5594"/>
    <w:rsid w:val="009E5A25"/>
    <w:rsid w:val="009E5CF1"/>
    <w:rsid w:val="009E613A"/>
    <w:rsid w:val="009E615B"/>
    <w:rsid w:val="009E6F7D"/>
    <w:rsid w:val="009E7424"/>
    <w:rsid w:val="009E7776"/>
    <w:rsid w:val="009E7789"/>
    <w:rsid w:val="009E77F8"/>
    <w:rsid w:val="009E7824"/>
    <w:rsid w:val="009E7A30"/>
    <w:rsid w:val="009F04BC"/>
    <w:rsid w:val="009F06AC"/>
    <w:rsid w:val="009F0854"/>
    <w:rsid w:val="009F08D9"/>
    <w:rsid w:val="009F0B97"/>
    <w:rsid w:val="009F1AF9"/>
    <w:rsid w:val="009F1B6A"/>
    <w:rsid w:val="009F1BD6"/>
    <w:rsid w:val="009F1C91"/>
    <w:rsid w:val="009F2397"/>
    <w:rsid w:val="009F3209"/>
    <w:rsid w:val="009F33DC"/>
    <w:rsid w:val="009F368E"/>
    <w:rsid w:val="009F36F5"/>
    <w:rsid w:val="009F3C18"/>
    <w:rsid w:val="009F411C"/>
    <w:rsid w:val="009F41AE"/>
    <w:rsid w:val="009F441E"/>
    <w:rsid w:val="009F4848"/>
    <w:rsid w:val="009F4B96"/>
    <w:rsid w:val="009F521C"/>
    <w:rsid w:val="009F52E1"/>
    <w:rsid w:val="009F5E92"/>
    <w:rsid w:val="009F5F3F"/>
    <w:rsid w:val="009F695E"/>
    <w:rsid w:val="009F7618"/>
    <w:rsid w:val="009F7AF4"/>
    <w:rsid w:val="009F7E09"/>
    <w:rsid w:val="009F7E78"/>
    <w:rsid w:val="00A0002A"/>
    <w:rsid w:val="00A00662"/>
    <w:rsid w:val="00A00E10"/>
    <w:rsid w:val="00A01684"/>
    <w:rsid w:val="00A02199"/>
    <w:rsid w:val="00A02260"/>
    <w:rsid w:val="00A02325"/>
    <w:rsid w:val="00A0253E"/>
    <w:rsid w:val="00A025F6"/>
    <w:rsid w:val="00A02799"/>
    <w:rsid w:val="00A02821"/>
    <w:rsid w:val="00A02E71"/>
    <w:rsid w:val="00A032DB"/>
    <w:rsid w:val="00A0368E"/>
    <w:rsid w:val="00A03861"/>
    <w:rsid w:val="00A03CFB"/>
    <w:rsid w:val="00A043A5"/>
    <w:rsid w:val="00A049BB"/>
    <w:rsid w:val="00A04B2F"/>
    <w:rsid w:val="00A04F26"/>
    <w:rsid w:val="00A0502D"/>
    <w:rsid w:val="00A05B91"/>
    <w:rsid w:val="00A05EDA"/>
    <w:rsid w:val="00A0685C"/>
    <w:rsid w:val="00A06DBE"/>
    <w:rsid w:val="00A0773A"/>
    <w:rsid w:val="00A07767"/>
    <w:rsid w:val="00A10039"/>
    <w:rsid w:val="00A10174"/>
    <w:rsid w:val="00A10492"/>
    <w:rsid w:val="00A10BD1"/>
    <w:rsid w:val="00A10E81"/>
    <w:rsid w:val="00A10F6F"/>
    <w:rsid w:val="00A11292"/>
    <w:rsid w:val="00A11D1E"/>
    <w:rsid w:val="00A11E5B"/>
    <w:rsid w:val="00A11F92"/>
    <w:rsid w:val="00A12094"/>
    <w:rsid w:val="00A1229A"/>
    <w:rsid w:val="00A1280B"/>
    <w:rsid w:val="00A1287F"/>
    <w:rsid w:val="00A12CD3"/>
    <w:rsid w:val="00A13232"/>
    <w:rsid w:val="00A133CC"/>
    <w:rsid w:val="00A1340D"/>
    <w:rsid w:val="00A1342C"/>
    <w:rsid w:val="00A13F13"/>
    <w:rsid w:val="00A13F19"/>
    <w:rsid w:val="00A1408A"/>
    <w:rsid w:val="00A14097"/>
    <w:rsid w:val="00A143EF"/>
    <w:rsid w:val="00A14647"/>
    <w:rsid w:val="00A14E26"/>
    <w:rsid w:val="00A14F73"/>
    <w:rsid w:val="00A15443"/>
    <w:rsid w:val="00A159B8"/>
    <w:rsid w:val="00A15EDB"/>
    <w:rsid w:val="00A15EE7"/>
    <w:rsid w:val="00A160CF"/>
    <w:rsid w:val="00A161F6"/>
    <w:rsid w:val="00A16459"/>
    <w:rsid w:val="00A16C2D"/>
    <w:rsid w:val="00A1704D"/>
    <w:rsid w:val="00A170DB"/>
    <w:rsid w:val="00A1722D"/>
    <w:rsid w:val="00A17B97"/>
    <w:rsid w:val="00A17BFF"/>
    <w:rsid w:val="00A17D21"/>
    <w:rsid w:val="00A17D7F"/>
    <w:rsid w:val="00A17D8F"/>
    <w:rsid w:val="00A203C7"/>
    <w:rsid w:val="00A2099C"/>
    <w:rsid w:val="00A209DD"/>
    <w:rsid w:val="00A2124B"/>
    <w:rsid w:val="00A223E3"/>
    <w:rsid w:val="00A22424"/>
    <w:rsid w:val="00A224EC"/>
    <w:rsid w:val="00A227DA"/>
    <w:rsid w:val="00A23199"/>
    <w:rsid w:val="00A231B7"/>
    <w:rsid w:val="00A2331F"/>
    <w:rsid w:val="00A23E03"/>
    <w:rsid w:val="00A23E61"/>
    <w:rsid w:val="00A244F4"/>
    <w:rsid w:val="00A24699"/>
    <w:rsid w:val="00A24D69"/>
    <w:rsid w:val="00A24DD5"/>
    <w:rsid w:val="00A259A0"/>
    <w:rsid w:val="00A25E55"/>
    <w:rsid w:val="00A25F78"/>
    <w:rsid w:val="00A25FB2"/>
    <w:rsid w:val="00A263E9"/>
    <w:rsid w:val="00A26444"/>
    <w:rsid w:val="00A26DB0"/>
    <w:rsid w:val="00A270A8"/>
    <w:rsid w:val="00A2710B"/>
    <w:rsid w:val="00A27B89"/>
    <w:rsid w:val="00A27D75"/>
    <w:rsid w:val="00A27E4B"/>
    <w:rsid w:val="00A27ED6"/>
    <w:rsid w:val="00A30566"/>
    <w:rsid w:val="00A30B60"/>
    <w:rsid w:val="00A30CDD"/>
    <w:rsid w:val="00A3101E"/>
    <w:rsid w:val="00A31618"/>
    <w:rsid w:val="00A31A5F"/>
    <w:rsid w:val="00A3242E"/>
    <w:rsid w:val="00A3261D"/>
    <w:rsid w:val="00A32CC1"/>
    <w:rsid w:val="00A32CC3"/>
    <w:rsid w:val="00A32E9C"/>
    <w:rsid w:val="00A331A0"/>
    <w:rsid w:val="00A33223"/>
    <w:rsid w:val="00A334D0"/>
    <w:rsid w:val="00A336D5"/>
    <w:rsid w:val="00A3371E"/>
    <w:rsid w:val="00A33804"/>
    <w:rsid w:val="00A33F0D"/>
    <w:rsid w:val="00A33FDC"/>
    <w:rsid w:val="00A340F6"/>
    <w:rsid w:val="00A34648"/>
    <w:rsid w:val="00A34C2B"/>
    <w:rsid w:val="00A35414"/>
    <w:rsid w:val="00A35826"/>
    <w:rsid w:val="00A35C02"/>
    <w:rsid w:val="00A35EAD"/>
    <w:rsid w:val="00A367B4"/>
    <w:rsid w:val="00A36C5A"/>
    <w:rsid w:val="00A37121"/>
    <w:rsid w:val="00A373D0"/>
    <w:rsid w:val="00A3755F"/>
    <w:rsid w:val="00A37578"/>
    <w:rsid w:val="00A3776C"/>
    <w:rsid w:val="00A37B34"/>
    <w:rsid w:val="00A37C91"/>
    <w:rsid w:val="00A4050C"/>
    <w:rsid w:val="00A40935"/>
    <w:rsid w:val="00A40BDC"/>
    <w:rsid w:val="00A40C13"/>
    <w:rsid w:val="00A4177D"/>
    <w:rsid w:val="00A41BA1"/>
    <w:rsid w:val="00A42949"/>
    <w:rsid w:val="00A42969"/>
    <w:rsid w:val="00A429B6"/>
    <w:rsid w:val="00A42E19"/>
    <w:rsid w:val="00A438E1"/>
    <w:rsid w:val="00A4404D"/>
    <w:rsid w:val="00A440FA"/>
    <w:rsid w:val="00A4413B"/>
    <w:rsid w:val="00A44A14"/>
    <w:rsid w:val="00A44EE1"/>
    <w:rsid w:val="00A46504"/>
    <w:rsid w:val="00A46C06"/>
    <w:rsid w:val="00A46F83"/>
    <w:rsid w:val="00A47CF0"/>
    <w:rsid w:val="00A50406"/>
    <w:rsid w:val="00A5080A"/>
    <w:rsid w:val="00A50817"/>
    <w:rsid w:val="00A508B8"/>
    <w:rsid w:val="00A50CC9"/>
    <w:rsid w:val="00A50D01"/>
    <w:rsid w:val="00A50FF1"/>
    <w:rsid w:val="00A510D2"/>
    <w:rsid w:val="00A512D3"/>
    <w:rsid w:val="00A5175A"/>
    <w:rsid w:val="00A5231D"/>
    <w:rsid w:val="00A526D2"/>
    <w:rsid w:val="00A52C24"/>
    <w:rsid w:val="00A536A4"/>
    <w:rsid w:val="00A53910"/>
    <w:rsid w:val="00A53929"/>
    <w:rsid w:val="00A53ACB"/>
    <w:rsid w:val="00A53B58"/>
    <w:rsid w:val="00A54D12"/>
    <w:rsid w:val="00A55ACB"/>
    <w:rsid w:val="00A55DC4"/>
    <w:rsid w:val="00A564C3"/>
    <w:rsid w:val="00A564D1"/>
    <w:rsid w:val="00A56A0F"/>
    <w:rsid w:val="00A57186"/>
    <w:rsid w:val="00A571A6"/>
    <w:rsid w:val="00A57433"/>
    <w:rsid w:val="00A579B4"/>
    <w:rsid w:val="00A57AAE"/>
    <w:rsid w:val="00A57C4A"/>
    <w:rsid w:val="00A60783"/>
    <w:rsid w:val="00A6110C"/>
    <w:rsid w:val="00A61456"/>
    <w:rsid w:val="00A6173F"/>
    <w:rsid w:val="00A61928"/>
    <w:rsid w:val="00A61C42"/>
    <w:rsid w:val="00A620DE"/>
    <w:rsid w:val="00A623A5"/>
    <w:rsid w:val="00A62529"/>
    <w:rsid w:val="00A62743"/>
    <w:rsid w:val="00A6274D"/>
    <w:rsid w:val="00A628C6"/>
    <w:rsid w:val="00A637C3"/>
    <w:rsid w:val="00A643D0"/>
    <w:rsid w:val="00A64683"/>
    <w:rsid w:val="00A65578"/>
    <w:rsid w:val="00A6583F"/>
    <w:rsid w:val="00A65D07"/>
    <w:rsid w:val="00A65EAF"/>
    <w:rsid w:val="00A65EC3"/>
    <w:rsid w:val="00A6648B"/>
    <w:rsid w:val="00A66857"/>
    <w:rsid w:val="00A66920"/>
    <w:rsid w:val="00A66B1B"/>
    <w:rsid w:val="00A66E3D"/>
    <w:rsid w:val="00A679BF"/>
    <w:rsid w:val="00A67A2E"/>
    <w:rsid w:val="00A701CD"/>
    <w:rsid w:val="00A7029B"/>
    <w:rsid w:val="00A70345"/>
    <w:rsid w:val="00A70B09"/>
    <w:rsid w:val="00A70B61"/>
    <w:rsid w:val="00A70E0D"/>
    <w:rsid w:val="00A718BC"/>
    <w:rsid w:val="00A71BFD"/>
    <w:rsid w:val="00A721D1"/>
    <w:rsid w:val="00A72286"/>
    <w:rsid w:val="00A72A91"/>
    <w:rsid w:val="00A72C86"/>
    <w:rsid w:val="00A73833"/>
    <w:rsid w:val="00A73EF2"/>
    <w:rsid w:val="00A7438E"/>
    <w:rsid w:val="00A743D3"/>
    <w:rsid w:val="00A747D3"/>
    <w:rsid w:val="00A752DA"/>
    <w:rsid w:val="00A752EE"/>
    <w:rsid w:val="00A75724"/>
    <w:rsid w:val="00A757CD"/>
    <w:rsid w:val="00A759A5"/>
    <w:rsid w:val="00A75BE8"/>
    <w:rsid w:val="00A76004"/>
    <w:rsid w:val="00A76060"/>
    <w:rsid w:val="00A76122"/>
    <w:rsid w:val="00A76167"/>
    <w:rsid w:val="00A768F0"/>
    <w:rsid w:val="00A76AD4"/>
    <w:rsid w:val="00A76B20"/>
    <w:rsid w:val="00A7713F"/>
    <w:rsid w:val="00A774B0"/>
    <w:rsid w:val="00A8031E"/>
    <w:rsid w:val="00A8038E"/>
    <w:rsid w:val="00A809CE"/>
    <w:rsid w:val="00A80A9B"/>
    <w:rsid w:val="00A81489"/>
    <w:rsid w:val="00A8182B"/>
    <w:rsid w:val="00A81914"/>
    <w:rsid w:val="00A81E9E"/>
    <w:rsid w:val="00A81F16"/>
    <w:rsid w:val="00A825DA"/>
    <w:rsid w:val="00A8296F"/>
    <w:rsid w:val="00A82C9C"/>
    <w:rsid w:val="00A82D8A"/>
    <w:rsid w:val="00A82E4E"/>
    <w:rsid w:val="00A8342B"/>
    <w:rsid w:val="00A8347B"/>
    <w:rsid w:val="00A843CC"/>
    <w:rsid w:val="00A84642"/>
    <w:rsid w:val="00A84CF7"/>
    <w:rsid w:val="00A8513A"/>
    <w:rsid w:val="00A85A33"/>
    <w:rsid w:val="00A865B3"/>
    <w:rsid w:val="00A86622"/>
    <w:rsid w:val="00A87DE2"/>
    <w:rsid w:val="00A90166"/>
    <w:rsid w:val="00A9024C"/>
    <w:rsid w:val="00A90682"/>
    <w:rsid w:val="00A9079B"/>
    <w:rsid w:val="00A90CA1"/>
    <w:rsid w:val="00A90EE0"/>
    <w:rsid w:val="00A91C10"/>
    <w:rsid w:val="00A92133"/>
    <w:rsid w:val="00A9234B"/>
    <w:rsid w:val="00A9243D"/>
    <w:rsid w:val="00A929FB"/>
    <w:rsid w:val="00A92A6C"/>
    <w:rsid w:val="00A92EA8"/>
    <w:rsid w:val="00A93AB2"/>
    <w:rsid w:val="00A93D9C"/>
    <w:rsid w:val="00A93EA8"/>
    <w:rsid w:val="00A94544"/>
    <w:rsid w:val="00A94D9E"/>
    <w:rsid w:val="00A953F6"/>
    <w:rsid w:val="00A9577B"/>
    <w:rsid w:val="00A958C2"/>
    <w:rsid w:val="00A95AAE"/>
    <w:rsid w:val="00A96319"/>
    <w:rsid w:val="00A9690D"/>
    <w:rsid w:val="00A97131"/>
    <w:rsid w:val="00A972C1"/>
    <w:rsid w:val="00AA021D"/>
    <w:rsid w:val="00AA07D4"/>
    <w:rsid w:val="00AA0A36"/>
    <w:rsid w:val="00AA0BE6"/>
    <w:rsid w:val="00AA1475"/>
    <w:rsid w:val="00AA17AC"/>
    <w:rsid w:val="00AA181A"/>
    <w:rsid w:val="00AA1ED2"/>
    <w:rsid w:val="00AA201E"/>
    <w:rsid w:val="00AA2432"/>
    <w:rsid w:val="00AA25FF"/>
    <w:rsid w:val="00AA27CC"/>
    <w:rsid w:val="00AA2D7F"/>
    <w:rsid w:val="00AA2E3A"/>
    <w:rsid w:val="00AA3BC8"/>
    <w:rsid w:val="00AA402F"/>
    <w:rsid w:val="00AA48E2"/>
    <w:rsid w:val="00AA5308"/>
    <w:rsid w:val="00AA55E7"/>
    <w:rsid w:val="00AA58DB"/>
    <w:rsid w:val="00AA5CA6"/>
    <w:rsid w:val="00AA63E5"/>
    <w:rsid w:val="00AA6DB9"/>
    <w:rsid w:val="00AA7239"/>
    <w:rsid w:val="00AA72E1"/>
    <w:rsid w:val="00AA77CE"/>
    <w:rsid w:val="00AB0215"/>
    <w:rsid w:val="00AB05B0"/>
    <w:rsid w:val="00AB075B"/>
    <w:rsid w:val="00AB09C9"/>
    <w:rsid w:val="00AB09D5"/>
    <w:rsid w:val="00AB0C12"/>
    <w:rsid w:val="00AB0D29"/>
    <w:rsid w:val="00AB0D65"/>
    <w:rsid w:val="00AB12EE"/>
    <w:rsid w:val="00AB20AA"/>
    <w:rsid w:val="00AB21BD"/>
    <w:rsid w:val="00AB24FA"/>
    <w:rsid w:val="00AB2703"/>
    <w:rsid w:val="00AB2749"/>
    <w:rsid w:val="00AB2C22"/>
    <w:rsid w:val="00AB3E97"/>
    <w:rsid w:val="00AB42D9"/>
    <w:rsid w:val="00AB4330"/>
    <w:rsid w:val="00AB4AD6"/>
    <w:rsid w:val="00AB4B60"/>
    <w:rsid w:val="00AB61F2"/>
    <w:rsid w:val="00AB6D8E"/>
    <w:rsid w:val="00AB7802"/>
    <w:rsid w:val="00AC0014"/>
    <w:rsid w:val="00AC059A"/>
    <w:rsid w:val="00AC096C"/>
    <w:rsid w:val="00AC0DBC"/>
    <w:rsid w:val="00AC1332"/>
    <w:rsid w:val="00AC1AD1"/>
    <w:rsid w:val="00AC1D11"/>
    <w:rsid w:val="00AC1DDF"/>
    <w:rsid w:val="00AC30F1"/>
    <w:rsid w:val="00AC3143"/>
    <w:rsid w:val="00AC4180"/>
    <w:rsid w:val="00AC435A"/>
    <w:rsid w:val="00AC43DC"/>
    <w:rsid w:val="00AC45AF"/>
    <w:rsid w:val="00AC4E3F"/>
    <w:rsid w:val="00AC4EC8"/>
    <w:rsid w:val="00AC510F"/>
    <w:rsid w:val="00AC58F2"/>
    <w:rsid w:val="00AC5A4F"/>
    <w:rsid w:val="00AC5BFE"/>
    <w:rsid w:val="00AC62AA"/>
    <w:rsid w:val="00AC64AF"/>
    <w:rsid w:val="00AC65FC"/>
    <w:rsid w:val="00AC6A2A"/>
    <w:rsid w:val="00AC6A6C"/>
    <w:rsid w:val="00AC7070"/>
    <w:rsid w:val="00AC73C9"/>
    <w:rsid w:val="00AC78B8"/>
    <w:rsid w:val="00AC79F7"/>
    <w:rsid w:val="00AC7AE0"/>
    <w:rsid w:val="00AD008A"/>
    <w:rsid w:val="00AD07B2"/>
    <w:rsid w:val="00AD0B28"/>
    <w:rsid w:val="00AD0FBE"/>
    <w:rsid w:val="00AD16C8"/>
    <w:rsid w:val="00AD1938"/>
    <w:rsid w:val="00AD1A22"/>
    <w:rsid w:val="00AD1AD3"/>
    <w:rsid w:val="00AD1EB4"/>
    <w:rsid w:val="00AD1F9A"/>
    <w:rsid w:val="00AD2231"/>
    <w:rsid w:val="00AD2273"/>
    <w:rsid w:val="00AD29A6"/>
    <w:rsid w:val="00AD2AA2"/>
    <w:rsid w:val="00AD2BE4"/>
    <w:rsid w:val="00AD2EC8"/>
    <w:rsid w:val="00AD3000"/>
    <w:rsid w:val="00AD37A3"/>
    <w:rsid w:val="00AD383A"/>
    <w:rsid w:val="00AD39AB"/>
    <w:rsid w:val="00AD3CA5"/>
    <w:rsid w:val="00AD4705"/>
    <w:rsid w:val="00AD48DA"/>
    <w:rsid w:val="00AD4B53"/>
    <w:rsid w:val="00AD5426"/>
    <w:rsid w:val="00AD572F"/>
    <w:rsid w:val="00AD615E"/>
    <w:rsid w:val="00AD6B34"/>
    <w:rsid w:val="00AD6B7C"/>
    <w:rsid w:val="00AD77D4"/>
    <w:rsid w:val="00AD7C42"/>
    <w:rsid w:val="00AE03C9"/>
    <w:rsid w:val="00AE0581"/>
    <w:rsid w:val="00AE0A70"/>
    <w:rsid w:val="00AE0DBA"/>
    <w:rsid w:val="00AE0FC1"/>
    <w:rsid w:val="00AE1106"/>
    <w:rsid w:val="00AE1A02"/>
    <w:rsid w:val="00AE1F3C"/>
    <w:rsid w:val="00AE26B9"/>
    <w:rsid w:val="00AE2906"/>
    <w:rsid w:val="00AE29F3"/>
    <w:rsid w:val="00AE2A4B"/>
    <w:rsid w:val="00AE2E89"/>
    <w:rsid w:val="00AE324A"/>
    <w:rsid w:val="00AE3541"/>
    <w:rsid w:val="00AE37C1"/>
    <w:rsid w:val="00AE3906"/>
    <w:rsid w:val="00AE4381"/>
    <w:rsid w:val="00AE4461"/>
    <w:rsid w:val="00AE454F"/>
    <w:rsid w:val="00AE4563"/>
    <w:rsid w:val="00AE47BB"/>
    <w:rsid w:val="00AE486A"/>
    <w:rsid w:val="00AE58AA"/>
    <w:rsid w:val="00AE58F6"/>
    <w:rsid w:val="00AE5EAD"/>
    <w:rsid w:val="00AE6664"/>
    <w:rsid w:val="00AE6BD8"/>
    <w:rsid w:val="00AE757E"/>
    <w:rsid w:val="00AE7756"/>
    <w:rsid w:val="00AE7BD3"/>
    <w:rsid w:val="00AE7C30"/>
    <w:rsid w:val="00AF0468"/>
    <w:rsid w:val="00AF061F"/>
    <w:rsid w:val="00AF09D5"/>
    <w:rsid w:val="00AF11B7"/>
    <w:rsid w:val="00AF175D"/>
    <w:rsid w:val="00AF1961"/>
    <w:rsid w:val="00AF1C14"/>
    <w:rsid w:val="00AF1F63"/>
    <w:rsid w:val="00AF260D"/>
    <w:rsid w:val="00AF26D2"/>
    <w:rsid w:val="00AF2977"/>
    <w:rsid w:val="00AF2C11"/>
    <w:rsid w:val="00AF31DC"/>
    <w:rsid w:val="00AF31E9"/>
    <w:rsid w:val="00AF4A2C"/>
    <w:rsid w:val="00AF4FAE"/>
    <w:rsid w:val="00AF642C"/>
    <w:rsid w:val="00AF64AB"/>
    <w:rsid w:val="00AF673C"/>
    <w:rsid w:val="00AF67AF"/>
    <w:rsid w:val="00AF682E"/>
    <w:rsid w:val="00AF6ADA"/>
    <w:rsid w:val="00AF6DE1"/>
    <w:rsid w:val="00AF6F2E"/>
    <w:rsid w:val="00AF7472"/>
    <w:rsid w:val="00AF7543"/>
    <w:rsid w:val="00AF7C31"/>
    <w:rsid w:val="00B00472"/>
    <w:rsid w:val="00B0057C"/>
    <w:rsid w:val="00B016C7"/>
    <w:rsid w:val="00B017CB"/>
    <w:rsid w:val="00B02062"/>
    <w:rsid w:val="00B02202"/>
    <w:rsid w:val="00B02443"/>
    <w:rsid w:val="00B0249D"/>
    <w:rsid w:val="00B027EA"/>
    <w:rsid w:val="00B027EF"/>
    <w:rsid w:val="00B02802"/>
    <w:rsid w:val="00B02D3F"/>
    <w:rsid w:val="00B033D6"/>
    <w:rsid w:val="00B03652"/>
    <w:rsid w:val="00B04397"/>
    <w:rsid w:val="00B044AD"/>
    <w:rsid w:val="00B048EB"/>
    <w:rsid w:val="00B04BE2"/>
    <w:rsid w:val="00B04D81"/>
    <w:rsid w:val="00B0517F"/>
    <w:rsid w:val="00B052C2"/>
    <w:rsid w:val="00B05597"/>
    <w:rsid w:val="00B05BB3"/>
    <w:rsid w:val="00B07592"/>
    <w:rsid w:val="00B1001A"/>
    <w:rsid w:val="00B106F1"/>
    <w:rsid w:val="00B109FF"/>
    <w:rsid w:val="00B10D9B"/>
    <w:rsid w:val="00B10E33"/>
    <w:rsid w:val="00B112B0"/>
    <w:rsid w:val="00B112D5"/>
    <w:rsid w:val="00B11B1A"/>
    <w:rsid w:val="00B11F95"/>
    <w:rsid w:val="00B1227C"/>
    <w:rsid w:val="00B12402"/>
    <w:rsid w:val="00B12420"/>
    <w:rsid w:val="00B1269C"/>
    <w:rsid w:val="00B12781"/>
    <w:rsid w:val="00B12CA6"/>
    <w:rsid w:val="00B130C1"/>
    <w:rsid w:val="00B13199"/>
    <w:rsid w:val="00B13926"/>
    <w:rsid w:val="00B13BC4"/>
    <w:rsid w:val="00B13DAA"/>
    <w:rsid w:val="00B13DD1"/>
    <w:rsid w:val="00B14057"/>
    <w:rsid w:val="00B1408E"/>
    <w:rsid w:val="00B1481B"/>
    <w:rsid w:val="00B1489D"/>
    <w:rsid w:val="00B14EBB"/>
    <w:rsid w:val="00B15113"/>
    <w:rsid w:val="00B153BC"/>
    <w:rsid w:val="00B1576D"/>
    <w:rsid w:val="00B159ED"/>
    <w:rsid w:val="00B15B48"/>
    <w:rsid w:val="00B15CDA"/>
    <w:rsid w:val="00B16112"/>
    <w:rsid w:val="00B16368"/>
    <w:rsid w:val="00B16751"/>
    <w:rsid w:val="00B16921"/>
    <w:rsid w:val="00B16CFD"/>
    <w:rsid w:val="00B1770D"/>
    <w:rsid w:val="00B17DDD"/>
    <w:rsid w:val="00B206AE"/>
    <w:rsid w:val="00B20802"/>
    <w:rsid w:val="00B20CC4"/>
    <w:rsid w:val="00B212F0"/>
    <w:rsid w:val="00B21BA5"/>
    <w:rsid w:val="00B21D11"/>
    <w:rsid w:val="00B21FE6"/>
    <w:rsid w:val="00B2246F"/>
    <w:rsid w:val="00B22551"/>
    <w:rsid w:val="00B2273C"/>
    <w:rsid w:val="00B2303F"/>
    <w:rsid w:val="00B23C7F"/>
    <w:rsid w:val="00B23F0F"/>
    <w:rsid w:val="00B244AF"/>
    <w:rsid w:val="00B246B2"/>
    <w:rsid w:val="00B24BA2"/>
    <w:rsid w:val="00B24EA0"/>
    <w:rsid w:val="00B265DC"/>
    <w:rsid w:val="00B26A61"/>
    <w:rsid w:val="00B26E67"/>
    <w:rsid w:val="00B27082"/>
    <w:rsid w:val="00B27249"/>
    <w:rsid w:val="00B273B5"/>
    <w:rsid w:val="00B27627"/>
    <w:rsid w:val="00B27BE4"/>
    <w:rsid w:val="00B27DDB"/>
    <w:rsid w:val="00B306BC"/>
    <w:rsid w:val="00B30CF0"/>
    <w:rsid w:val="00B31112"/>
    <w:rsid w:val="00B3159B"/>
    <w:rsid w:val="00B321BA"/>
    <w:rsid w:val="00B324BA"/>
    <w:rsid w:val="00B32808"/>
    <w:rsid w:val="00B33277"/>
    <w:rsid w:val="00B33324"/>
    <w:rsid w:val="00B3375D"/>
    <w:rsid w:val="00B33CD1"/>
    <w:rsid w:val="00B33D45"/>
    <w:rsid w:val="00B34A18"/>
    <w:rsid w:val="00B34B16"/>
    <w:rsid w:val="00B34E31"/>
    <w:rsid w:val="00B34FF1"/>
    <w:rsid w:val="00B351FD"/>
    <w:rsid w:val="00B35398"/>
    <w:rsid w:val="00B359E5"/>
    <w:rsid w:val="00B35BCD"/>
    <w:rsid w:val="00B364C6"/>
    <w:rsid w:val="00B3656F"/>
    <w:rsid w:val="00B36B8E"/>
    <w:rsid w:val="00B36CEC"/>
    <w:rsid w:val="00B3788C"/>
    <w:rsid w:val="00B37E5E"/>
    <w:rsid w:val="00B37E8A"/>
    <w:rsid w:val="00B408D6"/>
    <w:rsid w:val="00B40B90"/>
    <w:rsid w:val="00B40C10"/>
    <w:rsid w:val="00B40F79"/>
    <w:rsid w:val="00B412BB"/>
    <w:rsid w:val="00B41337"/>
    <w:rsid w:val="00B41534"/>
    <w:rsid w:val="00B417B7"/>
    <w:rsid w:val="00B41C0A"/>
    <w:rsid w:val="00B42028"/>
    <w:rsid w:val="00B429A9"/>
    <w:rsid w:val="00B42DFD"/>
    <w:rsid w:val="00B43292"/>
    <w:rsid w:val="00B43488"/>
    <w:rsid w:val="00B43E21"/>
    <w:rsid w:val="00B445CB"/>
    <w:rsid w:val="00B4476A"/>
    <w:rsid w:val="00B4606A"/>
    <w:rsid w:val="00B466F3"/>
    <w:rsid w:val="00B469ED"/>
    <w:rsid w:val="00B46BFD"/>
    <w:rsid w:val="00B46CDD"/>
    <w:rsid w:val="00B47238"/>
    <w:rsid w:val="00B4751F"/>
    <w:rsid w:val="00B4753E"/>
    <w:rsid w:val="00B47783"/>
    <w:rsid w:val="00B47B2B"/>
    <w:rsid w:val="00B47DB1"/>
    <w:rsid w:val="00B50334"/>
    <w:rsid w:val="00B50B6E"/>
    <w:rsid w:val="00B50F3C"/>
    <w:rsid w:val="00B51487"/>
    <w:rsid w:val="00B517A0"/>
    <w:rsid w:val="00B517C9"/>
    <w:rsid w:val="00B51872"/>
    <w:rsid w:val="00B52660"/>
    <w:rsid w:val="00B52A76"/>
    <w:rsid w:val="00B5323A"/>
    <w:rsid w:val="00B5325F"/>
    <w:rsid w:val="00B53D50"/>
    <w:rsid w:val="00B5454D"/>
    <w:rsid w:val="00B54585"/>
    <w:rsid w:val="00B547D0"/>
    <w:rsid w:val="00B548C5"/>
    <w:rsid w:val="00B550F7"/>
    <w:rsid w:val="00B558F3"/>
    <w:rsid w:val="00B55E81"/>
    <w:rsid w:val="00B56316"/>
    <w:rsid w:val="00B563AF"/>
    <w:rsid w:val="00B56990"/>
    <w:rsid w:val="00B56B0C"/>
    <w:rsid w:val="00B56D9B"/>
    <w:rsid w:val="00B56F69"/>
    <w:rsid w:val="00B5729D"/>
    <w:rsid w:val="00B578B4"/>
    <w:rsid w:val="00B57CAE"/>
    <w:rsid w:val="00B60758"/>
    <w:rsid w:val="00B6099B"/>
    <w:rsid w:val="00B60E38"/>
    <w:rsid w:val="00B60F67"/>
    <w:rsid w:val="00B612E8"/>
    <w:rsid w:val="00B6153C"/>
    <w:rsid w:val="00B615A2"/>
    <w:rsid w:val="00B61834"/>
    <w:rsid w:val="00B619D8"/>
    <w:rsid w:val="00B61C09"/>
    <w:rsid w:val="00B61C90"/>
    <w:rsid w:val="00B61CDD"/>
    <w:rsid w:val="00B61FCE"/>
    <w:rsid w:val="00B62099"/>
    <w:rsid w:val="00B62241"/>
    <w:rsid w:val="00B622BD"/>
    <w:rsid w:val="00B633CB"/>
    <w:rsid w:val="00B635D9"/>
    <w:rsid w:val="00B64747"/>
    <w:rsid w:val="00B64FAA"/>
    <w:rsid w:val="00B651BD"/>
    <w:rsid w:val="00B6520E"/>
    <w:rsid w:val="00B656CE"/>
    <w:rsid w:val="00B65AC4"/>
    <w:rsid w:val="00B676E6"/>
    <w:rsid w:val="00B678B1"/>
    <w:rsid w:val="00B7003A"/>
    <w:rsid w:val="00B70D87"/>
    <w:rsid w:val="00B71034"/>
    <w:rsid w:val="00B71084"/>
    <w:rsid w:val="00B712A3"/>
    <w:rsid w:val="00B71873"/>
    <w:rsid w:val="00B71A17"/>
    <w:rsid w:val="00B71BA3"/>
    <w:rsid w:val="00B71CD0"/>
    <w:rsid w:val="00B723E2"/>
    <w:rsid w:val="00B72C1F"/>
    <w:rsid w:val="00B73296"/>
    <w:rsid w:val="00B73633"/>
    <w:rsid w:val="00B73E28"/>
    <w:rsid w:val="00B73FCC"/>
    <w:rsid w:val="00B743D9"/>
    <w:rsid w:val="00B7480B"/>
    <w:rsid w:val="00B74E06"/>
    <w:rsid w:val="00B75043"/>
    <w:rsid w:val="00B750EB"/>
    <w:rsid w:val="00B7522A"/>
    <w:rsid w:val="00B754B2"/>
    <w:rsid w:val="00B769FE"/>
    <w:rsid w:val="00B76BE4"/>
    <w:rsid w:val="00B77FE3"/>
    <w:rsid w:val="00B80B3E"/>
    <w:rsid w:val="00B8124A"/>
    <w:rsid w:val="00B81F9C"/>
    <w:rsid w:val="00B823FF"/>
    <w:rsid w:val="00B82733"/>
    <w:rsid w:val="00B82AEC"/>
    <w:rsid w:val="00B82C00"/>
    <w:rsid w:val="00B82F90"/>
    <w:rsid w:val="00B832E6"/>
    <w:rsid w:val="00B835B7"/>
    <w:rsid w:val="00B83727"/>
    <w:rsid w:val="00B84020"/>
    <w:rsid w:val="00B84D95"/>
    <w:rsid w:val="00B85681"/>
    <w:rsid w:val="00B860C2"/>
    <w:rsid w:val="00B86C8B"/>
    <w:rsid w:val="00B8746F"/>
    <w:rsid w:val="00B87826"/>
    <w:rsid w:val="00B9087D"/>
    <w:rsid w:val="00B908FC"/>
    <w:rsid w:val="00B909D1"/>
    <w:rsid w:val="00B90C25"/>
    <w:rsid w:val="00B90CFD"/>
    <w:rsid w:val="00B90FC8"/>
    <w:rsid w:val="00B9127E"/>
    <w:rsid w:val="00B91410"/>
    <w:rsid w:val="00B92013"/>
    <w:rsid w:val="00B92BC7"/>
    <w:rsid w:val="00B92E05"/>
    <w:rsid w:val="00B942DF"/>
    <w:rsid w:val="00B94363"/>
    <w:rsid w:val="00B9467D"/>
    <w:rsid w:val="00B947A8"/>
    <w:rsid w:val="00B94938"/>
    <w:rsid w:val="00B94B2C"/>
    <w:rsid w:val="00B95B0A"/>
    <w:rsid w:val="00B95D81"/>
    <w:rsid w:val="00B9688E"/>
    <w:rsid w:val="00B96A8A"/>
    <w:rsid w:val="00B96AB5"/>
    <w:rsid w:val="00B96D09"/>
    <w:rsid w:val="00B96D9D"/>
    <w:rsid w:val="00B96E84"/>
    <w:rsid w:val="00B96FE9"/>
    <w:rsid w:val="00B971D6"/>
    <w:rsid w:val="00B976CF"/>
    <w:rsid w:val="00BA028B"/>
    <w:rsid w:val="00BA02DB"/>
    <w:rsid w:val="00BA053C"/>
    <w:rsid w:val="00BA0557"/>
    <w:rsid w:val="00BA07CF"/>
    <w:rsid w:val="00BA0B00"/>
    <w:rsid w:val="00BA0DBF"/>
    <w:rsid w:val="00BA0E3E"/>
    <w:rsid w:val="00BA0EF4"/>
    <w:rsid w:val="00BA132F"/>
    <w:rsid w:val="00BA1669"/>
    <w:rsid w:val="00BA1676"/>
    <w:rsid w:val="00BA1B26"/>
    <w:rsid w:val="00BA2265"/>
    <w:rsid w:val="00BA22F7"/>
    <w:rsid w:val="00BA2D24"/>
    <w:rsid w:val="00BA33D9"/>
    <w:rsid w:val="00BA36FD"/>
    <w:rsid w:val="00BA38B2"/>
    <w:rsid w:val="00BA39EB"/>
    <w:rsid w:val="00BA4D0C"/>
    <w:rsid w:val="00BA4D76"/>
    <w:rsid w:val="00BA4EB1"/>
    <w:rsid w:val="00BA4FD7"/>
    <w:rsid w:val="00BA544F"/>
    <w:rsid w:val="00BA5618"/>
    <w:rsid w:val="00BA592B"/>
    <w:rsid w:val="00BA5DA2"/>
    <w:rsid w:val="00BA626D"/>
    <w:rsid w:val="00BA69D1"/>
    <w:rsid w:val="00BA6BE9"/>
    <w:rsid w:val="00BA6F31"/>
    <w:rsid w:val="00BA737F"/>
    <w:rsid w:val="00BA7ABC"/>
    <w:rsid w:val="00BA7C5F"/>
    <w:rsid w:val="00BA7C80"/>
    <w:rsid w:val="00BA7CF8"/>
    <w:rsid w:val="00BB0272"/>
    <w:rsid w:val="00BB1190"/>
    <w:rsid w:val="00BB1239"/>
    <w:rsid w:val="00BB13BC"/>
    <w:rsid w:val="00BB19C6"/>
    <w:rsid w:val="00BB1BE2"/>
    <w:rsid w:val="00BB24C1"/>
    <w:rsid w:val="00BB24F2"/>
    <w:rsid w:val="00BB3311"/>
    <w:rsid w:val="00BB33F2"/>
    <w:rsid w:val="00BB34F7"/>
    <w:rsid w:val="00BB398B"/>
    <w:rsid w:val="00BB3A31"/>
    <w:rsid w:val="00BB3E02"/>
    <w:rsid w:val="00BB4A20"/>
    <w:rsid w:val="00BB4AEA"/>
    <w:rsid w:val="00BB4B0A"/>
    <w:rsid w:val="00BB4E42"/>
    <w:rsid w:val="00BB52F5"/>
    <w:rsid w:val="00BB5BF4"/>
    <w:rsid w:val="00BB5DD8"/>
    <w:rsid w:val="00BB5F22"/>
    <w:rsid w:val="00BB63C0"/>
    <w:rsid w:val="00BB6480"/>
    <w:rsid w:val="00BB689A"/>
    <w:rsid w:val="00BB6C5C"/>
    <w:rsid w:val="00BB6E72"/>
    <w:rsid w:val="00BB7140"/>
    <w:rsid w:val="00BB7282"/>
    <w:rsid w:val="00BB79CB"/>
    <w:rsid w:val="00BB7AF9"/>
    <w:rsid w:val="00BB7DB8"/>
    <w:rsid w:val="00BC1E24"/>
    <w:rsid w:val="00BC1E2F"/>
    <w:rsid w:val="00BC252B"/>
    <w:rsid w:val="00BC2732"/>
    <w:rsid w:val="00BC2E6C"/>
    <w:rsid w:val="00BC3356"/>
    <w:rsid w:val="00BC3795"/>
    <w:rsid w:val="00BC3A18"/>
    <w:rsid w:val="00BC452E"/>
    <w:rsid w:val="00BC4940"/>
    <w:rsid w:val="00BC4CC1"/>
    <w:rsid w:val="00BC4E7E"/>
    <w:rsid w:val="00BC5A86"/>
    <w:rsid w:val="00BC5BA0"/>
    <w:rsid w:val="00BC5DCB"/>
    <w:rsid w:val="00BC728B"/>
    <w:rsid w:val="00BC748E"/>
    <w:rsid w:val="00BD0246"/>
    <w:rsid w:val="00BD08CC"/>
    <w:rsid w:val="00BD0BF1"/>
    <w:rsid w:val="00BD154C"/>
    <w:rsid w:val="00BD213A"/>
    <w:rsid w:val="00BD2808"/>
    <w:rsid w:val="00BD2D4F"/>
    <w:rsid w:val="00BD2DC6"/>
    <w:rsid w:val="00BD3078"/>
    <w:rsid w:val="00BD390A"/>
    <w:rsid w:val="00BD3E2D"/>
    <w:rsid w:val="00BD425D"/>
    <w:rsid w:val="00BD4BB9"/>
    <w:rsid w:val="00BD53D2"/>
    <w:rsid w:val="00BD553E"/>
    <w:rsid w:val="00BD6F61"/>
    <w:rsid w:val="00BE008A"/>
    <w:rsid w:val="00BE0B32"/>
    <w:rsid w:val="00BE0F7D"/>
    <w:rsid w:val="00BE1056"/>
    <w:rsid w:val="00BE1121"/>
    <w:rsid w:val="00BE14DF"/>
    <w:rsid w:val="00BE1AFA"/>
    <w:rsid w:val="00BE2001"/>
    <w:rsid w:val="00BE225E"/>
    <w:rsid w:val="00BE2A32"/>
    <w:rsid w:val="00BE2A90"/>
    <w:rsid w:val="00BE2D73"/>
    <w:rsid w:val="00BE2F71"/>
    <w:rsid w:val="00BE31E7"/>
    <w:rsid w:val="00BE333C"/>
    <w:rsid w:val="00BE3471"/>
    <w:rsid w:val="00BE35C3"/>
    <w:rsid w:val="00BE35D0"/>
    <w:rsid w:val="00BE3652"/>
    <w:rsid w:val="00BE3863"/>
    <w:rsid w:val="00BE3C34"/>
    <w:rsid w:val="00BE4214"/>
    <w:rsid w:val="00BE4633"/>
    <w:rsid w:val="00BE46F7"/>
    <w:rsid w:val="00BE4890"/>
    <w:rsid w:val="00BE56E7"/>
    <w:rsid w:val="00BE5DEA"/>
    <w:rsid w:val="00BE5EA1"/>
    <w:rsid w:val="00BE6409"/>
    <w:rsid w:val="00BE66D6"/>
    <w:rsid w:val="00BE68CF"/>
    <w:rsid w:val="00BE6EF5"/>
    <w:rsid w:val="00BE7400"/>
    <w:rsid w:val="00BE760F"/>
    <w:rsid w:val="00BE76ED"/>
    <w:rsid w:val="00BE78EC"/>
    <w:rsid w:val="00BF0087"/>
    <w:rsid w:val="00BF0340"/>
    <w:rsid w:val="00BF0650"/>
    <w:rsid w:val="00BF0A23"/>
    <w:rsid w:val="00BF0BDB"/>
    <w:rsid w:val="00BF0EAB"/>
    <w:rsid w:val="00BF1A24"/>
    <w:rsid w:val="00BF20D2"/>
    <w:rsid w:val="00BF219D"/>
    <w:rsid w:val="00BF26E1"/>
    <w:rsid w:val="00BF292D"/>
    <w:rsid w:val="00BF296D"/>
    <w:rsid w:val="00BF34C4"/>
    <w:rsid w:val="00BF383B"/>
    <w:rsid w:val="00BF3BFB"/>
    <w:rsid w:val="00BF3E05"/>
    <w:rsid w:val="00BF405E"/>
    <w:rsid w:val="00BF4082"/>
    <w:rsid w:val="00BF4135"/>
    <w:rsid w:val="00BF4385"/>
    <w:rsid w:val="00BF45F7"/>
    <w:rsid w:val="00BF46FC"/>
    <w:rsid w:val="00BF4813"/>
    <w:rsid w:val="00BF48AD"/>
    <w:rsid w:val="00BF4BAC"/>
    <w:rsid w:val="00BF4F2F"/>
    <w:rsid w:val="00BF52EB"/>
    <w:rsid w:val="00BF5312"/>
    <w:rsid w:val="00BF5321"/>
    <w:rsid w:val="00BF6106"/>
    <w:rsid w:val="00BF71D7"/>
    <w:rsid w:val="00BF76D9"/>
    <w:rsid w:val="00BF7A67"/>
    <w:rsid w:val="00BF7E0F"/>
    <w:rsid w:val="00C005D1"/>
    <w:rsid w:val="00C00F27"/>
    <w:rsid w:val="00C012D8"/>
    <w:rsid w:val="00C01475"/>
    <w:rsid w:val="00C018E4"/>
    <w:rsid w:val="00C01F37"/>
    <w:rsid w:val="00C02051"/>
    <w:rsid w:val="00C025EF"/>
    <w:rsid w:val="00C02EB1"/>
    <w:rsid w:val="00C03320"/>
    <w:rsid w:val="00C04594"/>
    <w:rsid w:val="00C04762"/>
    <w:rsid w:val="00C04938"/>
    <w:rsid w:val="00C050BB"/>
    <w:rsid w:val="00C05154"/>
    <w:rsid w:val="00C05CAC"/>
    <w:rsid w:val="00C05F94"/>
    <w:rsid w:val="00C066A2"/>
    <w:rsid w:val="00C06878"/>
    <w:rsid w:val="00C06926"/>
    <w:rsid w:val="00C06BE5"/>
    <w:rsid w:val="00C0756B"/>
    <w:rsid w:val="00C0774B"/>
    <w:rsid w:val="00C07B70"/>
    <w:rsid w:val="00C07F3E"/>
    <w:rsid w:val="00C1067D"/>
    <w:rsid w:val="00C106C3"/>
    <w:rsid w:val="00C10781"/>
    <w:rsid w:val="00C1082B"/>
    <w:rsid w:val="00C10E81"/>
    <w:rsid w:val="00C111B3"/>
    <w:rsid w:val="00C116A5"/>
    <w:rsid w:val="00C11816"/>
    <w:rsid w:val="00C11987"/>
    <w:rsid w:val="00C119A1"/>
    <w:rsid w:val="00C12848"/>
    <w:rsid w:val="00C13052"/>
    <w:rsid w:val="00C1331C"/>
    <w:rsid w:val="00C1363D"/>
    <w:rsid w:val="00C137EB"/>
    <w:rsid w:val="00C139F4"/>
    <w:rsid w:val="00C13C2B"/>
    <w:rsid w:val="00C13F25"/>
    <w:rsid w:val="00C140A0"/>
    <w:rsid w:val="00C1448A"/>
    <w:rsid w:val="00C15E46"/>
    <w:rsid w:val="00C15E69"/>
    <w:rsid w:val="00C163D5"/>
    <w:rsid w:val="00C166F9"/>
    <w:rsid w:val="00C16978"/>
    <w:rsid w:val="00C16F27"/>
    <w:rsid w:val="00C1745C"/>
    <w:rsid w:val="00C1757A"/>
    <w:rsid w:val="00C17977"/>
    <w:rsid w:val="00C17BF9"/>
    <w:rsid w:val="00C17DE1"/>
    <w:rsid w:val="00C20740"/>
    <w:rsid w:val="00C20A30"/>
    <w:rsid w:val="00C216BF"/>
    <w:rsid w:val="00C21742"/>
    <w:rsid w:val="00C2187F"/>
    <w:rsid w:val="00C21DB9"/>
    <w:rsid w:val="00C22106"/>
    <w:rsid w:val="00C222B1"/>
    <w:rsid w:val="00C224E9"/>
    <w:rsid w:val="00C2265D"/>
    <w:rsid w:val="00C2296D"/>
    <w:rsid w:val="00C22CF9"/>
    <w:rsid w:val="00C23302"/>
    <w:rsid w:val="00C23C8D"/>
    <w:rsid w:val="00C23FC0"/>
    <w:rsid w:val="00C24118"/>
    <w:rsid w:val="00C2478A"/>
    <w:rsid w:val="00C247CC"/>
    <w:rsid w:val="00C2535E"/>
    <w:rsid w:val="00C253C1"/>
    <w:rsid w:val="00C255C9"/>
    <w:rsid w:val="00C26838"/>
    <w:rsid w:val="00C26935"/>
    <w:rsid w:val="00C26D2C"/>
    <w:rsid w:val="00C27997"/>
    <w:rsid w:val="00C3072B"/>
    <w:rsid w:val="00C30AE9"/>
    <w:rsid w:val="00C30CCD"/>
    <w:rsid w:val="00C31081"/>
    <w:rsid w:val="00C312A1"/>
    <w:rsid w:val="00C32261"/>
    <w:rsid w:val="00C32394"/>
    <w:rsid w:val="00C32861"/>
    <w:rsid w:val="00C32CD9"/>
    <w:rsid w:val="00C3371B"/>
    <w:rsid w:val="00C33A85"/>
    <w:rsid w:val="00C33DD4"/>
    <w:rsid w:val="00C33F00"/>
    <w:rsid w:val="00C344D2"/>
    <w:rsid w:val="00C345AC"/>
    <w:rsid w:val="00C34C36"/>
    <w:rsid w:val="00C34D37"/>
    <w:rsid w:val="00C3592F"/>
    <w:rsid w:val="00C361BA"/>
    <w:rsid w:val="00C36564"/>
    <w:rsid w:val="00C3669C"/>
    <w:rsid w:val="00C368F9"/>
    <w:rsid w:val="00C3692F"/>
    <w:rsid w:val="00C371DB"/>
    <w:rsid w:val="00C376B0"/>
    <w:rsid w:val="00C37B4D"/>
    <w:rsid w:val="00C37B95"/>
    <w:rsid w:val="00C37D2C"/>
    <w:rsid w:val="00C40A57"/>
    <w:rsid w:val="00C40AA7"/>
    <w:rsid w:val="00C40C57"/>
    <w:rsid w:val="00C40EA5"/>
    <w:rsid w:val="00C41052"/>
    <w:rsid w:val="00C4157E"/>
    <w:rsid w:val="00C42DDD"/>
    <w:rsid w:val="00C42E3D"/>
    <w:rsid w:val="00C42F99"/>
    <w:rsid w:val="00C43288"/>
    <w:rsid w:val="00C44673"/>
    <w:rsid w:val="00C450BF"/>
    <w:rsid w:val="00C451AE"/>
    <w:rsid w:val="00C455B8"/>
    <w:rsid w:val="00C45E74"/>
    <w:rsid w:val="00C462C4"/>
    <w:rsid w:val="00C463A8"/>
    <w:rsid w:val="00C464C3"/>
    <w:rsid w:val="00C465F0"/>
    <w:rsid w:val="00C469D0"/>
    <w:rsid w:val="00C46D9C"/>
    <w:rsid w:val="00C4700B"/>
    <w:rsid w:val="00C47AE2"/>
    <w:rsid w:val="00C504A1"/>
    <w:rsid w:val="00C50DE8"/>
    <w:rsid w:val="00C50EEE"/>
    <w:rsid w:val="00C515AB"/>
    <w:rsid w:val="00C51A04"/>
    <w:rsid w:val="00C51D6D"/>
    <w:rsid w:val="00C531B4"/>
    <w:rsid w:val="00C532B4"/>
    <w:rsid w:val="00C536AD"/>
    <w:rsid w:val="00C539E0"/>
    <w:rsid w:val="00C540AB"/>
    <w:rsid w:val="00C541DD"/>
    <w:rsid w:val="00C54328"/>
    <w:rsid w:val="00C54708"/>
    <w:rsid w:val="00C5516D"/>
    <w:rsid w:val="00C55802"/>
    <w:rsid w:val="00C55A06"/>
    <w:rsid w:val="00C56F68"/>
    <w:rsid w:val="00C571A0"/>
    <w:rsid w:val="00C574D6"/>
    <w:rsid w:val="00C57A04"/>
    <w:rsid w:val="00C604AB"/>
    <w:rsid w:val="00C607A3"/>
    <w:rsid w:val="00C60BD6"/>
    <w:rsid w:val="00C60C39"/>
    <w:rsid w:val="00C60FA0"/>
    <w:rsid w:val="00C6129D"/>
    <w:rsid w:val="00C6165E"/>
    <w:rsid w:val="00C618D6"/>
    <w:rsid w:val="00C6196A"/>
    <w:rsid w:val="00C61C40"/>
    <w:rsid w:val="00C622FF"/>
    <w:rsid w:val="00C62AC7"/>
    <w:rsid w:val="00C62B37"/>
    <w:rsid w:val="00C630A0"/>
    <w:rsid w:val="00C6341F"/>
    <w:rsid w:val="00C63678"/>
    <w:rsid w:val="00C63706"/>
    <w:rsid w:val="00C637C5"/>
    <w:rsid w:val="00C639A2"/>
    <w:rsid w:val="00C63CD6"/>
    <w:rsid w:val="00C6433A"/>
    <w:rsid w:val="00C64A26"/>
    <w:rsid w:val="00C64B21"/>
    <w:rsid w:val="00C650B9"/>
    <w:rsid w:val="00C65125"/>
    <w:rsid w:val="00C65F70"/>
    <w:rsid w:val="00C65FDA"/>
    <w:rsid w:val="00C66103"/>
    <w:rsid w:val="00C663BE"/>
    <w:rsid w:val="00C664FB"/>
    <w:rsid w:val="00C667EE"/>
    <w:rsid w:val="00C66EE1"/>
    <w:rsid w:val="00C674F2"/>
    <w:rsid w:val="00C67722"/>
    <w:rsid w:val="00C67769"/>
    <w:rsid w:val="00C702A0"/>
    <w:rsid w:val="00C70587"/>
    <w:rsid w:val="00C70AFC"/>
    <w:rsid w:val="00C71301"/>
    <w:rsid w:val="00C71961"/>
    <w:rsid w:val="00C719AA"/>
    <w:rsid w:val="00C729A9"/>
    <w:rsid w:val="00C732C5"/>
    <w:rsid w:val="00C7450D"/>
    <w:rsid w:val="00C74734"/>
    <w:rsid w:val="00C748A2"/>
    <w:rsid w:val="00C749EE"/>
    <w:rsid w:val="00C74EF9"/>
    <w:rsid w:val="00C75E43"/>
    <w:rsid w:val="00C75FD4"/>
    <w:rsid w:val="00C764D9"/>
    <w:rsid w:val="00C767E9"/>
    <w:rsid w:val="00C76CB1"/>
    <w:rsid w:val="00C76E52"/>
    <w:rsid w:val="00C77332"/>
    <w:rsid w:val="00C777F5"/>
    <w:rsid w:val="00C77910"/>
    <w:rsid w:val="00C77A3D"/>
    <w:rsid w:val="00C77A86"/>
    <w:rsid w:val="00C8077B"/>
    <w:rsid w:val="00C808BD"/>
    <w:rsid w:val="00C818BA"/>
    <w:rsid w:val="00C82306"/>
    <w:rsid w:val="00C82512"/>
    <w:rsid w:val="00C8282C"/>
    <w:rsid w:val="00C82C93"/>
    <w:rsid w:val="00C82E7E"/>
    <w:rsid w:val="00C82EA2"/>
    <w:rsid w:val="00C832FB"/>
    <w:rsid w:val="00C83574"/>
    <w:rsid w:val="00C8387D"/>
    <w:rsid w:val="00C838CC"/>
    <w:rsid w:val="00C83B31"/>
    <w:rsid w:val="00C83CDA"/>
    <w:rsid w:val="00C83DBE"/>
    <w:rsid w:val="00C83F85"/>
    <w:rsid w:val="00C8428E"/>
    <w:rsid w:val="00C843DE"/>
    <w:rsid w:val="00C84B9F"/>
    <w:rsid w:val="00C84D87"/>
    <w:rsid w:val="00C84DD3"/>
    <w:rsid w:val="00C850EA"/>
    <w:rsid w:val="00C8534A"/>
    <w:rsid w:val="00C85848"/>
    <w:rsid w:val="00C85C44"/>
    <w:rsid w:val="00C85CF2"/>
    <w:rsid w:val="00C85F86"/>
    <w:rsid w:val="00C861E0"/>
    <w:rsid w:val="00C863B6"/>
    <w:rsid w:val="00C86525"/>
    <w:rsid w:val="00C866C1"/>
    <w:rsid w:val="00C8682F"/>
    <w:rsid w:val="00C86ACA"/>
    <w:rsid w:val="00C87041"/>
    <w:rsid w:val="00C871BB"/>
    <w:rsid w:val="00C87AB8"/>
    <w:rsid w:val="00C904EA"/>
    <w:rsid w:val="00C90731"/>
    <w:rsid w:val="00C912F6"/>
    <w:rsid w:val="00C92241"/>
    <w:rsid w:val="00C923B3"/>
    <w:rsid w:val="00C92441"/>
    <w:rsid w:val="00C924C8"/>
    <w:rsid w:val="00C92534"/>
    <w:rsid w:val="00C931F5"/>
    <w:rsid w:val="00C93225"/>
    <w:rsid w:val="00C932AC"/>
    <w:rsid w:val="00C93382"/>
    <w:rsid w:val="00C939FC"/>
    <w:rsid w:val="00C93BB7"/>
    <w:rsid w:val="00C93C65"/>
    <w:rsid w:val="00C93D61"/>
    <w:rsid w:val="00C93E09"/>
    <w:rsid w:val="00C941BD"/>
    <w:rsid w:val="00C94577"/>
    <w:rsid w:val="00C95196"/>
    <w:rsid w:val="00C951DE"/>
    <w:rsid w:val="00C958FC"/>
    <w:rsid w:val="00C9590D"/>
    <w:rsid w:val="00C9621B"/>
    <w:rsid w:val="00C966A4"/>
    <w:rsid w:val="00C96849"/>
    <w:rsid w:val="00C96E4C"/>
    <w:rsid w:val="00C9741F"/>
    <w:rsid w:val="00C9762D"/>
    <w:rsid w:val="00C991A3"/>
    <w:rsid w:val="00CA05C7"/>
    <w:rsid w:val="00CA0658"/>
    <w:rsid w:val="00CA0A2E"/>
    <w:rsid w:val="00CA0A6A"/>
    <w:rsid w:val="00CA0AA4"/>
    <w:rsid w:val="00CA1819"/>
    <w:rsid w:val="00CA20DA"/>
    <w:rsid w:val="00CA4280"/>
    <w:rsid w:val="00CA46C1"/>
    <w:rsid w:val="00CA4D75"/>
    <w:rsid w:val="00CA5E2B"/>
    <w:rsid w:val="00CA6053"/>
    <w:rsid w:val="00CA62D2"/>
    <w:rsid w:val="00CA6B8F"/>
    <w:rsid w:val="00CA78EB"/>
    <w:rsid w:val="00CA7A51"/>
    <w:rsid w:val="00CA7B98"/>
    <w:rsid w:val="00CB06BE"/>
    <w:rsid w:val="00CB0EB8"/>
    <w:rsid w:val="00CB0EEA"/>
    <w:rsid w:val="00CB0F69"/>
    <w:rsid w:val="00CB1601"/>
    <w:rsid w:val="00CB19EB"/>
    <w:rsid w:val="00CB2DCF"/>
    <w:rsid w:val="00CB4021"/>
    <w:rsid w:val="00CB4145"/>
    <w:rsid w:val="00CB4909"/>
    <w:rsid w:val="00CB4D13"/>
    <w:rsid w:val="00CB54D7"/>
    <w:rsid w:val="00CB584F"/>
    <w:rsid w:val="00CB5944"/>
    <w:rsid w:val="00CB5D29"/>
    <w:rsid w:val="00CB5DBE"/>
    <w:rsid w:val="00CB672F"/>
    <w:rsid w:val="00CB67BB"/>
    <w:rsid w:val="00CB6A72"/>
    <w:rsid w:val="00CB6B90"/>
    <w:rsid w:val="00CB6CC0"/>
    <w:rsid w:val="00CB6F17"/>
    <w:rsid w:val="00CB71E5"/>
    <w:rsid w:val="00CB74C4"/>
    <w:rsid w:val="00CB7969"/>
    <w:rsid w:val="00CB7B88"/>
    <w:rsid w:val="00CB7D84"/>
    <w:rsid w:val="00CC17EC"/>
    <w:rsid w:val="00CC17F9"/>
    <w:rsid w:val="00CC1F92"/>
    <w:rsid w:val="00CC1FAA"/>
    <w:rsid w:val="00CC22A4"/>
    <w:rsid w:val="00CC269F"/>
    <w:rsid w:val="00CC287D"/>
    <w:rsid w:val="00CC293D"/>
    <w:rsid w:val="00CC2D75"/>
    <w:rsid w:val="00CC335D"/>
    <w:rsid w:val="00CC3E5F"/>
    <w:rsid w:val="00CC3F06"/>
    <w:rsid w:val="00CC445C"/>
    <w:rsid w:val="00CC488D"/>
    <w:rsid w:val="00CC4A52"/>
    <w:rsid w:val="00CC51B5"/>
    <w:rsid w:val="00CC51D4"/>
    <w:rsid w:val="00CC6885"/>
    <w:rsid w:val="00CC70A2"/>
    <w:rsid w:val="00CC7962"/>
    <w:rsid w:val="00CC7991"/>
    <w:rsid w:val="00CC7BA4"/>
    <w:rsid w:val="00CC7E61"/>
    <w:rsid w:val="00CD0370"/>
    <w:rsid w:val="00CD07C2"/>
    <w:rsid w:val="00CD0940"/>
    <w:rsid w:val="00CD0954"/>
    <w:rsid w:val="00CD152D"/>
    <w:rsid w:val="00CD197A"/>
    <w:rsid w:val="00CD1D94"/>
    <w:rsid w:val="00CD2423"/>
    <w:rsid w:val="00CD244C"/>
    <w:rsid w:val="00CD2701"/>
    <w:rsid w:val="00CD27AD"/>
    <w:rsid w:val="00CD2B6B"/>
    <w:rsid w:val="00CD30A4"/>
    <w:rsid w:val="00CD35C4"/>
    <w:rsid w:val="00CD372F"/>
    <w:rsid w:val="00CD3F86"/>
    <w:rsid w:val="00CD4514"/>
    <w:rsid w:val="00CD4D11"/>
    <w:rsid w:val="00CD531F"/>
    <w:rsid w:val="00CD571C"/>
    <w:rsid w:val="00CD5BA1"/>
    <w:rsid w:val="00CD6984"/>
    <w:rsid w:val="00CD75E5"/>
    <w:rsid w:val="00CD7663"/>
    <w:rsid w:val="00CD7C24"/>
    <w:rsid w:val="00CE12C9"/>
    <w:rsid w:val="00CE15A4"/>
    <w:rsid w:val="00CE16E4"/>
    <w:rsid w:val="00CE1B3B"/>
    <w:rsid w:val="00CE1B4E"/>
    <w:rsid w:val="00CE1C1E"/>
    <w:rsid w:val="00CE1FAD"/>
    <w:rsid w:val="00CE20F0"/>
    <w:rsid w:val="00CE2B1C"/>
    <w:rsid w:val="00CE3341"/>
    <w:rsid w:val="00CE358B"/>
    <w:rsid w:val="00CE3B09"/>
    <w:rsid w:val="00CE4612"/>
    <w:rsid w:val="00CE4E2E"/>
    <w:rsid w:val="00CE4FC2"/>
    <w:rsid w:val="00CE5300"/>
    <w:rsid w:val="00CE549E"/>
    <w:rsid w:val="00CE5AED"/>
    <w:rsid w:val="00CE5FFC"/>
    <w:rsid w:val="00CE6408"/>
    <w:rsid w:val="00CE75AE"/>
    <w:rsid w:val="00CE7653"/>
    <w:rsid w:val="00CE7BB7"/>
    <w:rsid w:val="00CE7D23"/>
    <w:rsid w:val="00CF0A10"/>
    <w:rsid w:val="00CF0A55"/>
    <w:rsid w:val="00CF0B1F"/>
    <w:rsid w:val="00CF1581"/>
    <w:rsid w:val="00CF15A0"/>
    <w:rsid w:val="00CF1974"/>
    <w:rsid w:val="00CF1EDD"/>
    <w:rsid w:val="00CF21C2"/>
    <w:rsid w:val="00CF25A0"/>
    <w:rsid w:val="00CF3160"/>
    <w:rsid w:val="00CF330B"/>
    <w:rsid w:val="00CF3417"/>
    <w:rsid w:val="00CF3584"/>
    <w:rsid w:val="00CF3906"/>
    <w:rsid w:val="00CF422C"/>
    <w:rsid w:val="00CF4841"/>
    <w:rsid w:val="00CF4B4F"/>
    <w:rsid w:val="00CF54ED"/>
    <w:rsid w:val="00CF66A0"/>
    <w:rsid w:val="00CF69E1"/>
    <w:rsid w:val="00CF6B27"/>
    <w:rsid w:val="00CF6DD8"/>
    <w:rsid w:val="00CF6F5F"/>
    <w:rsid w:val="00CF71D3"/>
    <w:rsid w:val="00CF767D"/>
    <w:rsid w:val="00CF7F9F"/>
    <w:rsid w:val="00D00287"/>
    <w:rsid w:val="00D013C4"/>
    <w:rsid w:val="00D01454"/>
    <w:rsid w:val="00D01721"/>
    <w:rsid w:val="00D0183A"/>
    <w:rsid w:val="00D0199E"/>
    <w:rsid w:val="00D01B65"/>
    <w:rsid w:val="00D02A9A"/>
    <w:rsid w:val="00D02AD1"/>
    <w:rsid w:val="00D02FBB"/>
    <w:rsid w:val="00D031AD"/>
    <w:rsid w:val="00D0326C"/>
    <w:rsid w:val="00D038AF"/>
    <w:rsid w:val="00D0394F"/>
    <w:rsid w:val="00D03F73"/>
    <w:rsid w:val="00D03FB7"/>
    <w:rsid w:val="00D04202"/>
    <w:rsid w:val="00D04724"/>
    <w:rsid w:val="00D05207"/>
    <w:rsid w:val="00D05C20"/>
    <w:rsid w:val="00D06034"/>
    <w:rsid w:val="00D061B4"/>
    <w:rsid w:val="00D067A1"/>
    <w:rsid w:val="00D06AFD"/>
    <w:rsid w:val="00D06EE6"/>
    <w:rsid w:val="00D07954"/>
    <w:rsid w:val="00D07C71"/>
    <w:rsid w:val="00D07D57"/>
    <w:rsid w:val="00D1014E"/>
    <w:rsid w:val="00D101CC"/>
    <w:rsid w:val="00D10426"/>
    <w:rsid w:val="00D10AA7"/>
    <w:rsid w:val="00D10F42"/>
    <w:rsid w:val="00D1118F"/>
    <w:rsid w:val="00D123E6"/>
    <w:rsid w:val="00D12436"/>
    <w:rsid w:val="00D1267A"/>
    <w:rsid w:val="00D12955"/>
    <w:rsid w:val="00D13875"/>
    <w:rsid w:val="00D13B9A"/>
    <w:rsid w:val="00D13DAC"/>
    <w:rsid w:val="00D14C06"/>
    <w:rsid w:val="00D14DC5"/>
    <w:rsid w:val="00D14FBD"/>
    <w:rsid w:val="00D15120"/>
    <w:rsid w:val="00D152F6"/>
    <w:rsid w:val="00D15337"/>
    <w:rsid w:val="00D15398"/>
    <w:rsid w:val="00D156D8"/>
    <w:rsid w:val="00D15A78"/>
    <w:rsid w:val="00D16F24"/>
    <w:rsid w:val="00D1743A"/>
    <w:rsid w:val="00D17535"/>
    <w:rsid w:val="00D17AFF"/>
    <w:rsid w:val="00D17C28"/>
    <w:rsid w:val="00D2026C"/>
    <w:rsid w:val="00D215FF"/>
    <w:rsid w:val="00D2173A"/>
    <w:rsid w:val="00D217D7"/>
    <w:rsid w:val="00D21DC0"/>
    <w:rsid w:val="00D21EBB"/>
    <w:rsid w:val="00D22092"/>
    <w:rsid w:val="00D22407"/>
    <w:rsid w:val="00D227B2"/>
    <w:rsid w:val="00D2345F"/>
    <w:rsid w:val="00D2393D"/>
    <w:rsid w:val="00D23BEF"/>
    <w:rsid w:val="00D23C42"/>
    <w:rsid w:val="00D23E64"/>
    <w:rsid w:val="00D24583"/>
    <w:rsid w:val="00D24B57"/>
    <w:rsid w:val="00D24D0F"/>
    <w:rsid w:val="00D24D78"/>
    <w:rsid w:val="00D25006"/>
    <w:rsid w:val="00D25625"/>
    <w:rsid w:val="00D25F21"/>
    <w:rsid w:val="00D25F66"/>
    <w:rsid w:val="00D2621B"/>
    <w:rsid w:val="00D27044"/>
    <w:rsid w:val="00D27971"/>
    <w:rsid w:val="00D30FB3"/>
    <w:rsid w:val="00D31147"/>
    <w:rsid w:val="00D3124B"/>
    <w:rsid w:val="00D313B6"/>
    <w:rsid w:val="00D317E8"/>
    <w:rsid w:val="00D31CC7"/>
    <w:rsid w:val="00D326CF"/>
    <w:rsid w:val="00D32ACB"/>
    <w:rsid w:val="00D3317F"/>
    <w:rsid w:val="00D3343F"/>
    <w:rsid w:val="00D3499D"/>
    <w:rsid w:val="00D34D8A"/>
    <w:rsid w:val="00D35040"/>
    <w:rsid w:val="00D36358"/>
    <w:rsid w:val="00D36616"/>
    <w:rsid w:val="00D3715F"/>
    <w:rsid w:val="00D3799D"/>
    <w:rsid w:val="00D37C53"/>
    <w:rsid w:val="00D4022A"/>
    <w:rsid w:val="00D402DC"/>
    <w:rsid w:val="00D40719"/>
    <w:rsid w:val="00D4097A"/>
    <w:rsid w:val="00D40B3A"/>
    <w:rsid w:val="00D40BE6"/>
    <w:rsid w:val="00D40E99"/>
    <w:rsid w:val="00D417DB"/>
    <w:rsid w:val="00D41BD3"/>
    <w:rsid w:val="00D41E77"/>
    <w:rsid w:val="00D435E4"/>
    <w:rsid w:val="00D438DC"/>
    <w:rsid w:val="00D43A91"/>
    <w:rsid w:val="00D441FE"/>
    <w:rsid w:val="00D4461E"/>
    <w:rsid w:val="00D45376"/>
    <w:rsid w:val="00D454F5"/>
    <w:rsid w:val="00D458BE"/>
    <w:rsid w:val="00D459C9"/>
    <w:rsid w:val="00D45EA7"/>
    <w:rsid w:val="00D461FC"/>
    <w:rsid w:val="00D46326"/>
    <w:rsid w:val="00D4787A"/>
    <w:rsid w:val="00D50052"/>
    <w:rsid w:val="00D500C7"/>
    <w:rsid w:val="00D5053B"/>
    <w:rsid w:val="00D50823"/>
    <w:rsid w:val="00D51406"/>
    <w:rsid w:val="00D51498"/>
    <w:rsid w:val="00D515F1"/>
    <w:rsid w:val="00D5175D"/>
    <w:rsid w:val="00D5231A"/>
    <w:rsid w:val="00D52355"/>
    <w:rsid w:val="00D526C9"/>
    <w:rsid w:val="00D529DE"/>
    <w:rsid w:val="00D52B04"/>
    <w:rsid w:val="00D52D79"/>
    <w:rsid w:val="00D52D82"/>
    <w:rsid w:val="00D537C7"/>
    <w:rsid w:val="00D53C98"/>
    <w:rsid w:val="00D53D1C"/>
    <w:rsid w:val="00D54205"/>
    <w:rsid w:val="00D5469D"/>
    <w:rsid w:val="00D54AFD"/>
    <w:rsid w:val="00D54FFC"/>
    <w:rsid w:val="00D55493"/>
    <w:rsid w:val="00D555B7"/>
    <w:rsid w:val="00D55725"/>
    <w:rsid w:val="00D557D4"/>
    <w:rsid w:val="00D560E6"/>
    <w:rsid w:val="00D56509"/>
    <w:rsid w:val="00D565EE"/>
    <w:rsid w:val="00D56695"/>
    <w:rsid w:val="00D56F88"/>
    <w:rsid w:val="00D60046"/>
    <w:rsid w:val="00D60082"/>
    <w:rsid w:val="00D60123"/>
    <w:rsid w:val="00D601A4"/>
    <w:rsid w:val="00D612A5"/>
    <w:rsid w:val="00D62313"/>
    <w:rsid w:val="00D62835"/>
    <w:rsid w:val="00D632F9"/>
    <w:rsid w:val="00D63F80"/>
    <w:rsid w:val="00D6413E"/>
    <w:rsid w:val="00D656ED"/>
    <w:rsid w:val="00D659A8"/>
    <w:rsid w:val="00D65C08"/>
    <w:rsid w:val="00D662AD"/>
    <w:rsid w:val="00D66826"/>
    <w:rsid w:val="00D66DEE"/>
    <w:rsid w:val="00D670D1"/>
    <w:rsid w:val="00D674C7"/>
    <w:rsid w:val="00D701E7"/>
    <w:rsid w:val="00D70221"/>
    <w:rsid w:val="00D704CB"/>
    <w:rsid w:val="00D70981"/>
    <w:rsid w:val="00D709FF"/>
    <w:rsid w:val="00D7153A"/>
    <w:rsid w:val="00D71DD6"/>
    <w:rsid w:val="00D71FAD"/>
    <w:rsid w:val="00D720D2"/>
    <w:rsid w:val="00D72224"/>
    <w:rsid w:val="00D723E4"/>
    <w:rsid w:val="00D73105"/>
    <w:rsid w:val="00D733F2"/>
    <w:rsid w:val="00D73DF2"/>
    <w:rsid w:val="00D74694"/>
    <w:rsid w:val="00D74C6E"/>
    <w:rsid w:val="00D753E2"/>
    <w:rsid w:val="00D75474"/>
    <w:rsid w:val="00D75740"/>
    <w:rsid w:val="00D757FC"/>
    <w:rsid w:val="00D75AA6"/>
    <w:rsid w:val="00D75B24"/>
    <w:rsid w:val="00D7668A"/>
    <w:rsid w:val="00D76816"/>
    <w:rsid w:val="00D7681D"/>
    <w:rsid w:val="00D76BB6"/>
    <w:rsid w:val="00D771AE"/>
    <w:rsid w:val="00D772CE"/>
    <w:rsid w:val="00D7750B"/>
    <w:rsid w:val="00D775BD"/>
    <w:rsid w:val="00D77863"/>
    <w:rsid w:val="00D77D96"/>
    <w:rsid w:val="00D77F6E"/>
    <w:rsid w:val="00D801F5"/>
    <w:rsid w:val="00D8083C"/>
    <w:rsid w:val="00D80969"/>
    <w:rsid w:val="00D80A30"/>
    <w:rsid w:val="00D81907"/>
    <w:rsid w:val="00D82458"/>
    <w:rsid w:val="00D826EF"/>
    <w:rsid w:val="00D82A15"/>
    <w:rsid w:val="00D831C0"/>
    <w:rsid w:val="00D843E7"/>
    <w:rsid w:val="00D846D1"/>
    <w:rsid w:val="00D853AC"/>
    <w:rsid w:val="00D8547E"/>
    <w:rsid w:val="00D85557"/>
    <w:rsid w:val="00D85D6E"/>
    <w:rsid w:val="00D86099"/>
    <w:rsid w:val="00D86227"/>
    <w:rsid w:val="00D86A19"/>
    <w:rsid w:val="00D86C93"/>
    <w:rsid w:val="00D8794A"/>
    <w:rsid w:val="00D87BFB"/>
    <w:rsid w:val="00D9057A"/>
    <w:rsid w:val="00D905A3"/>
    <w:rsid w:val="00D90643"/>
    <w:rsid w:val="00D906D7"/>
    <w:rsid w:val="00D9091B"/>
    <w:rsid w:val="00D90C77"/>
    <w:rsid w:val="00D90DB9"/>
    <w:rsid w:val="00D90E3D"/>
    <w:rsid w:val="00D91790"/>
    <w:rsid w:val="00D917D7"/>
    <w:rsid w:val="00D9183A"/>
    <w:rsid w:val="00D91A2D"/>
    <w:rsid w:val="00D91F6C"/>
    <w:rsid w:val="00D92EC7"/>
    <w:rsid w:val="00D93849"/>
    <w:rsid w:val="00D93DA8"/>
    <w:rsid w:val="00D93EDB"/>
    <w:rsid w:val="00D93F7D"/>
    <w:rsid w:val="00D9437D"/>
    <w:rsid w:val="00D94A81"/>
    <w:rsid w:val="00D95250"/>
    <w:rsid w:val="00D953F8"/>
    <w:rsid w:val="00D95467"/>
    <w:rsid w:val="00D956E4"/>
    <w:rsid w:val="00D9685F"/>
    <w:rsid w:val="00D968D8"/>
    <w:rsid w:val="00D9696C"/>
    <w:rsid w:val="00D96AFA"/>
    <w:rsid w:val="00D96D3D"/>
    <w:rsid w:val="00D96F3B"/>
    <w:rsid w:val="00D96F7D"/>
    <w:rsid w:val="00D973AA"/>
    <w:rsid w:val="00D973B2"/>
    <w:rsid w:val="00DA02B0"/>
    <w:rsid w:val="00DA0495"/>
    <w:rsid w:val="00DA04FD"/>
    <w:rsid w:val="00DA07A4"/>
    <w:rsid w:val="00DA0CB5"/>
    <w:rsid w:val="00DA1110"/>
    <w:rsid w:val="00DA111E"/>
    <w:rsid w:val="00DA1481"/>
    <w:rsid w:val="00DA175B"/>
    <w:rsid w:val="00DA180D"/>
    <w:rsid w:val="00DA1F4F"/>
    <w:rsid w:val="00DA2490"/>
    <w:rsid w:val="00DA2557"/>
    <w:rsid w:val="00DA2645"/>
    <w:rsid w:val="00DA2724"/>
    <w:rsid w:val="00DA2865"/>
    <w:rsid w:val="00DA2D4F"/>
    <w:rsid w:val="00DA2F04"/>
    <w:rsid w:val="00DA2FCD"/>
    <w:rsid w:val="00DA33B4"/>
    <w:rsid w:val="00DA3585"/>
    <w:rsid w:val="00DA35D1"/>
    <w:rsid w:val="00DA36C4"/>
    <w:rsid w:val="00DA3EB9"/>
    <w:rsid w:val="00DA476C"/>
    <w:rsid w:val="00DA513E"/>
    <w:rsid w:val="00DA5926"/>
    <w:rsid w:val="00DA5AC6"/>
    <w:rsid w:val="00DA625D"/>
    <w:rsid w:val="00DA68C5"/>
    <w:rsid w:val="00DA7C1A"/>
    <w:rsid w:val="00DA7F35"/>
    <w:rsid w:val="00DB00CB"/>
    <w:rsid w:val="00DB0480"/>
    <w:rsid w:val="00DB04F1"/>
    <w:rsid w:val="00DB0B1F"/>
    <w:rsid w:val="00DB11B4"/>
    <w:rsid w:val="00DB1628"/>
    <w:rsid w:val="00DB172F"/>
    <w:rsid w:val="00DB17AE"/>
    <w:rsid w:val="00DB182D"/>
    <w:rsid w:val="00DB1BBD"/>
    <w:rsid w:val="00DB1EDE"/>
    <w:rsid w:val="00DB211C"/>
    <w:rsid w:val="00DB222C"/>
    <w:rsid w:val="00DB2378"/>
    <w:rsid w:val="00DB2A7C"/>
    <w:rsid w:val="00DB3177"/>
    <w:rsid w:val="00DB36DC"/>
    <w:rsid w:val="00DB3B38"/>
    <w:rsid w:val="00DB3CA7"/>
    <w:rsid w:val="00DB421B"/>
    <w:rsid w:val="00DB48F0"/>
    <w:rsid w:val="00DB51AA"/>
    <w:rsid w:val="00DB6A77"/>
    <w:rsid w:val="00DB6DD1"/>
    <w:rsid w:val="00DB7996"/>
    <w:rsid w:val="00DB7CEE"/>
    <w:rsid w:val="00DB7E6E"/>
    <w:rsid w:val="00DC00D0"/>
    <w:rsid w:val="00DC0306"/>
    <w:rsid w:val="00DC0A61"/>
    <w:rsid w:val="00DC14D8"/>
    <w:rsid w:val="00DC1A6E"/>
    <w:rsid w:val="00DC1AB3"/>
    <w:rsid w:val="00DC1B49"/>
    <w:rsid w:val="00DC1BC9"/>
    <w:rsid w:val="00DC2247"/>
    <w:rsid w:val="00DC226F"/>
    <w:rsid w:val="00DC23E5"/>
    <w:rsid w:val="00DC29B8"/>
    <w:rsid w:val="00DC370A"/>
    <w:rsid w:val="00DC39D1"/>
    <w:rsid w:val="00DC4739"/>
    <w:rsid w:val="00DC4B6E"/>
    <w:rsid w:val="00DC530D"/>
    <w:rsid w:val="00DC5573"/>
    <w:rsid w:val="00DC59E8"/>
    <w:rsid w:val="00DC5E0A"/>
    <w:rsid w:val="00DC5EEF"/>
    <w:rsid w:val="00DC65B7"/>
    <w:rsid w:val="00DC6657"/>
    <w:rsid w:val="00DC6A22"/>
    <w:rsid w:val="00DC7484"/>
    <w:rsid w:val="00DC7D99"/>
    <w:rsid w:val="00DC7F08"/>
    <w:rsid w:val="00DC7F68"/>
    <w:rsid w:val="00DD0813"/>
    <w:rsid w:val="00DD0932"/>
    <w:rsid w:val="00DD1D1E"/>
    <w:rsid w:val="00DD2044"/>
    <w:rsid w:val="00DD26D8"/>
    <w:rsid w:val="00DD2867"/>
    <w:rsid w:val="00DD292A"/>
    <w:rsid w:val="00DD3379"/>
    <w:rsid w:val="00DD3786"/>
    <w:rsid w:val="00DD3C07"/>
    <w:rsid w:val="00DD3F0D"/>
    <w:rsid w:val="00DD42F9"/>
    <w:rsid w:val="00DD4787"/>
    <w:rsid w:val="00DD531E"/>
    <w:rsid w:val="00DD5519"/>
    <w:rsid w:val="00DD560F"/>
    <w:rsid w:val="00DD5D1A"/>
    <w:rsid w:val="00DD64E0"/>
    <w:rsid w:val="00DD68E4"/>
    <w:rsid w:val="00DD69D2"/>
    <w:rsid w:val="00DD6FA0"/>
    <w:rsid w:val="00DD742B"/>
    <w:rsid w:val="00DD7EB3"/>
    <w:rsid w:val="00DD7FD8"/>
    <w:rsid w:val="00DE036A"/>
    <w:rsid w:val="00DE05C1"/>
    <w:rsid w:val="00DE0CE3"/>
    <w:rsid w:val="00DE0F97"/>
    <w:rsid w:val="00DE12A8"/>
    <w:rsid w:val="00DE1A83"/>
    <w:rsid w:val="00DE2040"/>
    <w:rsid w:val="00DE2099"/>
    <w:rsid w:val="00DE28CC"/>
    <w:rsid w:val="00DE3A58"/>
    <w:rsid w:val="00DE3C49"/>
    <w:rsid w:val="00DE475B"/>
    <w:rsid w:val="00DE48C8"/>
    <w:rsid w:val="00DE497F"/>
    <w:rsid w:val="00DE4C58"/>
    <w:rsid w:val="00DE5F98"/>
    <w:rsid w:val="00DE61CE"/>
    <w:rsid w:val="00DE68DA"/>
    <w:rsid w:val="00DE6E32"/>
    <w:rsid w:val="00DE70F3"/>
    <w:rsid w:val="00DE7214"/>
    <w:rsid w:val="00DE7C9B"/>
    <w:rsid w:val="00DE7CE8"/>
    <w:rsid w:val="00DF0668"/>
    <w:rsid w:val="00DF0BC8"/>
    <w:rsid w:val="00DF1995"/>
    <w:rsid w:val="00DF1BBC"/>
    <w:rsid w:val="00DF1C0A"/>
    <w:rsid w:val="00DF2BD9"/>
    <w:rsid w:val="00DF2F1C"/>
    <w:rsid w:val="00DF2FC8"/>
    <w:rsid w:val="00DF3025"/>
    <w:rsid w:val="00DF3119"/>
    <w:rsid w:val="00DF3C46"/>
    <w:rsid w:val="00DF3CD3"/>
    <w:rsid w:val="00DF4035"/>
    <w:rsid w:val="00DF4179"/>
    <w:rsid w:val="00DF41C8"/>
    <w:rsid w:val="00DF42C1"/>
    <w:rsid w:val="00DF4BC2"/>
    <w:rsid w:val="00DF4CBA"/>
    <w:rsid w:val="00DF4D68"/>
    <w:rsid w:val="00DF51B0"/>
    <w:rsid w:val="00DF51FC"/>
    <w:rsid w:val="00DF52D9"/>
    <w:rsid w:val="00DF549C"/>
    <w:rsid w:val="00DF63E5"/>
    <w:rsid w:val="00DF679D"/>
    <w:rsid w:val="00DF767E"/>
    <w:rsid w:val="00DF7775"/>
    <w:rsid w:val="00DF77B2"/>
    <w:rsid w:val="00DF78CC"/>
    <w:rsid w:val="00DF79B6"/>
    <w:rsid w:val="00DF7E22"/>
    <w:rsid w:val="00DF7E71"/>
    <w:rsid w:val="00DF7F69"/>
    <w:rsid w:val="00E0018B"/>
    <w:rsid w:val="00E009E1"/>
    <w:rsid w:val="00E00C5E"/>
    <w:rsid w:val="00E00CC7"/>
    <w:rsid w:val="00E015BF"/>
    <w:rsid w:val="00E016FA"/>
    <w:rsid w:val="00E019E5"/>
    <w:rsid w:val="00E01F64"/>
    <w:rsid w:val="00E0218B"/>
    <w:rsid w:val="00E026FA"/>
    <w:rsid w:val="00E02A34"/>
    <w:rsid w:val="00E02AA9"/>
    <w:rsid w:val="00E03521"/>
    <w:rsid w:val="00E03848"/>
    <w:rsid w:val="00E04183"/>
    <w:rsid w:val="00E048D0"/>
    <w:rsid w:val="00E0499D"/>
    <w:rsid w:val="00E04A6F"/>
    <w:rsid w:val="00E04E5D"/>
    <w:rsid w:val="00E050A3"/>
    <w:rsid w:val="00E051A4"/>
    <w:rsid w:val="00E05454"/>
    <w:rsid w:val="00E05C61"/>
    <w:rsid w:val="00E05D27"/>
    <w:rsid w:val="00E05E0B"/>
    <w:rsid w:val="00E05E67"/>
    <w:rsid w:val="00E05F5F"/>
    <w:rsid w:val="00E065C1"/>
    <w:rsid w:val="00E06622"/>
    <w:rsid w:val="00E06671"/>
    <w:rsid w:val="00E068A3"/>
    <w:rsid w:val="00E068B8"/>
    <w:rsid w:val="00E077AB"/>
    <w:rsid w:val="00E07814"/>
    <w:rsid w:val="00E07DF0"/>
    <w:rsid w:val="00E07EB7"/>
    <w:rsid w:val="00E1019C"/>
    <w:rsid w:val="00E10738"/>
    <w:rsid w:val="00E10CE2"/>
    <w:rsid w:val="00E10E0E"/>
    <w:rsid w:val="00E11146"/>
    <w:rsid w:val="00E11306"/>
    <w:rsid w:val="00E113A1"/>
    <w:rsid w:val="00E113CE"/>
    <w:rsid w:val="00E114B8"/>
    <w:rsid w:val="00E11597"/>
    <w:rsid w:val="00E11E77"/>
    <w:rsid w:val="00E127E3"/>
    <w:rsid w:val="00E13084"/>
    <w:rsid w:val="00E1317F"/>
    <w:rsid w:val="00E145C6"/>
    <w:rsid w:val="00E1460E"/>
    <w:rsid w:val="00E147C1"/>
    <w:rsid w:val="00E14994"/>
    <w:rsid w:val="00E15180"/>
    <w:rsid w:val="00E151A6"/>
    <w:rsid w:val="00E152FE"/>
    <w:rsid w:val="00E15327"/>
    <w:rsid w:val="00E15B47"/>
    <w:rsid w:val="00E15F09"/>
    <w:rsid w:val="00E1610F"/>
    <w:rsid w:val="00E16989"/>
    <w:rsid w:val="00E16ACE"/>
    <w:rsid w:val="00E17274"/>
    <w:rsid w:val="00E17518"/>
    <w:rsid w:val="00E17550"/>
    <w:rsid w:val="00E177A6"/>
    <w:rsid w:val="00E17F4B"/>
    <w:rsid w:val="00E2071C"/>
    <w:rsid w:val="00E20B58"/>
    <w:rsid w:val="00E20F2A"/>
    <w:rsid w:val="00E21447"/>
    <w:rsid w:val="00E21E2B"/>
    <w:rsid w:val="00E220D4"/>
    <w:rsid w:val="00E22F5C"/>
    <w:rsid w:val="00E239AD"/>
    <w:rsid w:val="00E23DE4"/>
    <w:rsid w:val="00E24362"/>
    <w:rsid w:val="00E2452D"/>
    <w:rsid w:val="00E24C11"/>
    <w:rsid w:val="00E25045"/>
    <w:rsid w:val="00E25819"/>
    <w:rsid w:val="00E25A45"/>
    <w:rsid w:val="00E25AB5"/>
    <w:rsid w:val="00E25DBB"/>
    <w:rsid w:val="00E26134"/>
    <w:rsid w:val="00E261E3"/>
    <w:rsid w:val="00E264A2"/>
    <w:rsid w:val="00E266E7"/>
    <w:rsid w:val="00E26799"/>
    <w:rsid w:val="00E278C8"/>
    <w:rsid w:val="00E278E6"/>
    <w:rsid w:val="00E27965"/>
    <w:rsid w:val="00E27992"/>
    <w:rsid w:val="00E27AE6"/>
    <w:rsid w:val="00E27DA6"/>
    <w:rsid w:val="00E27DCA"/>
    <w:rsid w:val="00E301CD"/>
    <w:rsid w:val="00E302A1"/>
    <w:rsid w:val="00E315F8"/>
    <w:rsid w:val="00E3194F"/>
    <w:rsid w:val="00E3198D"/>
    <w:rsid w:val="00E322E9"/>
    <w:rsid w:val="00E32C1A"/>
    <w:rsid w:val="00E32C68"/>
    <w:rsid w:val="00E32D19"/>
    <w:rsid w:val="00E32E64"/>
    <w:rsid w:val="00E32F78"/>
    <w:rsid w:val="00E34927"/>
    <w:rsid w:val="00E3537C"/>
    <w:rsid w:val="00E35F43"/>
    <w:rsid w:val="00E3600D"/>
    <w:rsid w:val="00E361CE"/>
    <w:rsid w:val="00E3629E"/>
    <w:rsid w:val="00E36AB6"/>
    <w:rsid w:val="00E37050"/>
    <w:rsid w:val="00E371C0"/>
    <w:rsid w:val="00E37499"/>
    <w:rsid w:val="00E37519"/>
    <w:rsid w:val="00E3782A"/>
    <w:rsid w:val="00E378EE"/>
    <w:rsid w:val="00E37A62"/>
    <w:rsid w:val="00E402ED"/>
    <w:rsid w:val="00E4068B"/>
    <w:rsid w:val="00E406BB"/>
    <w:rsid w:val="00E40FCA"/>
    <w:rsid w:val="00E41633"/>
    <w:rsid w:val="00E41ACE"/>
    <w:rsid w:val="00E42467"/>
    <w:rsid w:val="00E4279D"/>
    <w:rsid w:val="00E429E5"/>
    <w:rsid w:val="00E42A86"/>
    <w:rsid w:val="00E439EE"/>
    <w:rsid w:val="00E440DB"/>
    <w:rsid w:val="00E445D8"/>
    <w:rsid w:val="00E44899"/>
    <w:rsid w:val="00E44A53"/>
    <w:rsid w:val="00E44C1D"/>
    <w:rsid w:val="00E450A0"/>
    <w:rsid w:val="00E455D8"/>
    <w:rsid w:val="00E4579F"/>
    <w:rsid w:val="00E45EB0"/>
    <w:rsid w:val="00E45EF1"/>
    <w:rsid w:val="00E46F0C"/>
    <w:rsid w:val="00E4713E"/>
    <w:rsid w:val="00E47489"/>
    <w:rsid w:val="00E476D0"/>
    <w:rsid w:val="00E478A7"/>
    <w:rsid w:val="00E5021E"/>
    <w:rsid w:val="00E5040E"/>
    <w:rsid w:val="00E50AA9"/>
    <w:rsid w:val="00E5107E"/>
    <w:rsid w:val="00E51A22"/>
    <w:rsid w:val="00E51B6A"/>
    <w:rsid w:val="00E51C47"/>
    <w:rsid w:val="00E51D55"/>
    <w:rsid w:val="00E51F1B"/>
    <w:rsid w:val="00E52155"/>
    <w:rsid w:val="00E527C7"/>
    <w:rsid w:val="00E5282D"/>
    <w:rsid w:val="00E529DD"/>
    <w:rsid w:val="00E53289"/>
    <w:rsid w:val="00E53583"/>
    <w:rsid w:val="00E53606"/>
    <w:rsid w:val="00E5411A"/>
    <w:rsid w:val="00E542DB"/>
    <w:rsid w:val="00E549C3"/>
    <w:rsid w:val="00E54A5C"/>
    <w:rsid w:val="00E54E98"/>
    <w:rsid w:val="00E55153"/>
    <w:rsid w:val="00E5549C"/>
    <w:rsid w:val="00E5584C"/>
    <w:rsid w:val="00E55FE5"/>
    <w:rsid w:val="00E560A9"/>
    <w:rsid w:val="00E56141"/>
    <w:rsid w:val="00E56719"/>
    <w:rsid w:val="00E5693F"/>
    <w:rsid w:val="00E56F0D"/>
    <w:rsid w:val="00E56F99"/>
    <w:rsid w:val="00E57249"/>
    <w:rsid w:val="00E5738B"/>
    <w:rsid w:val="00E576A8"/>
    <w:rsid w:val="00E57B5E"/>
    <w:rsid w:val="00E57DC3"/>
    <w:rsid w:val="00E57EFD"/>
    <w:rsid w:val="00E60066"/>
    <w:rsid w:val="00E6009F"/>
    <w:rsid w:val="00E60994"/>
    <w:rsid w:val="00E613C2"/>
    <w:rsid w:val="00E614EC"/>
    <w:rsid w:val="00E6182E"/>
    <w:rsid w:val="00E61ED3"/>
    <w:rsid w:val="00E620BF"/>
    <w:rsid w:val="00E62166"/>
    <w:rsid w:val="00E622B5"/>
    <w:rsid w:val="00E62817"/>
    <w:rsid w:val="00E62E6B"/>
    <w:rsid w:val="00E63225"/>
    <w:rsid w:val="00E634F0"/>
    <w:rsid w:val="00E6369D"/>
    <w:rsid w:val="00E63983"/>
    <w:rsid w:val="00E63CAF"/>
    <w:rsid w:val="00E648F6"/>
    <w:rsid w:val="00E648FC"/>
    <w:rsid w:val="00E64E01"/>
    <w:rsid w:val="00E652E0"/>
    <w:rsid w:val="00E65CD1"/>
    <w:rsid w:val="00E65F93"/>
    <w:rsid w:val="00E66509"/>
    <w:rsid w:val="00E66688"/>
    <w:rsid w:val="00E66697"/>
    <w:rsid w:val="00E66EAB"/>
    <w:rsid w:val="00E66FAE"/>
    <w:rsid w:val="00E6721D"/>
    <w:rsid w:val="00E67314"/>
    <w:rsid w:val="00E673AE"/>
    <w:rsid w:val="00E678E6"/>
    <w:rsid w:val="00E67A7C"/>
    <w:rsid w:val="00E67BA8"/>
    <w:rsid w:val="00E70119"/>
    <w:rsid w:val="00E7062A"/>
    <w:rsid w:val="00E7097B"/>
    <w:rsid w:val="00E70A51"/>
    <w:rsid w:val="00E70C5D"/>
    <w:rsid w:val="00E71B3D"/>
    <w:rsid w:val="00E71D17"/>
    <w:rsid w:val="00E7201B"/>
    <w:rsid w:val="00E72105"/>
    <w:rsid w:val="00E7231C"/>
    <w:rsid w:val="00E7294E"/>
    <w:rsid w:val="00E732BC"/>
    <w:rsid w:val="00E73AB8"/>
    <w:rsid w:val="00E73CC5"/>
    <w:rsid w:val="00E73DAB"/>
    <w:rsid w:val="00E73F75"/>
    <w:rsid w:val="00E74417"/>
    <w:rsid w:val="00E75E0B"/>
    <w:rsid w:val="00E75F6F"/>
    <w:rsid w:val="00E76C7D"/>
    <w:rsid w:val="00E77190"/>
    <w:rsid w:val="00E77307"/>
    <w:rsid w:val="00E773A2"/>
    <w:rsid w:val="00E77A62"/>
    <w:rsid w:val="00E77E9D"/>
    <w:rsid w:val="00E80090"/>
    <w:rsid w:val="00E801FE"/>
    <w:rsid w:val="00E80448"/>
    <w:rsid w:val="00E806E0"/>
    <w:rsid w:val="00E8146D"/>
    <w:rsid w:val="00E81D47"/>
    <w:rsid w:val="00E82246"/>
    <w:rsid w:val="00E825A5"/>
    <w:rsid w:val="00E82D4D"/>
    <w:rsid w:val="00E82EF4"/>
    <w:rsid w:val="00E82F59"/>
    <w:rsid w:val="00E82FF3"/>
    <w:rsid w:val="00E834A6"/>
    <w:rsid w:val="00E83AB0"/>
    <w:rsid w:val="00E83C0F"/>
    <w:rsid w:val="00E84052"/>
    <w:rsid w:val="00E840CA"/>
    <w:rsid w:val="00E842CC"/>
    <w:rsid w:val="00E8444B"/>
    <w:rsid w:val="00E845DE"/>
    <w:rsid w:val="00E84949"/>
    <w:rsid w:val="00E8508E"/>
    <w:rsid w:val="00E851A5"/>
    <w:rsid w:val="00E85AAF"/>
    <w:rsid w:val="00E86FBA"/>
    <w:rsid w:val="00E87375"/>
    <w:rsid w:val="00E87687"/>
    <w:rsid w:val="00E876F0"/>
    <w:rsid w:val="00E87E95"/>
    <w:rsid w:val="00E90194"/>
    <w:rsid w:val="00E901A0"/>
    <w:rsid w:val="00E9021D"/>
    <w:rsid w:val="00E9023F"/>
    <w:rsid w:val="00E90996"/>
    <w:rsid w:val="00E91783"/>
    <w:rsid w:val="00E91DB1"/>
    <w:rsid w:val="00E91F65"/>
    <w:rsid w:val="00E9243D"/>
    <w:rsid w:val="00E926BF"/>
    <w:rsid w:val="00E92AFB"/>
    <w:rsid w:val="00E92EE3"/>
    <w:rsid w:val="00E934DB"/>
    <w:rsid w:val="00E9359C"/>
    <w:rsid w:val="00E93D79"/>
    <w:rsid w:val="00E94725"/>
    <w:rsid w:val="00E94BE8"/>
    <w:rsid w:val="00E94C0F"/>
    <w:rsid w:val="00E94FB2"/>
    <w:rsid w:val="00E953B8"/>
    <w:rsid w:val="00E954CA"/>
    <w:rsid w:val="00E95ED6"/>
    <w:rsid w:val="00E964CF"/>
    <w:rsid w:val="00E96598"/>
    <w:rsid w:val="00E96846"/>
    <w:rsid w:val="00E96A40"/>
    <w:rsid w:val="00E96D32"/>
    <w:rsid w:val="00E96E86"/>
    <w:rsid w:val="00E97895"/>
    <w:rsid w:val="00E97AC4"/>
    <w:rsid w:val="00EA0551"/>
    <w:rsid w:val="00EA05DD"/>
    <w:rsid w:val="00EA06AE"/>
    <w:rsid w:val="00EA0A63"/>
    <w:rsid w:val="00EA0E9D"/>
    <w:rsid w:val="00EA1116"/>
    <w:rsid w:val="00EA1532"/>
    <w:rsid w:val="00EA23ED"/>
    <w:rsid w:val="00EA2CCB"/>
    <w:rsid w:val="00EA358F"/>
    <w:rsid w:val="00EA3982"/>
    <w:rsid w:val="00EA3CA3"/>
    <w:rsid w:val="00EA3D35"/>
    <w:rsid w:val="00EA3F60"/>
    <w:rsid w:val="00EA424E"/>
    <w:rsid w:val="00EA4FCC"/>
    <w:rsid w:val="00EA5251"/>
    <w:rsid w:val="00EA571D"/>
    <w:rsid w:val="00EA5760"/>
    <w:rsid w:val="00EA579C"/>
    <w:rsid w:val="00EA5B0A"/>
    <w:rsid w:val="00EA6374"/>
    <w:rsid w:val="00EA6790"/>
    <w:rsid w:val="00EA67EB"/>
    <w:rsid w:val="00EA68F1"/>
    <w:rsid w:val="00EA6CAA"/>
    <w:rsid w:val="00EA6E45"/>
    <w:rsid w:val="00EA6FFB"/>
    <w:rsid w:val="00EB0118"/>
    <w:rsid w:val="00EB146D"/>
    <w:rsid w:val="00EB1ED3"/>
    <w:rsid w:val="00EB2571"/>
    <w:rsid w:val="00EB2670"/>
    <w:rsid w:val="00EB3129"/>
    <w:rsid w:val="00EB3386"/>
    <w:rsid w:val="00EB36CD"/>
    <w:rsid w:val="00EB3920"/>
    <w:rsid w:val="00EB3C25"/>
    <w:rsid w:val="00EB3D8C"/>
    <w:rsid w:val="00EB44AD"/>
    <w:rsid w:val="00EB49A7"/>
    <w:rsid w:val="00EB4F59"/>
    <w:rsid w:val="00EB57E4"/>
    <w:rsid w:val="00EB5F9F"/>
    <w:rsid w:val="00EB6129"/>
    <w:rsid w:val="00EB61AE"/>
    <w:rsid w:val="00EB6DED"/>
    <w:rsid w:val="00EB73AB"/>
    <w:rsid w:val="00EB7692"/>
    <w:rsid w:val="00EB7824"/>
    <w:rsid w:val="00EB7F4A"/>
    <w:rsid w:val="00EC0117"/>
    <w:rsid w:val="00EC064D"/>
    <w:rsid w:val="00EC074B"/>
    <w:rsid w:val="00EC0C34"/>
    <w:rsid w:val="00EC11FB"/>
    <w:rsid w:val="00EC1348"/>
    <w:rsid w:val="00EC1455"/>
    <w:rsid w:val="00EC1B51"/>
    <w:rsid w:val="00EC1BA8"/>
    <w:rsid w:val="00EC1D8F"/>
    <w:rsid w:val="00EC20DD"/>
    <w:rsid w:val="00EC28B5"/>
    <w:rsid w:val="00EC2ADC"/>
    <w:rsid w:val="00EC2C06"/>
    <w:rsid w:val="00EC3261"/>
    <w:rsid w:val="00EC3753"/>
    <w:rsid w:val="00EC3D54"/>
    <w:rsid w:val="00EC40F7"/>
    <w:rsid w:val="00EC47CD"/>
    <w:rsid w:val="00EC4AE5"/>
    <w:rsid w:val="00EC4D73"/>
    <w:rsid w:val="00EC5612"/>
    <w:rsid w:val="00EC5AAD"/>
    <w:rsid w:val="00EC5DDE"/>
    <w:rsid w:val="00EC68F5"/>
    <w:rsid w:val="00EC6F37"/>
    <w:rsid w:val="00EC781A"/>
    <w:rsid w:val="00EC7A0F"/>
    <w:rsid w:val="00EC7FD9"/>
    <w:rsid w:val="00ED1887"/>
    <w:rsid w:val="00ED1C7B"/>
    <w:rsid w:val="00ED1E01"/>
    <w:rsid w:val="00ED1E97"/>
    <w:rsid w:val="00ED2F83"/>
    <w:rsid w:val="00ED3306"/>
    <w:rsid w:val="00ED346D"/>
    <w:rsid w:val="00ED38D0"/>
    <w:rsid w:val="00ED3A8A"/>
    <w:rsid w:val="00ED3B1D"/>
    <w:rsid w:val="00ED3BDF"/>
    <w:rsid w:val="00ED3CA2"/>
    <w:rsid w:val="00ED3EA6"/>
    <w:rsid w:val="00ED41E0"/>
    <w:rsid w:val="00ED42C7"/>
    <w:rsid w:val="00ED47DF"/>
    <w:rsid w:val="00ED47FE"/>
    <w:rsid w:val="00ED4A18"/>
    <w:rsid w:val="00ED53AF"/>
    <w:rsid w:val="00ED53B1"/>
    <w:rsid w:val="00ED55DB"/>
    <w:rsid w:val="00ED58AA"/>
    <w:rsid w:val="00ED5B87"/>
    <w:rsid w:val="00ED64E6"/>
    <w:rsid w:val="00ED6AF2"/>
    <w:rsid w:val="00ED6DE1"/>
    <w:rsid w:val="00ED7071"/>
    <w:rsid w:val="00ED7203"/>
    <w:rsid w:val="00ED72B0"/>
    <w:rsid w:val="00ED7ECF"/>
    <w:rsid w:val="00EE0727"/>
    <w:rsid w:val="00EE0773"/>
    <w:rsid w:val="00EE0BBD"/>
    <w:rsid w:val="00EE1150"/>
    <w:rsid w:val="00EE11C3"/>
    <w:rsid w:val="00EE14CE"/>
    <w:rsid w:val="00EE1E10"/>
    <w:rsid w:val="00EE1E63"/>
    <w:rsid w:val="00EE2904"/>
    <w:rsid w:val="00EE2B48"/>
    <w:rsid w:val="00EE3C7F"/>
    <w:rsid w:val="00EE3F76"/>
    <w:rsid w:val="00EE430B"/>
    <w:rsid w:val="00EE477D"/>
    <w:rsid w:val="00EE4CA3"/>
    <w:rsid w:val="00EE4DC1"/>
    <w:rsid w:val="00EE565C"/>
    <w:rsid w:val="00EE5906"/>
    <w:rsid w:val="00EE5A62"/>
    <w:rsid w:val="00EE618A"/>
    <w:rsid w:val="00EE63A3"/>
    <w:rsid w:val="00EE6716"/>
    <w:rsid w:val="00EE687C"/>
    <w:rsid w:val="00EE70D1"/>
    <w:rsid w:val="00EE78FA"/>
    <w:rsid w:val="00EE7C4C"/>
    <w:rsid w:val="00EE7FE2"/>
    <w:rsid w:val="00EF03A8"/>
    <w:rsid w:val="00EF03FB"/>
    <w:rsid w:val="00EF04F6"/>
    <w:rsid w:val="00EF0F3B"/>
    <w:rsid w:val="00EF19D0"/>
    <w:rsid w:val="00EF1CD3"/>
    <w:rsid w:val="00EF1FB6"/>
    <w:rsid w:val="00EF205D"/>
    <w:rsid w:val="00EF2456"/>
    <w:rsid w:val="00EF25E7"/>
    <w:rsid w:val="00EF2847"/>
    <w:rsid w:val="00EF285C"/>
    <w:rsid w:val="00EF28D5"/>
    <w:rsid w:val="00EF2E9A"/>
    <w:rsid w:val="00EF3123"/>
    <w:rsid w:val="00EF32BB"/>
    <w:rsid w:val="00EF33E4"/>
    <w:rsid w:val="00EF396A"/>
    <w:rsid w:val="00EF3C1E"/>
    <w:rsid w:val="00EF3E0E"/>
    <w:rsid w:val="00EF400A"/>
    <w:rsid w:val="00EF413D"/>
    <w:rsid w:val="00EF41A2"/>
    <w:rsid w:val="00EF467C"/>
    <w:rsid w:val="00EF4944"/>
    <w:rsid w:val="00EF4A40"/>
    <w:rsid w:val="00EF4C42"/>
    <w:rsid w:val="00EF5D39"/>
    <w:rsid w:val="00EF600C"/>
    <w:rsid w:val="00EF64C2"/>
    <w:rsid w:val="00EF6B22"/>
    <w:rsid w:val="00EF6D49"/>
    <w:rsid w:val="00EF6DB4"/>
    <w:rsid w:val="00EF7372"/>
    <w:rsid w:val="00F0098C"/>
    <w:rsid w:val="00F010D2"/>
    <w:rsid w:val="00F0133C"/>
    <w:rsid w:val="00F01375"/>
    <w:rsid w:val="00F0143F"/>
    <w:rsid w:val="00F01876"/>
    <w:rsid w:val="00F01D06"/>
    <w:rsid w:val="00F02351"/>
    <w:rsid w:val="00F02687"/>
    <w:rsid w:val="00F0276D"/>
    <w:rsid w:val="00F02C51"/>
    <w:rsid w:val="00F033E4"/>
    <w:rsid w:val="00F03587"/>
    <w:rsid w:val="00F03707"/>
    <w:rsid w:val="00F03744"/>
    <w:rsid w:val="00F0383E"/>
    <w:rsid w:val="00F038C4"/>
    <w:rsid w:val="00F03910"/>
    <w:rsid w:val="00F039FD"/>
    <w:rsid w:val="00F03B46"/>
    <w:rsid w:val="00F03B96"/>
    <w:rsid w:val="00F03F8C"/>
    <w:rsid w:val="00F04241"/>
    <w:rsid w:val="00F04534"/>
    <w:rsid w:val="00F04C5F"/>
    <w:rsid w:val="00F05A5C"/>
    <w:rsid w:val="00F05A91"/>
    <w:rsid w:val="00F05B5D"/>
    <w:rsid w:val="00F05F0E"/>
    <w:rsid w:val="00F0677D"/>
    <w:rsid w:val="00F067D1"/>
    <w:rsid w:val="00F07658"/>
    <w:rsid w:val="00F076F5"/>
    <w:rsid w:val="00F10869"/>
    <w:rsid w:val="00F10A83"/>
    <w:rsid w:val="00F10BB3"/>
    <w:rsid w:val="00F10FEF"/>
    <w:rsid w:val="00F1106E"/>
    <w:rsid w:val="00F1155D"/>
    <w:rsid w:val="00F1171F"/>
    <w:rsid w:val="00F12074"/>
    <w:rsid w:val="00F12121"/>
    <w:rsid w:val="00F1217C"/>
    <w:rsid w:val="00F12A8E"/>
    <w:rsid w:val="00F12C82"/>
    <w:rsid w:val="00F132BA"/>
    <w:rsid w:val="00F13690"/>
    <w:rsid w:val="00F13E82"/>
    <w:rsid w:val="00F14114"/>
    <w:rsid w:val="00F1423C"/>
    <w:rsid w:val="00F1459C"/>
    <w:rsid w:val="00F14880"/>
    <w:rsid w:val="00F14E4D"/>
    <w:rsid w:val="00F151D4"/>
    <w:rsid w:val="00F1526C"/>
    <w:rsid w:val="00F157EB"/>
    <w:rsid w:val="00F159B4"/>
    <w:rsid w:val="00F15AE3"/>
    <w:rsid w:val="00F15E7D"/>
    <w:rsid w:val="00F169A9"/>
    <w:rsid w:val="00F169F0"/>
    <w:rsid w:val="00F16A7E"/>
    <w:rsid w:val="00F176E5"/>
    <w:rsid w:val="00F17843"/>
    <w:rsid w:val="00F17989"/>
    <w:rsid w:val="00F17ED2"/>
    <w:rsid w:val="00F17F77"/>
    <w:rsid w:val="00F17FC0"/>
    <w:rsid w:val="00F202CD"/>
    <w:rsid w:val="00F20420"/>
    <w:rsid w:val="00F20879"/>
    <w:rsid w:val="00F209A3"/>
    <w:rsid w:val="00F20CFA"/>
    <w:rsid w:val="00F20D45"/>
    <w:rsid w:val="00F2102B"/>
    <w:rsid w:val="00F211E2"/>
    <w:rsid w:val="00F212F5"/>
    <w:rsid w:val="00F2143B"/>
    <w:rsid w:val="00F22218"/>
    <w:rsid w:val="00F22235"/>
    <w:rsid w:val="00F22B0D"/>
    <w:rsid w:val="00F233E6"/>
    <w:rsid w:val="00F236E6"/>
    <w:rsid w:val="00F237EB"/>
    <w:rsid w:val="00F23C99"/>
    <w:rsid w:val="00F24129"/>
    <w:rsid w:val="00F243E8"/>
    <w:rsid w:val="00F24536"/>
    <w:rsid w:val="00F246EB"/>
    <w:rsid w:val="00F247AB"/>
    <w:rsid w:val="00F249C9"/>
    <w:rsid w:val="00F24A8B"/>
    <w:rsid w:val="00F24C2E"/>
    <w:rsid w:val="00F24D58"/>
    <w:rsid w:val="00F24EC6"/>
    <w:rsid w:val="00F24FEE"/>
    <w:rsid w:val="00F2513D"/>
    <w:rsid w:val="00F25B05"/>
    <w:rsid w:val="00F25EDF"/>
    <w:rsid w:val="00F25F77"/>
    <w:rsid w:val="00F26594"/>
    <w:rsid w:val="00F26968"/>
    <w:rsid w:val="00F26B4F"/>
    <w:rsid w:val="00F26F1F"/>
    <w:rsid w:val="00F276BE"/>
    <w:rsid w:val="00F27F1B"/>
    <w:rsid w:val="00F30AE0"/>
    <w:rsid w:val="00F31084"/>
    <w:rsid w:val="00F314A9"/>
    <w:rsid w:val="00F31703"/>
    <w:rsid w:val="00F31D8F"/>
    <w:rsid w:val="00F32146"/>
    <w:rsid w:val="00F32258"/>
    <w:rsid w:val="00F32386"/>
    <w:rsid w:val="00F326E2"/>
    <w:rsid w:val="00F32935"/>
    <w:rsid w:val="00F329D5"/>
    <w:rsid w:val="00F329DE"/>
    <w:rsid w:val="00F32DA3"/>
    <w:rsid w:val="00F33013"/>
    <w:rsid w:val="00F3307E"/>
    <w:rsid w:val="00F33167"/>
    <w:rsid w:val="00F331C0"/>
    <w:rsid w:val="00F33550"/>
    <w:rsid w:val="00F33F53"/>
    <w:rsid w:val="00F33F6D"/>
    <w:rsid w:val="00F340BF"/>
    <w:rsid w:val="00F35000"/>
    <w:rsid w:val="00F36042"/>
    <w:rsid w:val="00F360F6"/>
    <w:rsid w:val="00F362AE"/>
    <w:rsid w:val="00F364DC"/>
    <w:rsid w:val="00F366E4"/>
    <w:rsid w:val="00F370BA"/>
    <w:rsid w:val="00F371BD"/>
    <w:rsid w:val="00F37310"/>
    <w:rsid w:val="00F377F6"/>
    <w:rsid w:val="00F378CB"/>
    <w:rsid w:val="00F40270"/>
    <w:rsid w:val="00F40588"/>
    <w:rsid w:val="00F40A4F"/>
    <w:rsid w:val="00F40A9A"/>
    <w:rsid w:val="00F40C98"/>
    <w:rsid w:val="00F411AE"/>
    <w:rsid w:val="00F41638"/>
    <w:rsid w:val="00F418CF"/>
    <w:rsid w:val="00F41BE8"/>
    <w:rsid w:val="00F41F3D"/>
    <w:rsid w:val="00F4213E"/>
    <w:rsid w:val="00F421E7"/>
    <w:rsid w:val="00F423DB"/>
    <w:rsid w:val="00F42CBE"/>
    <w:rsid w:val="00F42D3C"/>
    <w:rsid w:val="00F42F16"/>
    <w:rsid w:val="00F42F68"/>
    <w:rsid w:val="00F43259"/>
    <w:rsid w:val="00F43550"/>
    <w:rsid w:val="00F43656"/>
    <w:rsid w:val="00F43711"/>
    <w:rsid w:val="00F43993"/>
    <w:rsid w:val="00F44498"/>
    <w:rsid w:val="00F44689"/>
    <w:rsid w:val="00F44A9B"/>
    <w:rsid w:val="00F45894"/>
    <w:rsid w:val="00F46058"/>
    <w:rsid w:val="00F462E3"/>
    <w:rsid w:val="00F46AB9"/>
    <w:rsid w:val="00F46FD5"/>
    <w:rsid w:val="00F472CD"/>
    <w:rsid w:val="00F4737E"/>
    <w:rsid w:val="00F473EF"/>
    <w:rsid w:val="00F504DC"/>
    <w:rsid w:val="00F50526"/>
    <w:rsid w:val="00F50966"/>
    <w:rsid w:val="00F510B4"/>
    <w:rsid w:val="00F51A19"/>
    <w:rsid w:val="00F51C8B"/>
    <w:rsid w:val="00F52741"/>
    <w:rsid w:val="00F528CF"/>
    <w:rsid w:val="00F530BC"/>
    <w:rsid w:val="00F5396B"/>
    <w:rsid w:val="00F54C97"/>
    <w:rsid w:val="00F5536C"/>
    <w:rsid w:val="00F55519"/>
    <w:rsid w:val="00F55583"/>
    <w:rsid w:val="00F555E5"/>
    <w:rsid w:val="00F55656"/>
    <w:rsid w:val="00F55913"/>
    <w:rsid w:val="00F561AF"/>
    <w:rsid w:val="00F563A6"/>
    <w:rsid w:val="00F5675F"/>
    <w:rsid w:val="00F56946"/>
    <w:rsid w:val="00F56A99"/>
    <w:rsid w:val="00F56F74"/>
    <w:rsid w:val="00F5771F"/>
    <w:rsid w:val="00F57732"/>
    <w:rsid w:val="00F57A68"/>
    <w:rsid w:val="00F57DA3"/>
    <w:rsid w:val="00F603B7"/>
    <w:rsid w:val="00F61A09"/>
    <w:rsid w:val="00F61D09"/>
    <w:rsid w:val="00F62D66"/>
    <w:rsid w:val="00F62F7B"/>
    <w:rsid w:val="00F633BC"/>
    <w:rsid w:val="00F63469"/>
    <w:rsid w:val="00F63F47"/>
    <w:rsid w:val="00F649DA"/>
    <w:rsid w:val="00F64C16"/>
    <w:rsid w:val="00F65F4E"/>
    <w:rsid w:val="00F65FC7"/>
    <w:rsid w:val="00F661C3"/>
    <w:rsid w:val="00F6648A"/>
    <w:rsid w:val="00F664B6"/>
    <w:rsid w:val="00F664CD"/>
    <w:rsid w:val="00F66967"/>
    <w:rsid w:val="00F66B2B"/>
    <w:rsid w:val="00F66E1C"/>
    <w:rsid w:val="00F66EEB"/>
    <w:rsid w:val="00F67056"/>
    <w:rsid w:val="00F672F9"/>
    <w:rsid w:val="00F67B18"/>
    <w:rsid w:val="00F67DAF"/>
    <w:rsid w:val="00F67E30"/>
    <w:rsid w:val="00F7052F"/>
    <w:rsid w:val="00F70CE6"/>
    <w:rsid w:val="00F70DDF"/>
    <w:rsid w:val="00F71624"/>
    <w:rsid w:val="00F71C9C"/>
    <w:rsid w:val="00F721C1"/>
    <w:rsid w:val="00F72B71"/>
    <w:rsid w:val="00F72DD3"/>
    <w:rsid w:val="00F72F35"/>
    <w:rsid w:val="00F73043"/>
    <w:rsid w:val="00F7407F"/>
    <w:rsid w:val="00F740ED"/>
    <w:rsid w:val="00F74316"/>
    <w:rsid w:val="00F74483"/>
    <w:rsid w:val="00F75213"/>
    <w:rsid w:val="00F752B9"/>
    <w:rsid w:val="00F757F8"/>
    <w:rsid w:val="00F75DC8"/>
    <w:rsid w:val="00F75F98"/>
    <w:rsid w:val="00F7610F"/>
    <w:rsid w:val="00F7622E"/>
    <w:rsid w:val="00F768AA"/>
    <w:rsid w:val="00F76A98"/>
    <w:rsid w:val="00F76B2A"/>
    <w:rsid w:val="00F76E38"/>
    <w:rsid w:val="00F77C67"/>
    <w:rsid w:val="00F77DA0"/>
    <w:rsid w:val="00F77DD6"/>
    <w:rsid w:val="00F80150"/>
    <w:rsid w:val="00F803F2"/>
    <w:rsid w:val="00F8069A"/>
    <w:rsid w:val="00F80EF3"/>
    <w:rsid w:val="00F8106B"/>
    <w:rsid w:val="00F81183"/>
    <w:rsid w:val="00F81283"/>
    <w:rsid w:val="00F8142E"/>
    <w:rsid w:val="00F81690"/>
    <w:rsid w:val="00F81CE1"/>
    <w:rsid w:val="00F82096"/>
    <w:rsid w:val="00F82139"/>
    <w:rsid w:val="00F822DF"/>
    <w:rsid w:val="00F83784"/>
    <w:rsid w:val="00F83B38"/>
    <w:rsid w:val="00F83FB8"/>
    <w:rsid w:val="00F84255"/>
    <w:rsid w:val="00F84355"/>
    <w:rsid w:val="00F846DC"/>
    <w:rsid w:val="00F8482A"/>
    <w:rsid w:val="00F850C4"/>
    <w:rsid w:val="00F8568D"/>
    <w:rsid w:val="00F86077"/>
    <w:rsid w:val="00F87155"/>
    <w:rsid w:val="00F871BA"/>
    <w:rsid w:val="00F87388"/>
    <w:rsid w:val="00F8741A"/>
    <w:rsid w:val="00F87614"/>
    <w:rsid w:val="00F87ECB"/>
    <w:rsid w:val="00F903FE"/>
    <w:rsid w:val="00F90588"/>
    <w:rsid w:val="00F90E2B"/>
    <w:rsid w:val="00F90FC2"/>
    <w:rsid w:val="00F91120"/>
    <w:rsid w:val="00F9117B"/>
    <w:rsid w:val="00F913D4"/>
    <w:rsid w:val="00F91865"/>
    <w:rsid w:val="00F91B4B"/>
    <w:rsid w:val="00F9244A"/>
    <w:rsid w:val="00F9264A"/>
    <w:rsid w:val="00F93103"/>
    <w:rsid w:val="00F93716"/>
    <w:rsid w:val="00F9377A"/>
    <w:rsid w:val="00F93FCD"/>
    <w:rsid w:val="00F940E6"/>
    <w:rsid w:val="00F943EC"/>
    <w:rsid w:val="00F944F7"/>
    <w:rsid w:val="00F949F1"/>
    <w:rsid w:val="00F95286"/>
    <w:rsid w:val="00F9545B"/>
    <w:rsid w:val="00F95619"/>
    <w:rsid w:val="00F957D9"/>
    <w:rsid w:val="00F95B57"/>
    <w:rsid w:val="00F95CED"/>
    <w:rsid w:val="00F95E44"/>
    <w:rsid w:val="00F95EE0"/>
    <w:rsid w:val="00F95FED"/>
    <w:rsid w:val="00F96324"/>
    <w:rsid w:val="00F96A4C"/>
    <w:rsid w:val="00F970E5"/>
    <w:rsid w:val="00F97458"/>
    <w:rsid w:val="00F9775E"/>
    <w:rsid w:val="00F978AC"/>
    <w:rsid w:val="00F97DA8"/>
    <w:rsid w:val="00FA0257"/>
    <w:rsid w:val="00FA0419"/>
    <w:rsid w:val="00FA071B"/>
    <w:rsid w:val="00FA08A0"/>
    <w:rsid w:val="00FA0CCB"/>
    <w:rsid w:val="00FA0D32"/>
    <w:rsid w:val="00FA0F12"/>
    <w:rsid w:val="00FA11DE"/>
    <w:rsid w:val="00FA13A1"/>
    <w:rsid w:val="00FA164D"/>
    <w:rsid w:val="00FA1A12"/>
    <w:rsid w:val="00FA1CDB"/>
    <w:rsid w:val="00FA1D7E"/>
    <w:rsid w:val="00FA1E3E"/>
    <w:rsid w:val="00FA1EDB"/>
    <w:rsid w:val="00FA2243"/>
    <w:rsid w:val="00FA2377"/>
    <w:rsid w:val="00FA2999"/>
    <w:rsid w:val="00FA2A6F"/>
    <w:rsid w:val="00FA2C17"/>
    <w:rsid w:val="00FA2D73"/>
    <w:rsid w:val="00FA2DEA"/>
    <w:rsid w:val="00FA3474"/>
    <w:rsid w:val="00FA38DF"/>
    <w:rsid w:val="00FA3F63"/>
    <w:rsid w:val="00FA41E8"/>
    <w:rsid w:val="00FA4287"/>
    <w:rsid w:val="00FA432C"/>
    <w:rsid w:val="00FA433E"/>
    <w:rsid w:val="00FA45B6"/>
    <w:rsid w:val="00FA4A67"/>
    <w:rsid w:val="00FA4FBA"/>
    <w:rsid w:val="00FA5B21"/>
    <w:rsid w:val="00FA5B82"/>
    <w:rsid w:val="00FA5CC7"/>
    <w:rsid w:val="00FA5FA0"/>
    <w:rsid w:val="00FA6340"/>
    <w:rsid w:val="00FA6919"/>
    <w:rsid w:val="00FA6A07"/>
    <w:rsid w:val="00FA7174"/>
    <w:rsid w:val="00FA7743"/>
    <w:rsid w:val="00FB0334"/>
    <w:rsid w:val="00FB07D1"/>
    <w:rsid w:val="00FB081D"/>
    <w:rsid w:val="00FB163F"/>
    <w:rsid w:val="00FB181A"/>
    <w:rsid w:val="00FB1875"/>
    <w:rsid w:val="00FB19E1"/>
    <w:rsid w:val="00FB1F4E"/>
    <w:rsid w:val="00FB2199"/>
    <w:rsid w:val="00FB30E5"/>
    <w:rsid w:val="00FB3323"/>
    <w:rsid w:val="00FB34B1"/>
    <w:rsid w:val="00FB3B09"/>
    <w:rsid w:val="00FB40C6"/>
    <w:rsid w:val="00FB41BA"/>
    <w:rsid w:val="00FB4465"/>
    <w:rsid w:val="00FB60D5"/>
    <w:rsid w:val="00FB636B"/>
    <w:rsid w:val="00FB6403"/>
    <w:rsid w:val="00FB6AB5"/>
    <w:rsid w:val="00FB6C3A"/>
    <w:rsid w:val="00FB7DE6"/>
    <w:rsid w:val="00FC0296"/>
    <w:rsid w:val="00FC03F7"/>
    <w:rsid w:val="00FC053B"/>
    <w:rsid w:val="00FC0667"/>
    <w:rsid w:val="00FC1E26"/>
    <w:rsid w:val="00FC1FCF"/>
    <w:rsid w:val="00FC2767"/>
    <w:rsid w:val="00FC3125"/>
    <w:rsid w:val="00FC314E"/>
    <w:rsid w:val="00FC31DF"/>
    <w:rsid w:val="00FC393F"/>
    <w:rsid w:val="00FC3C4E"/>
    <w:rsid w:val="00FC3F65"/>
    <w:rsid w:val="00FC437E"/>
    <w:rsid w:val="00FC4EF8"/>
    <w:rsid w:val="00FC53F7"/>
    <w:rsid w:val="00FC5BC6"/>
    <w:rsid w:val="00FC5E34"/>
    <w:rsid w:val="00FC5FBB"/>
    <w:rsid w:val="00FC69D8"/>
    <w:rsid w:val="00FC70B7"/>
    <w:rsid w:val="00FC7160"/>
    <w:rsid w:val="00FC7351"/>
    <w:rsid w:val="00FC7C84"/>
    <w:rsid w:val="00FC7C9C"/>
    <w:rsid w:val="00FC7FD3"/>
    <w:rsid w:val="00FD009D"/>
    <w:rsid w:val="00FD095A"/>
    <w:rsid w:val="00FD0A13"/>
    <w:rsid w:val="00FD0D8C"/>
    <w:rsid w:val="00FD0DE5"/>
    <w:rsid w:val="00FD0E0B"/>
    <w:rsid w:val="00FD10EC"/>
    <w:rsid w:val="00FD1423"/>
    <w:rsid w:val="00FD182D"/>
    <w:rsid w:val="00FD2AE6"/>
    <w:rsid w:val="00FD2F4B"/>
    <w:rsid w:val="00FD3304"/>
    <w:rsid w:val="00FD337E"/>
    <w:rsid w:val="00FD3742"/>
    <w:rsid w:val="00FD3FE7"/>
    <w:rsid w:val="00FD44FB"/>
    <w:rsid w:val="00FD4546"/>
    <w:rsid w:val="00FD46DD"/>
    <w:rsid w:val="00FD56A4"/>
    <w:rsid w:val="00FD56AD"/>
    <w:rsid w:val="00FD56C1"/>
    <w:rsid w:val="00FD5D50"/>
    <w:rsid w:val="00FD61A1"/>
    <w:rsid w:val="00FD6470"/>
    <w:rsid w:val="00FD6B64"/>
    <w:rsid w:val="00FD7119"/>
    <w:rsid w:val="00FE04AC"/>
    <w:rsid w:val="00FE0B92"/>
    <w:rsid w:val="00FE1344"/>
    <w:rsid w:val="00FE19D2"/>
    <w:rsid w:val="00FE1B52"/>
    <w:rsid w:val="00FE1C24"/>
    <w:rsid w:val="00FE1C4C"/>
    <w:rsid w:val="00FE2469"/>
    <w:rsid w:val="00FE27DE"/>
    <w:rsid w:val="00FE2B5F"/>
    <w:rsid w:val="00FE2BE7"/>
    <w:rsid w:val="00FE2D53"/>
    <w:rsid w:val="00FE2F80"/>
    <w:rsid w:val="00FE32F4"/>
    <w:rsid w:val="00FE3344"/>
    <w:rsid w:val="00FE35EE"/>
    <w:rsid w:val="00FE37E7"/>
    <w:rsid w:val="00FE3B35"/>
    <w:rsid w:val="00FE4471"/>
    <w:rsid w:val="00FE50AC"/>
    <w:rsid w:val="00FE55A2"/>
    <w:rsid w:val="00FE57B9"/>
    <w:rsid w:val="00FE5DA6"/>
    <w:rsid w:val="00FE631F"/>
    <w:rsid w:val="00FE6366"/>
    <w:rsid w:val="00FE64FB"/>
    <w:rsid w:val="00FE6C3F"/>
    <w:rsid w:val="00FE73E2"/>
    <w:rsid w:val="00FE79C2"/>
    <w:rsid w:val="00FF000B"/>
    <w:rsid w:val="00FF081E"/>
    <w:rsid w:val="00FF0A72"/>
    <w:rsid w:val="00FF0B47"/>
    <w:rsid w:val="00FF0EA2"/>
    <w:rsid w:val="00FF0FC8"/>
    <w:rsid w:val="00FF0FFB"/>
    <w:rsid w:val="00FF1A71"/>
    <w:rsid w:val="00FF1AF4"/>
    <w:rsid w:val="00FF1D71"/>
    <w:rsid w:val="00FF1F62"/>
    <w:rsid w:val="00FF2477"/>
    <w:rsid w:val="00FF2A24"/>
    <w:rsid w:val="00FF2B48"/>
    <w:rsid w:val="00FF2ED7"/>
    <w:rsid w:val="00FF3215"/>
    <w:rsid w:val="00FF324B"/>
    <w:rsid w:val="00FF411B"/>
    <w:rsid w:val="00FF470A"/>
    <w:rsid w:val="00FF5581"/>
    <w:rsid w:val="00FF576E"/>
    <w:rsid w:val="00FF5907"/>
    <w:rsid w:val="00FF5DFA"/>
    <w:rsid w:val="00FF5E08"/>
    <w:rsid w:val="00FF5E86"/>
    <w:rsid w:val="00FF668A"/>
    <w:rsid w:val="00FF68D2"/>
    <w:rsid w:val="00FF6983"/>
    <w:rsid w:val="00FF6ADF"/>
    <w:rsid w:val="00FF78D5"/>
    <w:rsid w:val="010A0B34"/>
    <w:rsid w:val="010B49E5"/>
    <w:rsid w:val="010E2517"/>
    <w:rsid w:val="011E207D"/>
    <w:rsid w:val="013143A3"/>
    <w:rsid w:val="01354A98"/>
    <w:rsid w:val="013FEFC2"/>
    <w:rsid w:val="014BE44B"/>
    <w:rsid w:val="0157FE9B"/>
    <w:rsid w:val="015BC4FB"/>
    <w:rsid w:val="015EE2B7"/>
    <w:rsid w:val="0169A79A"/>
    <w:rsid w:val="016BE95C"/>
    <w:rsid w:val="01803B01"/>
    <w:rsid w:val="018230C7"/>
    <w:rsid w:val="0189554D"/>
    <w:rsid w:val="0189F5C1"/>
    <w:rsid w:val="01996819"/>
    <w:rsid w:val="0199810C"/>
    <w:rsid w:val="01B3B078"/>
    <w:rsid w:val="01B8F360"/>
    <w:rsid w:val="01D2204B"/>
    <w:rsid w:val="01D271AA"/>
    <w:rsid w:val="01D2F4A5"/>
    <w:rsid w:val="0211F288"/>
    <w:rsid w:val="021293F7"/>
    <w:rsid w:val="021EFD06"/>
    <w:rsid w:val="0220A756"/>
    <w:rsid w:val="023ABE24"/>
    <w:rsid w:val="02485D3E"/>
    <w:rsid w:val="025134C2"/>
    <w:rsid w:val="02605C8D"/>
    <w:rsid w:val="026C5BE2"/>
    <w:rsid w:val="026EEBBE"/>
    <w:rsid w:val="0277917D"/>
    <w:rsid w:val="02781AFF"/>
    <w:rsid w:val="027997EB"/>
    <w:rsid w:val="027E2482"/>
    <w:rsid w:val="02883469"/>
    <w:rsid w:val="02A0E921"/>
    <w:rsid w:val="02C01A04"/>
    <w:rsid w:val="02D2EE25"/>
    <w:rsid w:val="02DC2F05"/>
    <w:rsid w:val="02E032D1"/>
    <w:rsid w:val="030288EF"/>
    <w:rsid w:val="0312224B"/>
    <w:rsid w:val="031C4D27"/>
    <w:rsid w:val="0325DD4E"/>
    <w:rsid w:val="0335387A"/>
    <w:rsid w:val="0349DDAB"/>
    <w:rsid w:val="0355D580"/>
    <w:rsid w:val="03564B82"/>
    <w:rsid w:val="03630AEB"/>
    <w:rsid w:val="0370EF1A"/>
    <w:rsid w:val="038A6469"/>
    <w:rsid w:val="038CD9FE"/>
    <w:rsid w:val="03B36985"/>
    <w:rsid w:val="03BF6E67"/>
    <w:rsid w:val="03C1806A"/>
    <w:rsid w:val="03C9F761"/>
    <w:rsid w:val="03CB5F1E"/>
    <w:rsid w:val="03D92CFF"/>
    <w:rsid w:val="03ED2746"/>
    <w:rsid w:val="03EE4CF3"/>
    <w:rsid w:val="03F5EBA3"/>
    <w:rsid w:val="040426B1"/>
    <w:rsid w:val="04110FFD"/>
    <w:rsid w:val="04164F79"/>
    <w:rsid w:val="042770D1"/>
    <w:rsid w:val="043F8AEA"/>
    <w:rsid w:val="04447DB9"/>
    <w:rsid w:val="0457D090"/>
    <w:rsid w:val="0459C73A"/>
    <w:rsid w:val="045ADFD8"/>
    <w:rsid w:val="047CEEB6"/>
    <w:rsid w:val="0491A94D"/>
    <w:rsid w:val="049BBD89"/>
    <w:rsid w:val="04A9119D"/>
    <w:rsid w:val="04ACAB39"/>
    <w:rsid w:val="04AFE846"/>
    <w:rsid w:val="04AFF123"/>
    <w:rsid w:val="04BDC00B"/>
    <w:rsid w:val="04BFBD31"/>
    <w:rsid w:val="04CBC144"/>
    <w:rsid w:val="04D64F1E"/>
    <w:rsid w:val="04E124F0"/>
    <w:rsid w:val="04F0F47F"/>
    <w:rsid w:val="0500606F"/>
    <w:rsid w:val="05021B04"/>
    <w:rsid w:val="0506D2A6"/>
    <w:rsid w:val="050755B0"/>
    <w:rsid w:val="05268E37"/>
    <w:rsid w:val="052A9658"/>
    <w:rsid w:val="052BED85"/>
    <w:rsid w:val="053522C3"/>
    <w:rsid w:val="05389167"/>
    <w:rsid w:val="053A89A5"/>
    <w:rsid w:val="053F5BFD"/>
    <w:rsid w:val="05639C92"/>
    <w:rsid w:val="056F9022"/>
    <w:rsid w:val="05791647"/>
    <w:rsid w:val="0584C4DF"/>
    <w:rsid w:val="0584D7A7"/>
    <w:rsid w:val="05892C69"/>
    <w:rsid w:val="0594F9C8"/>
    <w:rsid w:val="0595A900"/>
    <w:rsid w:val="05AD0E70"/>
    <w:rsid w:val="05B70D13"/>
    <w:rsid w:val="05B8F780"/>
    <w:rsid w:val="05BBBDC7"/>
    <w:rsid w:val="05DB1B40"/>
    <w:rsid w:val="05DCD4AE"/>
    <w:rsid w:val="05E470B6"/>
    <w:rsid w:val="05E7C965"/>
    <w:rsid w:val="05EDBB4F"/>
    <w:rsid w:val="05F02095"/>
    <w:rsid w:val="05F507C9"/>
    <w:rsid w:val="06077739"/>
    <w:rsid w:val="06083C9A"/>
    <w:rsid w:val="060AEA37"/>
    <w:rsid w:val="0642E92C"/>
    <w:rsid w:val="064CDA11"/>
    <w:rsid w:val="064F8417"/>
    <w:rsid w:val="0650A314"/>
    <w:rsid w:val="0658081A"/>
    <w:rsid w:val="06635F9E"/>
    <w:rsid w:val="0667B0E2"/>
    <w:rsid w:val="066B1D0D"/>
    <w:rsid w:val="066CFDD3"/>
    <w:rsid w:val="06763825"/>
    <w:rsid w:val="067C78CF"/>
    <w:rsid w:val="067CC11D"/>
    <w:rsid w:val="067CF551"/>
    <w:rsid w:val="067DD154"/>
    <w:rsid w:val="068B9A7D"/>
    <w:rsid w:val="068EB99B"/>
    <w:rsid w:val="06A95972"/>
    <w:rsid w:val="06B7EB4B"/>
    <w:rsid w:val="06C9B8F3"/>
    <w:rsid w:val="06CDE4E3"/>
    <w:rsid w:val="06D33065"/>
    <w:rsid w:val="06E01069"/>
    <w:rsid w:val="0723CB98"/>
    <w:rsid w:val="07293738"/>
    <w:rsid w:val="07296EAE"/>
    <w:rsid w:val="072E1DD2"/>
    <w:rsid w:val="0746D5ED"/>
    <w:rsid w:val="0746E9E7"/>
    <w:rsid w:val="07613CE5"/>
    <w:rsid w:val="077CFCF1"/>
    <w:rsid w:val="0781005E"/>
    <w:rsid w:val="07A70A1D"/>
    <w:rsid w:val="07E700D0"/>
    <w:rsid w:val="07ED2F01"/>
    <w:rsid w:val="080D8861"/>
    <w:rsid w:val="080DE125"/>
    <w:rsid w:val="080E1B68"/>
    <w:rsid w:val="080FF04F"/>
    <w:rsid w:val="082F526E"/>
    <w:rsid w:val="0837D87A"/>
    <w:rsid w:val="084529D3"/>
    <w:rsid w:val="0855C2C4"/>
    <w:rsid w:val="0855FCB5"/>
    <w:rsid w:val="0863E99F"/>
    <w:rsid w:val="0864943A"/>
    <w:rsid w:val="086CE01A"/>
    <w:rsid w:val="086EC5E2"/>
    <w:rsid w:val="087C603D"/>
    <w:rsid w:val="0880D8F1"/>
    <w:rsid w:val="0882533E"/>
    <w:rsid w:val="08982849"/>
    <w:rsid w:val="08C203AC"/>
    <w:rsid w:val="08C5058B"/>
    <w:rsid w:val="08CAA397"/>
    <w:rsid w:val="08D46C8E"/>
    <w:rsid w:val="08D9EA2D"/>
    <w:rsid w:val="08DB0002"/>
    <w:rsid w:val="08DB5E9E"/>
    <w:rsid w:val="08E2A64E"/>
    <w:rsid w:val="08E73886"/>
    <w:rsid w:val="08EDD452"/>
    <w:rsid w:val="090801F4"/>
    <w:rsid w:val="09138F26"/>
    <w:rsid w:val="091B7C60"/>
    <w:rsid w:val="09201A82"/>
    <w:rsid w:val="092F59DF"/>
    <w:rsid w:val="093AF85D"/>
    <w:rsid w:val="094FFA77"/>
    <w:rsid w:val="0953828A"/>
    <w:rsid w:val="09552B3A"/>
    <w:rsid w:val="09649D9B"/>
    <w:rsid w:val="096C1765"/>
    <w:rsid w:val="09717EEE"/>
    <w:rsid w:val="09801901"/>
    <w:rsid w:val="0984A193"/>
    <w:rsid w:val="09A1B3AE"/>
    <w:rsid w:val="09A53113"/>
    <w:rsid w:val="09B2CC69"/>
    <w:rsid w:val="09B91F2F"/>
    <w:rsid w:val="09C7CE82"/>
    <w:rsid w:val="09CB742C"/>
    <w:rsid w:val="09CFDBFD"/>
    <w:rsid w:val="09D06635"/>
    <w:rsid w:val="09DC52FA"/>
    <w:rsid w:val="09E3B90E"/>
    <w:rsid w:val="09E6CC32"/>
    <w:rsid w:val="09E84B06"/>
    <w:rsid w:val="09F460A0"/>
    <w:rsid w:val="0A032538"/>
    <w:rsid w:val="0A14296C"/>
    <w:rsid w:val="0A149DAC"/>
    <w:rsid w:val="0A1F5260"/>
    <w:rsid w:val="0A4E45A6"/>
    <w:rsid w:val="0A506623"/>
    <w:rsid w:val="0A55966F"/>
    <w:rsid w:val="0A5DFA2B"/>
    <w:rsid w:val="0A7E76AF"/>
    <w:rsid w:val="0A9A6688"/>
    <w:rsid w:val="0AA061B8"/>
    <w:rsid w:val="0AAA5184"/>
    <w:rsid w:val="0AAA86A2"/>
    <w:rsid w:val="0AB4C196"/>
    <w:rsid w:val="0AD421E8"/>
    <w:rsid w:val="0AD77F66"/>
    <w:rsid w:val="0ADD3D1E"/>
    <w:rsid w:val="0AF3A2F4"/>
    <w:rsid w:val="0AFB564C"/>
    <w:rsid w:val="0AFC6904"/>
    <w:rsid w:val="0B0F40F2"/>
    <w:rsid w:val="0B15EA38"/>
    <w:rsid w:val="0B161849"/>
    <w:rsid w:val="0B1B8FAE"/>
    <w:rsid w:val="0B1E1293"/>
    <w:rsid w:val="0B20DF7D"/>
    <w:rsid w:val="0B49C630"/>
    <w:rsid w:val="0B4A87D3"/>
    <w:rsid w:val="0B4DCDBF"/>
    <w:rsid w:val="0B565EBF"/>
    <w:rsid w:val="0B62BC33"/>
    <w:rsid w:val="0B716C35"/>
    <w:rsid w:val="0B7239A2"/>
    <w:rsid w:val="0B7CCA95"/>
    <w:rsid w:val="0B8C4B07"/>
    <w:rsid w:val="0B95C24A"/>
    <w:rsid w:val="0BADBD25"/>
    <w:rsid w:val="0BC1C910"/>
    <w:rsid w:val="0BDA827F"/>
    <w:rsid w:val="0BDFDAE9"/>
    <w:rsid w:val="0BEA48D8"/>
    <w:rsid w:val="0BFBCE95"/>
    <w:rsid w:val="0C0D5A05"/>
    <w:rsid w:val="0C1AEF2E"/>
    <w:rsid w:val="0C1FA459"/>
    <w:rsid w:val="0C28233B"/>
    <w:rsid w:val="0C41D971"/>
    <w:rsid w:val="0C49784B"/>
    <w:rsid w:val="0C4F18B2"/>
    <w:rsid w:val="0C5088D9"/>
    <w:rsid w:val="0C5F080A"/>
    <w:rsid w:val="0C62DE11"/>
    <w:rsid w:val="0C695F86"/>
    <w:rsid w:val="0C6A1F1C"/>
    <w:rsid w:val="0C6B9783"/>
    <w:rsid w:val="0C823022"/>
    <w:rsid w:val="0C8CD286"/>
    <w:rsid w:val="0C903641"/>
    <w:rsid w:val="0CA7E0B7"/>
    <w:rsid w:val="0CAEAE9A"/>
    <w:rsid w:val="0CB3BE4B"/>
    <w:rsid w:val="0CBC4A2F"/>
    <w:rsid w:val="0CDCB514"/>
    <w:rsid w:val="0CE85088"/>
    <w:rsid w:val="0CF3795E"/>
    <w:rsid w:val="0CFB01C6"/>
    <w:rsid w:val="0CFEEEAB"/>
    <w:rsid w:val="0D140A93"/>
    <w:rsid w:val="0D151B66"/>
    <w:rsid w:val="0D1E80F8"/>
    <w:rsid w:val="0D2459D0"/>
    <w:rsid w:val="0D2B3BA2"/>
    <w:rsid w:val="0D32E829"/>
    <w:rsid w:val="0D344409"/>
    <w:rsid w:val="0D356194"/>
    <w:rsid w:val="0D5F98BD"/>
    <w:rsid w:val="0D7CECEF"/>
    <w:rsid w:val="0D82B653"/>
    <w:rsid w:val="0D861939"/>
    <w:rsid w:val="0D99FD5F"/>
    <w:rsid w:val="0DA63D60"/>
    <w:rsid w:val="0DA96695"/>
    <w:rsid w:val="0DD0408B"/>
    <w:rsid w:val="0DD3E300"/>
    <w:rsid w:val="0DDDEC00"/>
    <w:rsid w:val="0DE0D84E"/>
    <w:rsid w:val="0DE18144"/>
    <w:rsid w:val="0DEB3C44"/>
    <w:rsid w:val="0DFD82DB"/>
    <w:rsid w:val="0E03A935"/>
    <w:rsid w:val="0E056971"/>
    <w:rsid w:val="0E08E744"/>
    <w:rsid w:val="0E090A69"/>
    <w:rsid w:val="0E0A5291"/>
    <w:rsid w:val="0E10E28E"/>
    <w:rsid w:val="0E19C45F"/>
    <w:rsid w:val="0E1D5E68"/>
    <w:rsid w:val="0E2F09EF"/>
    <w:rsid w:val="0E4CDD48"/>
    <w:rsid w:val="0E4FEDFE"/>
    <w:rsid w:val="0E6B9B63"/>
    <w:rsid w:val="0E795C55"/>
    <w:rsid w:val="0E846687"/>
    <w:rsid w:val="0E84909E"/>
    <w:rsid w:val="0E85862E"/>
    <w:rsid w:val="0E96D227"/>
    <w:rsid w:val="0EB31C53"/>
    <w:rsid w:val="0EB7CF84"/>
    <w:rsid w:val="0EBC15E5"/>
    <w:rsid w:val="0EC2D784"/>
    <w:rsid w:val="0EC5E634"/>
    <w:rsid w:val="0EC7D1C3"/>
    <w:rsid w:val="0ECB976A"/>
    <w:rsid w:val="0EE95848"/>
    <w:rsid w:val="0EEE8BD1"/>
    <w:rsid w:val="0EF59288"/>
    <w:rsid w:val="0F1A53A1"/>
    <w:rsid w:val="0F21E99A"/>
    <w:rsid w:val="0F295EBD"/>
    <w:rsid w:val="0F2F63C6"/>
    <w:rsid w:val="0F354CD8"/>
    <w:rsid w:val="0F49BBC8"/>
    <w:rsid w:val="0F52ABFA"/>
    <w:rsid w:val="0F538681"/>
    <w:rsid w:val="0F624FF7"/>
    <w:rsid w:val="0F6274F0"/>
    <w:rsid w:val="0F704AD9"/>
    <w:rsid w:val="0F89B26E"/>
    <w:rsid w:val="0F9A0A7C"/>
    <w:rsid w:val="0F9D4FFE"/>
    <w:rsid w:val="0F9F589D"/>
    <w:rsid w:val="0FB0AE41"/>
    <w:rsid w:val="0FB7B2CD"/>
    <w:rsid w:val="0FBA2E0D"/>
    <w:rsid w:val="0FCC35E4"/>
    <w:rsid w:val="0FCC5653"/>
    <w:rsid w:val="0FCE884D"/>
    <w:rsid w:val="0FD2B4A2"/>
    <w:rsid w:val="0FE4AC57"/>
    <w:rsid w:val="0FE71532"/>
    <w:rsid w:val="0FEBD481"/>
    <w:rsid w:val="0FED0E0D"/>
    <w:rsid w:val="0FF75AC8"/>
    <w:rsid w:val="0FF9C798"/>
    <w:rsid w:val="0FFC8430"/>
    <w:rsid w:val="10019C6E"/>
    <w:rsid w:val="10072D11"/>
    <w:rsid w:val="100F3856"/>
    <w:rsid w:val="1010F1F2"/>
    <w:rsid w:val="10133799"/>
    <w:rsid w:val="1025F947"/>
    <w:rsid w:val="102FB599"/>
    <w:rsid w:val="104A07AA"/>
    <w:rsid w:val="1055E659"/>
    <w:rsid w:val="105B0EF8"/>
    <w:rsid w:val="105B6ACE"/>
    <w:rsid w:val="105D95CC"/>
    <w:rsid w:val="106C004C"/>
    <w:rsid w:val="1076B0A7"/>
    <w:rsid w:val="1083F883"/>
    <w:rsid w:val="10883DCF"/>
    <w:rsid w:val="1090394A"/>
    <w:rsid w:val="1092CAB4"/>
    <w:rsid w:val="1093EFF9"/>
    <w:rsid w:val="10AB4658"/>
    <w:rsid w:val="10C41524"/>
    <w:rsid w:val="10C71B6B"/>
    <w:rsid w:val="10CF650C"/>
    <w:rsid w:val="10E91599"/>
    <w:rsid w:val="1112B9DC"/>
    <w:rsid w:val="1135239D"/>
    <w:rsid w:val="1139DC04"/>
    <w:rsid w:val="113E29D6"/>
    <w:rsid w:val="114D4677"/>
    <w:rsid w:val="1163D0D4"/>
    <w:rsid w:val="11680645"/>
    <w:rsid w:val="116DE411"/>
    <w:rsid w:val="11900DCA"/>
    <w:rsid w:val="1199C512"/>
    <w:rsid w:val="119ABAC1"/>
    <w:rsid w:val="11A8B2EE"/>
    <w:rsid w:val="11AC3C1D"/>
    <w:rsid w:val="11AED578"/>
    <w:rsid w:val="11BD3768"/>
    <w:rsid w:val="11BD60E9"/>
    <w:rsid w:val="11C93460"/>
    <w:rsid w:val="11CB3EF6"/>
    <w:rsid w:val="11CC8A3A"/>
    <w:rsid w:val="11D016DB"/>
    <w:rsid w:val="11EECAF3"/>
    <w:rsid w:val="11FF55B7"/>
    <w:rsid w:val="12209973"/>
    <w:rsid w:val="122348AE"/>
    <w:rsid w:val="123520D0"/>
    <w:rsid w:val="12380A95"/>
    <w:rsid w:val="123FE1CF"/>
    <w:rsid w:val="1241CA1F"/>
    <w:rsid w:val="124681A7"/>
    <w:rsid w:val="125D7E42"/>
    <w:rsid w:val="1267ECA7"/>
    <w:rsid w:val="127C392C"/>
    <w:rsid w:val="1282EE08"/>
    <w:rsid w:val="1286BE41"/>
    <w:rsid w:val="128DF5E0"/>
    <w:rsid w:val="129BBA64"/>
    <w:rsid w:val="12BBC57F"/>
    <w:rsid w:val="12C4B09C"/>
    <w:rsid w:val="12C7CD1D"/>
    <w:rsid w:val="12D0F3FE"/>
    <w:rsid w:val="12D1E528"/>
    <w:rsid w:val="12D28795"/>
    <w:rsid w:val="12DD8A25"/>
    <w:rsid w:val="12DDD32F"/>
    <w:rsid w:val="12DF4143"/>
    <w:rsid w:val="12E881D4"/>
    <w:rsid w:val="12E88AAA"/>
    <w:rsid w:val="131C2596"/>
    <w:rsid w:val="131D59C5"/>
    <w:rsid w:val="1325BD65"/>
    <w:rsid w:val="1329193D"/>
    <w:rsid w:val="13436FF1"/>
    <w:rsid w:val="13513981"/>
    <w:rsid w:val="135A595C"/>
    <w:rsid w:val="13650890"/>
    <w:rsid w:val="136FB03C"/>
    <w:rsid w:val="1381B24B"/>
    <w:rsid w:val="1384E8D0"/>
    <w:rsid w:val="13853FE9"/>
    <w:rsid w:val="13880E50"/>
    <w:rsid w:val="13A405B1"/>
    <w:rsid w:val="13ADCF50"/>
    <w:rsid w:val="13B72586"/>
    <w:rsid w:val="13BB23A9"/>
    <w:rsid w:val="13BCBAA7"/>
    <w:rsid w:val="13D0F131"/>
    <w:rsid w:val="13D5D321"/>
    <w:rsid w:val="13DD48E9"/>
    <w:rsid w:val="13F0FBD8"/>
    <w:rsid w:val="14027ACA"/>
    <w:rsid w:val="1425521D"/>
    <w:rsid w:val="1427BA6F"/>
    <w:rsid w:val="142C63A2"/>
    <w:rsid w:val="1455B9BF"/>
    <w:rsid w:val="145795E0"/>
    <w:rsid w:val="145D75EE"/>
    <w:rsid w:val="145EFE3F"/>
    <w:rsid w:val="145F235A"/>
    <w:rsid w:val="14851FB9"/>
    <w:rsid w:val="14AAFCF8"/>
    <w:rsid w:val="14BB1B36"/>
    <w:rsid w:val="14C75990"/>
    <w:rsid w:val="14CF9EEC"/>
    <w:rsid w:val="14EBF382"/>
    <w:rsid w:val="151979DD"/>
    <w:rsid w:val="151E61E2"/>
    <w:rsid w:val="1520B931"/>
    <w:rsid w:val="152577E5"/>
    <w:rsid w:val="152C2A63"/>
    <w:rsid w:val="15420246"/>
    <w:rsid w:val="154B3C12"/>
    <w:rsid w:val="15691F92"/>
    <w:rsid w:val="156CC192"/>
    <w:rsid w:val="157018CC"/>
    <w:rsid w:val="1599B729"/>
    <w:rsid w:val="159D139B"/>
    <w:rsid w:val="159E1AE1"/>
    <w:rsid w:val="15B0D267"/>
    <w:rsid w:val="15B1001C"/>
    <w:rsid w:val="15B708CD"/>
    <w:rsid w:val="15C0544C"/>
    <w:rsid w:val="15C09401"/>
    <w:rsid w:val="15CC0E40"/>
    <w:rsid w:val="15D5FA49"/>
    <w:rsid w:val="15DC2BDA"/>
    <w:rsid w:val="15EF8056"/>
    <w:rsid w:val="15FDB023"/>
    <w:rsid w:val="15FFDBBB"/>
    <w:rsid w:val="16057C5B"/>
    <w:rsid w:val="161BCAE6"/>
    <w:rsid w:val="161F0CE2"/>
    <w:rsid w:val="161F5016"/>
    <w:rsid w:val="161FE4EB"/>
    <w:rsid w:val="16332E6D"/>
    <w:rsid w:val="164AD124"/>
    <w:rsid w:val="164C7F84"/>
    <w:rsid w:val="164DF134"/>
    <w:rsid w:val="164FD664"/>
    <w:rsid w:val="1655CDCB"/>
    <w:rsid w:val="165DCF23"/>
    <w:rsid w:val="1682469B"/>
    <w:rsid w:val="169F5926"/>
    <w:rsid w:val="169FD076"/>
    <w:rsid w:val="16ADB9F8"/>
    <w:rsid w:val="16C7FAC4"/>
    <w:rsid w:val="16D112D5"/>
    <w:rsid w:val="16F38760"/>
    <w:rsid w:val="16F619D0"/>
    <w:rsid w:val="16F9C10D"/>
    <w:rsid w:val="16FEBADD"/>
    <w:rsid w:val="170EBCE4"/>
    <w:rsid w:val="17121F21"/>
    <w:rsid w:val="1713E628"/>
    <w:rsid w:val="171E6EC5"/>
    <w:rsid w:val="1724BBB9"/>
    <w:rsid w:val="1728E465"/>
    <w:rsid w:val="1738DCEB"/>
    <w:rsid w:val="1739BC45"/>
    <w:rsid w:val="174494A5"/>
    <w:rsid w:val="17479D2B"/>
    <w:rsid w:val="174A2F5B"/>
    <w:rsid w:val="175332AE"/>
    <w:rsid w:val="17613BF7"/>
    <w:rsid w:val="1766C20F"/>
    <w:rsid w:val="176D3A71"/>
    <w:rsid w:val="1771A711"/>
    <w:rsid w:val="1779F795"/>
    <w:rsid w:val="177DD139"/>
    <w:rsid w:val="17844663"/>
    <w:rsid w:val="178CB8B7"/>
    <w:rsid w:val="17A46521"/>
    <w:rsid w:val="17AB45D5"/>
    <w:rsid w:val="17AF7656"/>
    <w:rsid w:val="17B1BCBB"/>
    <w:rsid w:val="17B1C85C"/>
    <w:rsid w:val="17C745D7"/>
    <w:rsid w:val="17D22289"/>
    <w:rsid w:val="17D246D0"/>
    <w:rsid w:val="17D7E483"/>
    <w:rsid w:val="17E1F301"/>
    <w:rsid w:val="17ED11AE"/>
    <w:rsid w:val="17F50921"/>
    <w:rsid w:val="18090F77"/>
    <w:rsid w:val="180BF093"/>
    <w:rsid w:val="180CAE53"/>
    <w:rsid w:val="18348ABE"/>
    <w:rsid w:val="1837944D"/>
    <w:rsid w:val="183F572B"/>
    <w:rsid w:val="1847D21D"/>
    <w:rsid w:val="184D29E6"/>
    <w:rsid w:val="185C163B"/>
    <w:rsid w:val="1869B3DF"/>
    <w:rsid w:val="186C2090"/>
    <w:rsid w:val="1876D145"/>
    <w:rsid w:val="18771231"/>
    <w:rsid w:val="18884DB6"/>
    <w:rsid w:val="188C2C43"/>
    <w:rsid w:val="1893F974"/>
    <w:rsid w:val="189D5218"/>
    <w:rsid w:val="18A5CE51"/>
    <w:rsid w:val="18B65EC2"/>
    <w:rsid w:val="18B996C9"/>
    <w:rsid w:val="18BCD41C"/>
    <w:rsid w:val="18C37E2D"/>
    <w:rsid w:val="18C7128B"/>
    <w:rsid w:val="18D98583"/>
    <w:rsid w:val="18DA76F1"/>
    <w:rsid w:val="18DD02BD"/>
    <w:rsid w:val="18E36D8C"/>
    <w:rsid w:val="18EC1235"/>
    <w:rsid w:val="18F3318C"/>
    <w:rsid w:val="18F6A62D"/>
    <w:rsid w:val="1914C8EA"/>
    <w:rsid w:val="1919CC2C"/>
    <w:rsid w:val="191A418E"/>
    <w:rsid w:val="191A8D16"/>
    <w:rsid w:val="191C9C2F"/>
    <w:rsid w:val="191D5396"/>
    <w:rsid w:val="19244046"/>
    <w:rsid w:val="1930E978"/>
    <w:rsid w:val="193350F6"/>
    <w:rsid w:val="1937B739"/>
    <w:rsid w:val="194EAB92"/>
    <w:rsid w:val="196770CD"/>
    <w:rsid w:val="196D4A04"/>
    <w:rsid w:val="1976E642"/>
    <w:rsid w:val="1978D916"/>
    <w:rsid w:val="197BE8B0"/>
    <w:rsid w:val="197EFCEA"/>
    <w:rsid w:val="19858A9D"/>
    <w:rsid w:val="1986ADD9"/>
    <w:rsid w:val="1987A228"/>
    <w:rsid w:val="1998CA38"/>
    <w:rsid w:val="19996AA8"/>
    <w:rsid w:val="19A1263D"/>
    <w:rsid w:val="19A27913"/>
    <w:rsid w:val="19A87EB4"/>
    <w:rsid w:val="19B10453"/>
    <w:rsid w:val="19BFFA9D"/>
    <w:rsid w:val="19D88E5E"/>
    <w:rsid w:val="19D91A9D"/>
    <w:rsid w:val="19D997CF"/>
    <w:rsid w:val="19F6F617"/>
    <w:rsid w:val="19F9A3CF"/>
    <w:rsid w:val="1A0EA658"/>
    <w:rsid w:val="1A1BCA78"/>
    <w:rsid w:val="1A236858"/>
    <w:rsid w:val="1A4032B5"/>
    <w:rsid w:val="1A439136"/>
    <w:rsid w:val="1A4C06B6"/>
    <w:rsid w:val="1A5E51CF"/>
    <w:rsid w:val="1A75A7FC"/>
    <w:rsid w:val="1A7B9FC7"/>
    <w:rsid w:val="1A84A273"/>
    <w:rsid w:val="1A90932D"/>
    <w:rsid w:val="1A93F121"/>
    <w:rsid w:val="1AC30433"/>
    <w:rsid w:val="1AC3686B"/>
    <w:rsid w:val="1AD76574"/>
    <w:rsid w:val="1B03F9EA"/>
    <w:rsid w:val="1B06C828"/>
    <w:rsid w:val="1B20794C"/>
    <w:rsid w:val="1B263E2A"/>
    <w:rsid w:val="1B3405EF"/>
    <w:rsid w:val="1B3F6345"/>
    <w:rsid w:val="1B418E58"/>
    <w:rsid w:val="1B51DEA9"/>
    <w:rsid w:val="1B6F350F"/>
    <w:rsid w:val="1B75E9A2"/>
    <w:rsid w:val="1B86AD09"/>
    <w:rsid w:val="1BA582DF"/>
    <w:rsid w:val="1BB261DC"/>
    <w:rsid w:val="1BBA5256"/>
    <w:rsid w:val="1BBE23C9"/>
    <w:rsid w:val="1BC5C47E"/>
    <w:rsid w:val="1BCC6BF3"/>
    <w:rsid w:val="1BDBEED9"/>
    <w:rsid w:val="1BE40BC4"/>
    <w:rsid w:val="1BF5159E"/>
    <w:rsid w:val="1C0063B2"/>
    <w:rsid w:val="1C08A14E"/>
    <w:rsid w:val="1C0939D3"/>
    <w:rsid w:val="1C191F6B"/>
    <w:rsid w:val="1C238A13"/>
    <w:rsid w:val="1C29744D"/>
    <w:rsid w:val="1C304F36"/>
    <w:rsid w:val="1C30E917"/>
    <w:rsid w:val="1C346C7D"/>
    <w:rsid w:val="1C38B58C"/>
    <w:rsid w:val="1C457F95"/>
    <w:rsid w:val="1C457FD2"/>
    <w:rsid w:val="1C514352"/>
    <w:rsid w:val="1C630E2C"/>
    <w:rsid w:val="1C6FAB65"/>
    <w:rsid w:val="1C754A23"/>
    <w:rsid w:val="1C78085A"/>
    <w:rsid w:val="1C7ABDDB"/>
    <w:rsid w:val="1C7B52F2"/>
    <w:rsid w:val="1C7D7369"/>
    <w:rsid w:val="1CAE11E7"/>
    <w:rsid w:val="1CBBC108"/>
    <w:rsid w:val="1CC41643"/>
    <w:rsid w:val="1CC555EB"/>
    <w:rsid w:val="1CD86B6D"/>
    <w:rsid w:val="1CD933BF"/>
    <w:rsid w:val="1D01964F"/>
    <w:rsid w:val="1D0CEB22"/>
    <w:rsid w:val="1D2EF096"/>
    <w:rsid w:val="1D3C221E"/>
    <w:rsid w:val="1D6766C8"/>
    <w:rsid w:val="1D6C42BB"/>
    <w:rsid w:val="1D771C98"/>
    <w:rsid w:val="1D77D377"/>
    <w:rsid w:val="1D8E8EA4"/>
    <w:rsid w:val="1DA341FB"/>
    <w:rsid w:val="1DADE814"/>
    <w:rsid w:val="1DCD4A34"/>
    <w:rsid w:val="1DDC8A99"/>
    <w:rsid w:val="1DDEACD2"/>
    <w:rsid w:val="1DEA6E6F"/>
    <w:rsid w:val="1E05259D"/>
    <w:rsid w:val="1E095956"/>
    <w:rsid w:val="1E1CBFC2"/>
    <w:rsid w:val="1E2099D8"/>
    <w:rsid w:val="1E349F9A"/>
    <w:rsid w:val="1E4C245A"/>
    <w:rsid w:val="1E52A88C"/>
    <w:rsid w:val="1E5E64D8"/>
    <w:rsid w:val="1E666FBD"/>
    <w:rsid w:val="1E68968A"/>
    <w:rsid w:val="1E695CFF"/>
    <w:rsid w:val="1E6A5B74"/>
    <w:rsid w:val="1E6C693B"/>
    <w:rsid w:val="1E7563AB"/>
    <w:rsid w:val="1E8662A5"/>
    <w:rsid w:val="1E92BF20"/>
    <w:rsid w:val="1E9699BD"/>
    <w:rsid w:val="1E97C05B"/>
    <w:rsid w:val="1E98C304"/>
    <w:rsid w:val="1E9FF21B"/>
    <w:rsid w:val="1EA3C4D5"/>
    <w:rsid w:val="1EA4779D"/>
    <w:rsid w:val="1EA6E01C"/>
    <w:rsid w:val="1EA8BB83"/>
    <w:rsid w:val="1EB0541B"/>
    <w:rsid w:val="1EB95124"/>
    <w:rsid w:val="1EBC3167"/>
    <w:rsid w:val="1EBF15F0"/>
    <w:rsid w:val="1EDB0DEA"/>
    <w:rsid w:val="1EE483F0"/>
    <w:rsid w:val="1F0AE646"/>
    <w:rsid w:val="1F0C2E0C"/>
    <w:rsid w:val="1F0F36AA"/>
    <w:rsid w:val="1F15E9BD"/>
    <w:rsid w:val="1F19917A"/>
    <w:rsid w:val="1F2156E1"/>
    <w:rsid w:val="1F241D0F"/>
    <w:rsid w:val="1F298D02"/>
    <w:rsid w:val="1F49B875"/>
    <w:rsid w:val="1F4DB7D8"/>
    <w:rsid w:val="1F54C11C"/>
    <w:rsid w:val="1F6C953C"/>
    <w:rsid w:val="1F8A3D96"/>
    <w:rsid w:val="1F927F76"/>
    <w:rsid w:val="1FACE060"/>
    <w:rsid w:val="1FB2D6C5"/>
    <w:rsid w:val="1FB75EAA"/>
    <w:rsid w:val="1FC6C058"/>
    <w:rsid w:val="1FC704F4"/>
    <w:rsid w:val="1FE259AE"/>
    <w:rsid w:val="1FF79149"/>
    <w:rsid w:val="1FF79A33"/>
    <w:rsid w:val="1FFBCD57"/>
    <w:rsid w:val="1FFE4A93"/>
    <w:rsid w:val="200A6AD3"/>
    <w:rsid w:val="200EFAE6"/>
    <w:rsid w:val="2012F1E3"/>
    <w:rsid w:val="20165236"/>
    <w:rsid w:val="201944F2"/>
    <w:rsid w:val="20206C45"/>
    <w:rsid w:val="20207E07"/>
    <w:rsid w:val="20277AE9"/>
    <w:rsid w:val="202BC87F"/>
    <w:rsid w:val="20308F1C"/>
    <w:rsid w:val="20326A1E"/>
    <w:rsid w:val="20395792"/>
    <w:rsid w:val="203BC27C"/>
    <w:rsid w:val="2043F93C"/>
    <w:rsid w:val="2045D51B"/>
    <w:rsid w:val="2047DD34"/>
    <w:rsid w:val="2048D953"/>
    <w:rsid w:val="205881BB"/>
    <w:rsid w:val="206ADD28"/>
    <w:rsid w:val="206FE2C8"/>
    <w:rsid w:val="2071E8E4"/>
    <w:rsid w:val="209167FC"/>
    <w:rsid w:val="209859C0"/>
    <w:rsid w:val="20ADDA25"/>
    <w:rsid w:val="20EB5185"/>
    <w:rsid w:val="20F1139D"/>
    <w:rsid w:val="20F3A515"/>
    <w:rsid w:val="2104317A"/>
    <w:rsid w:val="21051436"/>
    <w:rsid w:val="210FDE44"/>
    <w:rsid w:val="2112E3D1"/>
    <w:rsid w:val="212F85A8"/>
    <w:rsid w:val="21303F79"/>
    <w:rsid w:val="2143AB4E"/>
    <w:rsid w:val="214BCB5A"/>
    <w:rsid w:val="21560FF0"/>
    <w:rsid w:val="215EF557"/>
    <w:rsid w:val="216D0476"/>
    <w:rsid w:val="2170458F"/>
    <w:rsid w:val="2175DCD6"/>
    <w:rsid w:val="2178D77B"/>
    <w:rsid w:val="217CB6AF"/>
    <w:rsid w:val="2181F1E7"/>
    <w:rsid w:val="219BC2FC"/>
    <w:rsid w:val="21B0F6DC"/>
    <w:rsid w:val="21BE7F87"/>
    <w:rsid w:val="21C77288"/>
    <w:rsid w:val="21C9E49E"/>
    <w:rsid w:val="21CB127D"/>
    <w:rsid w:val="21CE30F0"/>
    <w:rsid w:val="21D539C8"/>
    <w:rsid w:val="21EBFEF8"/>
    <w:rsid w:val="21EFB11D"/>
    <w:rsid w:val="21FE088A"/>
    <w:rsid w:val="21FFDF90"/>
    <w:rsid w:val="220261B9"/>
    <w:rsid w:val="22095262"/>
    <w:rsid w:val="220AE8E0"/>
    <w:rsid w:val="220CADBB"/>
    <w:rsid w:val="2212A395"/>
    <w:rsid w:val="2223919C"/>
    <w:rsid w:val="22245375"/>
    <w:rsid w:val="2225E1FD"/>
    <w:rsid w:val="2228F27D"/>
    <w:rsid w:val="224B449A"/>
    <w:rsid w:val="2250C44D"/>
    <w:rsid w:val="22515B18"/>
    <w:rsid w:val="226BFC76"/>
    <w:rsid w:val="22735D7A"/>
    <w:rsid w:val="227DAB98"/>
    <w:rsid w:val="2284B448"/>
    <w:rsid w:val="228E2093"/>
    <w:rsid w:val="2298AAA5"/>
    <w:rsid w:val="22A2F80E"/>
    <w:rsid w:val="22C2095C"/>
    <w:rsid w:val="22E209F9"/>
    <w:rsid w:val="22E2CBFF"/>
    <w:rsid w:val="22E672FE"/>
    <w:rsid w:val="22E82554"/>
    <w:rsid w:val="22F0039A"/>
    <w:rsid w:val="22F7FB91"/>
    <w:rsid w:val="23089998"/>
    <w:rsid w:val="230A8ED8"/>
    <w:rsid w:val="230BE06D"/>
    <w:rsid w:val="23163DC5"/>
    <w:rsid w:val="231A7D79"/>
    <w:rsid w:val="231EB4D7"/>
    <w:rsid w:val="231EB793"/>
    <w:rsid w:val="23206D2C"/>
    <w:rsid w:val="232324E4"/>
    <w:rsid w:val="232DB4C6"/>
    <w:rsid w:val="233B68F0"/>
    <w:rsid w:val="234C6EC8"/>
    <w:rsid w:val="235BF3CD"/>
    <w:rsid w:val="235C1B9A"/>
    <w:rsid w:val="237A1CC7"/>
    <w:rsid w:val="23876E70"/>
    <w:rsid w:val="23947D9A"/>
    <w:rsid w:val="2398D105"/>
    <w:rsid w:val="239B3BF5"/>
    <w:rsid w:val="23B4D486"/>
    <w:rsid w:val="23D8F4CC"/>
    <w:rsid w:val="23EA1664"/>
    <w:rsid w:val="23EA308E"/>
    <w:rsid w:val="23F7F298"/>
    <w:rsid w:val="24254F4A"/>
    <w:rsid w:val="242F0EFB"/>
    <w:rsid w:val="24395454"/>
    <w:rsid w:val="244A6C55"/>
    <w:rsid w:val="244C36B9"/>
    <w:rsid w:val="24551A69"/>
    <w:rsid w:val="245C154C"/>
    <w:rsid w:val="2481C3D4"/>
    <w:rsid w:val="24893115"/>
    <w:rsid w:val="249117F7"/>
    <w:rsid w:val="2492E80D"/>
    <w:rsid w:val="24B52998"/>
    <w:rsid w:val="24C2643B"/>
    <w:rsid w:val="24D0103F"/>
    <w:rsid w:val="24D244C1"/>
    <w:rsid w:val="24F7C42E"/>
    <w:rsid w:val="24FCCB12"/>
    <w:rsid w:val="25064516"/>
    <w:rsid w:val="2506CAA8"/>
    <w:rsid w:val="25162B3D"/>
    <w:rsid w:val="2532CB8A"/>
    <w:rsid w:val="253A027B"/>
    <w:rsid w:val="253E77C3"/>
    <w:rsid w:val="2541F001"/>
    <w:rsid w:val="2565F8DB"/>
    <w:rsid w:val="25724F76"/>
    <w:rsid w:val="25727199"/>
    <w:rsid w:val="2577E5D0"/>
    <w:rsid w:val="258BCF08"/>
    <w:rsid w:val="25B36C62"/>
    <w:rsid w:val="25B6B191"/>
    <w:rsid w:val="25BC7069"/>
    <w:rsid w:val="25C9543F"/>
    <w:rsid w:val="25D01EE6"/>
    <w:rsid w:val="25D68B7D"/>
    <w:rsid w:val="25EA28CA"/>
    <w:rsid w:val="25FA5CD9"/>
    <w:rsid w:val="2600BCDF"/>
    <w:rsid w:val="2602C7B1"/>
    <w:rsid w:val="261158D7"/>
    <w:rsid w:val="261619C3"/>
    <w:rsid w:val="262D86B6"/>
    <w:rsid w:val="263AF99E"/>
    <w:rsid w:val="263C691B"/>
    <w:rsid w:val="266A4701"/>
    <w:rsid w:val="2682D2A8"/>
    <w:rsid w:val="268A1EAF"/>
    <w:rsid w:val="26A0B2ED"/>
    <w:rsid w:val="26AE281D"/>
    <w:rsid w:val="26B3CD68"/>
    <w:rsid w:val="26C72B66"/>
    <w:rsid w:val="26D79C68"/>
    <w:rsid w:val="26F0F688"/>
    <w:rsid w:val="26FA3ADA"/>
    <w:rsid w:val="26FCFB01"/>
    <w:rsid w:val="2708711C"/>
    <w:rsid w:val="2709F903"/>
    <w:rsid w:val="272C35C8"/>
    <w:rsid w:val="273C8D1C"/>
    <w:rsid w:val="27473099"/>
    <w:rsid w:val="2749CE11"/>
    <w:rsid w:val="275281F2"/>
    <w:rsid w:val="2759AEA7"/>
    <w:rsid w:val="277304FB"/>
    <w:rsid w:val="277ED78F"/>
    <w:rsid w:val="278D2607"/>
    <w:rsid w:val="278DAB29"/>
    <w:rsid w:val="2796618B"/>
    <w:rsid w:val="27983648"/>
    <w:rsid w:val="279F56DE"/>
    <w:rsid w:val="27A7993E"/>
    <w:rsid w:val="27AC28D6"/>
    <w:rsid w:val="27B5B3FA"/>
    <w:rsid w:val="27DC5F04"/>
    <w:rsid w:val="27DE2A79"/>
    <w:rsid w:val="27EA4BD8"/>
    <w:rsid w:val="27ECC7D3"/>
    <w:rsid w:val="27F8F1E4"/>
    <w:rsid w:val="28127C21"/>
    <w:rsid w:val="2825A765"/>
    <w:rsid w:val="2827E58F"/>
    <w:rsid w:val="282F64F0"/>
    <w:rsid w:val="2845F13F"/>
    <w:rsid w:val="28535D7C"/>
    <w:rsid w:val="285F2C3D"/>
    <w:rsid w:val="286F9CBA"/>
    <w:rsid w:val="28709E5E"/>
    <w:rsid w:val="28780687"/>
    <w:rsid w:val="2898A02F"/>
    <w:rsid w:val="289B9381"/>
    <w:rsid w:val="28A285A0"/>
    <w:rsid w:val="28A2DFA9"/>
    <w:rsid w:val="28A4CAC1"/>
    <w:rsid w:val="28B01863"/>
    <w:rsid w:val="28B39581"/>
    <w:rsid w:val="28CE1CF8"/>
    <w:rsid w:val="28EAD116"/>
    <w:rsid w:val="28FABAA5"/>
    <w:rsid w:val="290A86A5"/>
    <w:rsid w:val="292DEC97"/>
    <w:rsid w:val="292E890A"/>
    <w:rsid w:val="292F5875"/>
    <w:rsid w:val="29325B8F"/>
    <w:rsid w:val="2938562D"/>
    <w:rsid w:val="29401520"/>
    <w:rsid w:val="2947C969"/>
    <w:rsid w:val="294D12B9"/>
    <w:rsid w:val="294E04EE"/>
    <w:rsid w:val="29583F7C"/>
    <w:rsid w:val="2959852E"/>
    <w:rsid w:val="295E0ED3"/>
    <w:rsid w:val="2964BAD7"/>
    <w:rsid w:val="2968A6BE"/>
    <w:rsid w:val="2980F3B9"/>
    <w:rsid w:val="2981BEE3"/>
    <w:rsid w:val="2982E436"/>
    <w:rsid w:val="29A6D1FD"/>
    <w:rsid w:val="29A896CB"/>
    <w:rsid w:val="29AF1A2F"/>
    <w:rsid w:val="29C4843F"/>
    <w:rsid w:val="29D0DC8B"/>
    <w:rsid w:val="29D2CE53"/>
    <w:rsid w:val="29E6DBCC"/>
    <w:rsid w:val="29EB6E2A"/>
    <w:rsid w:val="29F7DA9F"/>
    <w:rsid w:val="29F8904C"/>
    <w:rsid w:val="29F9463E"/>
    <w:rsid w:val="29FE78C6"/>
    <w:rsid w:val="2A0D1AAE"/>
    <w:rsid w:val="2A13A381"/>
    <w:rsid w:val="2A1A94EF"/>
    <w:rsid w:val="2A249B3B"/>
    <w:rsid w:val="2A25C7DB"/>
    <w:rsid w:val="2A26552B"/>
    <w:rsid w:val="2A346CE7"/>
    <w:rsid w:val="2A49BCA8"/>
    <w:rsid w:val="2A4EF947"/>
    <w:rsid w:val="2A604125"/>
    <w:rsid w:val="2A6706EA"/>
    <w:rsid w:val="2A6BC2AC"/>
    <w:rsid w:val="2A7C434F"/>
    <w:rsid w:val="2A84E6B6"/>
    <w:rsid w:val="2A84F25C"/>
    <w:rsid w:val="2A8E11EE"/>
    <w:rsid w:val="2A993D14"/>
    <w:rsid w:val="2A9C125C"/>
    <w:rsid w:val="2AAB921B"/>
    <w:rsid w:val="2ABD3E33"/>
    <w:rsid w:val="2AC04FD4"/>
    <w:rsid w:val="2AD3ADDD"/>
    <w:rsid w:val="2AD8A9A6"/>
    <w:rsid w:val="2AE21A6D"/>
    <w:rsid w:val="2AE399CA"/>
    <w:rsid w:val="2AEA4AFA"/>
    <w:rsid w:val="2AF059E6"/>
    <w:rsid w:val="2AF5BB8D"/>
    <w:rsid w:val="2AFB42CA"/>
    <w:rsid w:val="2B13ADE9"/>
    <w:rsid w:val="2B16D0EC"/>
    <w:rsid w:val="2B1A84E9"/>
    <w:rsid w:val="2B1BB19A"/>
    <w:rsid w:val="2B440674"/>
    <w:rsid w:val="2B573D0D"/>
    <w:rsid w:val="2B5B59F8"/>
    <w:rsid w:val="2B61A2A5"/>
    <w:rsid w:val="2B6C6533"/>
    <w:rsid w:val="2B6F078D"/>
    <w:rsid w:val="2B6F77A0"/>
    <w:rsid w:val="2B71B63C"/>
    <w:rsid w:val="2B8A5715"/>
    <w:rsid w:val="2B90B1EE"/>
    <w:rsid w:val="2BA0BE5F"/>
    <w:rsid w:val="2BB13591"/>
    <w:rsid w:val="2BB39BE6"/>
    <w:rsid w:val="2BC8689D"/>
    <w:rsid w:val="2BD05E0C"/>
    <w:rsid w:val="2BDD2AC2"/>
    <w:rsid w:val="2BE1A8AC"/>
    <w:rsid w:val="2BE9B380"/>
    <w:rsid w:val="2BEAEF2D"/>
    <w:rsid w:val="2BF4C3E5"/>
    <w:rsid w:val="2BF5A1B8"/>
    <w:rsid w:val="2C10AF07"/>
    <w:rsid w:val="2C10EEA9"/>
    <w:rsid w:val="2C131299"/>
    <w:rsid w:val="2C29D764"/>
    <w:rsid w:val="2C37E2BD"/>
    <w:rsid w:val="2C3DEC0D"/>
    <w:rsid w:val="2C6ED811"/>
    <w:rsid w:val="2C7A6ED6"/>
    <w:rsid w:val="2C7F4EED"/>
    <w:rsid w:val="2C85A5B0"/>
    <w:rsid w:val="2CA38F1A"/>
    <w:rsid w:val="2CB76C25"/>
    <w:rsid w:val="2CB86545"/>
    <w:rsid w:val="2CBD8D51"/>
    <w:rsid w:val="2CC046E0"/>
    <w:rsid w:val="2CCBCE00"/>
    <w:rsid w:val="2CD6DAE8"/>
    <w:rsid w:val="2CDB16D8"/>
    <w:rsid w:val="2CDCFB24"/>
    <w:rsid w:val="2CE02398"/>
    <w:rsid w:val="2CE6AB0D"/>
    <w:rsid w:val="2D09E68F"/>
    <w:rsid w:val="2D0B62AC"/>
    <w:rsid w:val="2D19F14C"/>
    <w:rsid w:val="2D223ABE"/>
    <w:rsid w:val="2D2F5F11"/>
    <w:rsid w:val="2D3AFADB"/>
    <w:rsid w:val="2D3D17BA"/>
    <w:rsid w:val="2D678818"/>
    <w:rsid w:val="2D780486"/>
    <w:rsid w:val="2D81D66F"/>
    <w:rsid w:val="2D895257"/>
    <w:rsid w:val="2D903A61"/>
    <w:rsid w:val="2D91DEB7"/>
    <w:rsid w:val="2DB24ADF"/>
    <w:rsid w:val="2DBBF4D2"/>
    <w:rsid w:val="2DC2E16B"/>
    <w:rsid w:val="2DE0ADB8"/>
    <w:rsid w:val="2DE8C5D5"/>
    <w:rsid w:val="2E013CA9"/>
    <w:rsid w:val="2E02A85E"/>
    <w:rsid w:val="2E1A1011"/>
    <w:rsid w:val="2E1A4204"/>
    <w:rsid w:val="2E1CECED"/>
    <w:rsid w:val="2E27D9E4"/>
    <w:rsid w:val="2E2B4E92"/>
    <w:rsid w:val="2E2CA416"/>
    <w:rsid w:val="2E4D40DF"/>
    <w:rsid w:val="2E56175C"/>
    <w:rsid w:val="2E5EE464"/>
    <w:rsid w:val="2E6D4C3C"/>
    <w:rsid w:val="2E6F6F5C"/>
    <w:rsid w:val="2E74E18C"/>
    <w:rsid w:val="2E75A2B9"/>
    <w:rsid w:val="2E774653"/>
    <w:rsid w:val="2E787F74"/>
    <w:rsid w:val="2E84E9E2"/>
    <w:rsid w:val="2E994367"/>
    <w:rsid w:val="2E9CAEE1"/>
    <w:rsid w:val="2EA16429"/>
    <w:rsid w:val="2EB3B792"/>
    <w:rsid w:val="2EC27CA0"/>
    <w:rsid w:val="2EC4E721"/>
    <w:rsid w:val="2ECC016F"/>
    <w:rsid w:val="2ED96001"/>
    <w:rsid w:val="2EDDD11D"/>
    <w:rsid w:val="2EE669F9"/>
    <w:rsid w:val="2EE9337E"/>
    <w:rsid w:val="2EFDACBF"/>
    <w:rsid w:val="2F091C04"/>
    <w:rsid w:val="2F19D1FC"/>
    <w:rsid w:val="2F4080DC"/>
    <w:rsid w:val="2F48B72A"/>
    <w:rsid w:val="2F570F16"/>
    <w:rsid w:val="2F7342CA"/>
    <w:rsid w:val="2F7431F6"/>
    <w:rsid w:val="2F7FD862"/>
    <w:rsid w:val="2F80B2C6"/>
    <w:rsid w:val="2F84E140"/>
    <w:rsid w:val="2F89F56D"/>
    <w:rsid w:val="2FA82065"/>
    <w:rsid w:val="2FAA7D2F"/>
    <w:rsid w:val="2FBB7F57"/>
    <w:rsid w:val="2FC6B9D4"/>
    <w:rsid w:val="2FE3B46B"/>
    <w:rsid w:val="2FFC6913"/>
    <w:rsid w:val="2FFE07F1"/>
    <w:rsid w:val="30018D80"/>
    <w:rsid w:val="3008B9B6"/>
    <w:rsid w:val="300FD1FA"/>
    <w:rsid w:val="301018FC"/>
    <w:rsid w:val="30131C96"/>
    <w:rsid w:val="301D47E7"/>
    <w:rsid w:val="302587C3"/>
    <w:rsid w:val="302ECB1B"/>
    <w:rsid w:val="30396536"/>
    <w:rsid w:val="3061B07D"/>
    <w:rsid w:val="30644DEF"/>
    <w:rsid w:val="3066209A"/>
    <w:rsid w:val="30684E53"/>
    <w:rsid w:val="30837177"/>
    <w:rsid w:val="3088A0A0"/>
    <w:rsid w:val="3091CA95"/>
    <w:rsid w:val="30991BE5"/>
    <w:rsid w:val="309FCBB8"/>
    <w:rsid w:val="30A4A4F7"/>
    <w:rsid w:val="30A7D346"/>
    <w:rsid w:val="30BDEBD4"/>
    <w:rsid w:val="30C80829"/>
    <w:rsid w:val="30D7ABEF"/>
    <w:rsid w:val="30DB5B56"/>
    <w:rsid w:val="30E8E632"/>
    <w:rsid w:val="30F64CE6"/>
    <w:rsid w:val="30F68C6A"/>
    <w:rsid w:val="3109507A"/>
    <w:rsid w:val="3114EBD0"/>
    <w:rsid w:val="314975E7"/>
    <w:rsid w:val="314B4427"/>
    <w:rsid w:val="31515BF1"/>
    <w:rsid w:val="315E5912"/>
    <w:rsid w:val="3169CB12"/>
    <w:rsid w:val="316E4ADD"/>
    <w:rsid w:val="3175FCBF"/>
    <w:rsid w:val="3179E0FA"/>
    <w:rsid w:val="31892FBA"/>
    <w:rsid w:val="318BECC1"/>
    <w:rsid w:val="31909B76"/>
    <w:rsid w:val="31ACFF76"/>
    <w:rsid w:val="31AF6702"/>
    <w:rsid w:val="31BF9136"/>
    <w:rsid w:val="31C2C22C"/>
    <w:rsid w:val="31C32DE3"/>
    <w:rsid w:val="31C3EDE8"/>
    <w:rsid w:val="31D3BE54"/>
    <w:rsid w:val="31DA32C4"/>
    <w:rsid w:val="31DF15F6"/>
    <w:rsid w:val="31E59D1D"/>
    <w:rsid w:val="3216F2FE"/>
    <w:rsid w:val="32346120"/>
    <w:rsid w:val="32368352"/>
    <w:rsid w:val="325F684D"/>
    <w:rsid w:val="32651207"/>
    <w:rsid w:val="3273E56C"/>
    <w:rsid w:val="3274C093"/>
    <w:rsid w:val="329E44D5"/>
    <w:rsid w:val="32A0E7C3"/>
    <w:rsid w:val="32AE0D73"/>
    <w:rsid w:val="32BED227"/>
    <w:rsid w:val="32BFB784"/>
    <w:rsid w:val="32C35532"/>
    <w:rsid w:val="32DDBB69"/>
    <w:rsid w:val="32F54D72"/>
    <w:rsid w:val="32FC3AE3"/>
    <w:rsid w:val="32FD55C5"/>
    <w:rsid w:val="33120D16"/>
    <w:rsid w:val="3313FE81"/>
    <w:rsid w:val="3328D15E"/>
    <w:rsid w:val="332BB005"/>
    <w:rsid w:val="3335739B"/>
    <w:rsid w:val="333A31A8"/>
    <w:rsid w:val="334AA383"/>
    <w:rsid w:val="336CB789"/>
    <w:rsid w:val="337FFB66"/>
    <w:rsid w:val="33807224"/>
    <w:rsid w:val="3391F757"/>
    <w:rsid w:val="33A6AE69"/>
    <w:rsid w:val="33AE4D0A"/>
    <w:rsid w:val="33B44B79"/>
    <w:rsid w:val="33B90BF1"/>
    <w:rsid w:val="33BDD7B4"/>
    <w:rsid w:val="33CDC6D6"/>
    <w:rsid w:val="33DFE673"/>
    <w:rsid w:val="34016093"/>
    <w:rsid w:val="3408C9C7"/>
    <w:rsid w:val="340E87EC"/>
    <w:rsid w:val="3421D44C"/>
    <w:rsid w:val="342C822F"/>
    <w:rsid w:val="3442F4A2"/>
    <w:rsid w:val="34550E97"/>
    <w:rsid w:val="345AC940"/>
    <w:rsid w:val="34634E1C"/>
    <w:rsid w:val="346431A5"/>
    <w:rsid w:val="346544CF"/>
    <w:rsid w:val="346E6AE6"/>
    <w:rsid w:val="34703C56"/>
    <w:rsid w:val="347FDCD9"/>
    <w:rsid w:val="348EF07A"/>
    <w:rsid w:val="3498FFF0"/>
    <w:rsid w:val="3499ABBE"/>
    <w:rsid w:val="3499B93A"/>
    <w:rsid w:val="34AB131A"/>
    <w:rsid w:val="34AF2FF9"/>
    <w:rsid w:val="34AF5B04"/>
    <w:rsid w:val="34B3C5B6"/>
    <w:rsid w:val="34CBB11D"/>
    <w:rsid w:val="34CCA8EB"/>
    <w:rsid w:val="34DD3668"/>
    <w:rsid w:val="34E065D2"/>
    <w:rsid w:val="34EDE1DD"/>
    <w:rsid w:val="34EE5FBC"/>
    <w:rsid w:val="34FC6E16"/>
    <w:rsid w:val="3502CFEF"/>
    <w:rsid w:val="350DE7F8"/>
    <w:rsid w:val="352ACC06"/>
    <w:rsid w:val="35322452"/>
    <w:rsid w:val="35381C8B"/>
    <w:rsid w:val="353BCE8F"/>
    <w:rsid w:val="3552049A"/>
    <w:rsid w:val="355813CB"/>
    <w:rsid w:val="355E7314"/>
    <w:rsid w:val="357DD295"/>
    <w:rsid w:val="3580763F"/>
    <w:rsid w:val="359997AC"/>
    <w:rsid w:val="359CB1EC"/>
    <w:rsid w:val="35A17343"/>
    <w:rsid w:val="35BC174F"/>
    <w:rsid w:val="35BDCB2C"/>
    <w:rsid w:val="35C5D85A"/>
    <w:rsid w:val="35C6E5A5"/>
    <w:rsid w:val="35DEC503"/>
    <w:rsid w:val="35E290D4"/>
    <w:rsid w:val="35F3C0D5"/>
    <w:rsid w:val="35FA2370"/>
    <w:rsid w:val="3604DAE2"/>
    <w:rsid w:val="3606186A"/>
    <w:rsid w:val="360D08D6"/>
    <w:rsid w:val="361D8D2A"/>
    <w:rsid w:val="3629846A"/>
    <w:rsid w:val="36345E62"/>
    <w:rsid w:val="3634CAF9"/>
    <w:rsid w:val="363FF3F5"/>
    <w:rsid w:val="364146A1"/>
    <w:rsid w:val="3658423C"/>
    <w:rsid w:val="3670366D"/>
    <w:rsid w:val="3670B0D8"/>
    <w:rsid w:val="3679CC24"/>
    <w:rsid w:val="367C86B5"/>
    <w:rsid w:val="36803242"/>
    <w:rsid w:val="3683034F"/>
    <w:rsid w:val="3689CC7B"/>
    <w:rsid w:val="3699BA58"/>
    <w:rsid w:val="369DA30D"/>
    <w:rsid w:val="369DA33C"/>
    <w:rsid w:val="36AADEF1"/>
    <w:rsid w:val="36AB1781"/>
    <w:rsid w:val="36B45576"/>
    <w:rsid w:val="36B6884D"/>
    <w:rsid w:val="36D14F38"/>
    <w:rsid w:val="36D2320B"/>
    <w:rsid w:val="36D52F30"/>
    <w:rsid w:val="36D8DF31"/>
    <w:rsid w:val="36E834AC"/>
    <w:rsid w:val="36F7BCC0"/>
    <w:rsid w:val="37031E43"/>
    <w:rsid w:val="3704D1C4"/>
    <w:rsid w:val="3708C997"/>
    <w:rsid w:val="370A68FA"/>
    <w:rsid w:val="3716A6FC"/>
    <w:rsid w:val="371B60CC"/>
    <w:rsid w:val="37224327"/>
    <w:rsid w:val="37322247"/>
    <w:rsid w:val="37374E5F"/>
    <w:rsid w:val="373FC1A2"/>
    <w:rsid w:val="37409D61"/>
    <w:rsid w:val="37476E9A"/>
    <w:rsid w:val="37579A17"/>
    <w:rsid w:val="375BB6E9"/>
    <w:rsid w:val="3764E9D8"/>
    <w:rsid w:val="3767B80F"/>
    <w:rsid w:val="378D163D"/>
    <w:rsid w:val="37A7CFC6"/>
    <w:rsid w:val="37B28B96"/>
    <w:rsid w:val="37B31937"/>
    <w:rsid w:val="37C5313C"/>
    <w:rsid w:val="37C98D3B"/>
    <w:rsid w:val="37D834D9"/>
    <w:rsid w:val="37DA5649"/>
    <w:rsid w:val="37DB3941"/>
    <w:rsid w:val="37F3C27D"/>
    <w:rsid w:val="37F7B027"/>
    <w:rsid w:val="3805DCD7"/>
    <w:rsid w:val="380AF34A"/>
    <w:rsid w:val="380E9921"/>
    <w:rsid w:val="3814AD73"/>
    <w:rsid w:val="381A556B"/>
    <w:rsid w:val="382D5A5F"/>
    <w:rsid w:val="382F5482"/>
    <w:rsid w:val="38382B73"/>
    <w:rsid w:val="384D0530"/>
    <w:rsid w:val="38531D03"/>
    <w:rsid w:val="3861EDD3"/>
    <w:rsid w:val="387A1AE1"/>
    <w:rsid w:val="389319F9"/>
    <w:rsid w:val="389ACFCD"/>
    <w:rsid w:val="389ED3B7"/>
    <w:rsid w:val="389EEEA4"/>
    <w:rsid w:val="38A74EBB"/>
    <w:rsid w:val="38ABB4A1"/>
    <w:rsid w:val="38B0FFD6"/>
    <w:rsid w:val="38B32BB2"/>
    <w:rsid w:val="38BBEC29"/>
    <w:rsid w:val="38BF6F11"/>
    <w:rsid w:val="38C2ED1A"/>
    <w:rsid w:val="38C5DD1D"/>
    <w:rsid w:val="38CCB598"/>
    <w:rsid w:val="38D94EDE"/>
    <w:rsid w:val="38F1E723"/>
    <w:rsid w:val="38F3A46D"/>
    <w:rsid w:val="390CEE01"/>
    <w:rsid w:val="390F635C"/>
    <w:rsid w:val="391535F2"/>
    <w:rsid w:val="39176686"/>
    <w:rsid w:val="3929D828"/>
    <w:rsid w:val="392BAF7F"/>
    <w:rsid w:val="3943703A"/>
    <w:rsid w:val="394CD76E"/>
    <w:rsid w:val="39601E0B"/>
    <w:rsid w:val="397565EE"/>
    <w:rsid w:val="39759CF1"/>
    <w:rsid w:val="397A1EC6"/>
    <w:rsid w:val="397A4F60"/>
    <w:rsid w:val="397D8549"/>
    <w:rsid w:val="398B54B6"/>
    <w:rsid w:val="39A0AA2C"/>
    <w:rsid w:val="39AB01D0"/>
    <w:rsid w:val="39AE0E8B"/>
    <w:rsid w:val="39B561CF"/>
    <w:rsid w:val="39BB71E0"/>
    <w:rsid w:val="39BBF6D4"/>
    <w:rsid w:val="39C27E0A"/>
    <w:rsid w:val="39D6B712"/>
    <w:rsid w:val="39D9773E"/>
    <w:rsid w:val="39D97B91"/>
    <w:rsid w:val="39F30A54"/>
    <w:rsid w:val="39F71406"/>
    <w:rsid w:val="39F7CF59"/>
    <w:rsid w:val="3A00B612"/>
    <w:rsid w:val="3A09E14A"/>
    <w:rsid w:val="3A10D6BC"/>
    <w:rsid w:val="3A138EA5"/>
    <w:rsid w:val="3A14B864"/>
    <w:rsid w:val="3A27EC47"/>
    <w:rsid w:val="3A2E8E61"/>
    <w:rsid w:val="3A33C5CE"/>
    <w:rsid w:val="3A341694"/>
    <w:rsid w:val="3A3A1A08"/>
    <w:rsid w:val="3A3ABF05"/>
    <w:rsid w:val="3A3AF593"/>
    <w:rsid w:val="3A3B5802"/>
    <w:rsid w:val="3A59E3E9"/>
    <w:rsid w:val="3A602315"/>
    <w:rsid w:val="3A783D1E"/>
    <w:rsid w:val="3A8B16DE"/>
    <w:rsid w:val="3A8ED162"/>
    <w:rsid w:val="3A9FEEA2"/>
    <w:rsid w:val="3AA85161"/>
    <w:rsid w:val="3AB23626"/>
    <w:rsid w:val="3AC2C2C0"/>
    <w:rsid w:val="3AD0BA55"/>
    <w:rsid w:val="3AD20C6B"/>
    <w:rsid w:val="3ADADD50"/>
    <w:rsid w:val="3ADF7DDA"/>
    <w:rsid w:val="3AE079F9"/>
    <w:rsid w:val="3AEB82A5"/>
    <w:rsid w:val="3AF9E4C7"/>
    <w:rsid w:val="3AFD29F8"/>
    <w:rsid w:val="3B3867CA"/>
    <w:rsid w:val="3B49D491"/>
    <w:rsid w:val="3B4D44A6"/>
    <w:rsid w:val="3B56799D"/>
    <w:rsid w:val="3B56CD46"/>
    <w:rsid w:val="3B5DCE06"/>
    <w:rsid w:val="3B678393"/>
    <w:rsid w:val="3B6FD9A4"/>
    <w:rsid w:val="3B736B0C"/>
    <w:rsid w:val="3B74CF45"/>
    <w:rsid w:val="3B78FA51"/>
    <w:rsid w:val="3B945926"/>
    <w:rsid w:val="3B9AD84B"/>
    <w:rsid w:val="3BA2CCAA"/>
    <w:rsid w:val="3BADF710"/>
    <w:rsid w:val="3BB8B8E4"/>
    <w:rsid w:val="3BC98852"/>
    <w:rsid w:val="3BE28876"/>
    <w:rsid w:val="3BE291E0"/>
    <w:rsid w:val="3BF4ED6D"/>
    <w:rsid w:val="3C01099B"/>
    <w:rsid w:val="3C0EC969"/>
    <w:rsid w:val="3C143744"/>
    <w:rsid w:val="3C1999AA"/>
    <w:rsid w:val="3C202F2B"/>
    <w:rsid w:val="3C2BC32B"/>
    <w:rsid w:val="3C348AF8"/>
    <w:rsid w:val="3C3D104E"/>
    <w:rsid w:val="3C45330D"/>
    <w:rsid w:val="3C4CAD5C"/>
    <w:rsid w:val="3C4D58EE"/>
    <w:rsid w:val="3C525DEB"/>
    <w:rsid w:val="3C5762FE"/>
    <w:rsid w:val="3C610601"/>
    <w:rsid w:val="3C705F78"/>
    <w:rsid w:val="3C9B1C8C"/>
    <w:rsid w:val="3CA0F783"/>
    <w:rsid w:val="3CA1EFE5"/>
    <w:rsid w:val="3CB5260B"/>
    <w:rsid w:val="3CB5F4CA"/>
    <w:rsid w:val="3CB83013"/>
    <w:rsid w:val="3CBC0B42"/>
    <w:rsid w:val="3CC32D84"/>
    <w:rsid w:val="3CC7AEB9"/>
    <w:rsid w:val="3CCF15B8"/>
    <w:rsid w:val="3CD1E36A"/>
    <w:rsid w:val="3CD7E5D2"/>
    <w:rsid w:val="3CE952E3"/>
    <w:rsid w:val="3CF1DFA2"/>
    <w:rsid w:val="3CF30C03"/>
    <w:rsid w:val="3CF351D7"/>
    <w:rsid w:val="3CF7DF58"/>
    <w:rsid w:val="3D067E2F"/>
    <w:rsid w:val="3D123798"/>
    <w:rsid w:val="3D2319C7"/>
    <w:rsid w:val="3D4E741B"/>
    <w:rsid w:val="3D5C65CB"/>
    <w:rsid w:val="3D6DE07F"/>
    <w:rsid w:val="3D6F9B54"/>
    <w:rsid w:val="3D7EBEFB"/>
    <w:rsid w:val="3D9410CE"/>
    <w:rsid w:val="3D9B36BC"/>
    <w:rsid w:val="3DA62C0C"/>
    <w:rsid w:val="3DB929AA"/>
    <w:rsid w:val="3DC893D4"/>
    <w:rsid w:val="3DCDF623"/>
    <w:rsid w:val="3DCEBD80"/>
    <w:rsid w:val="3DE1108E"/>
    <w:rsid w:val="3DEC0D84"/>
    <w:rsid w:val="3DF3CBBF"/>
    <w:rsid w:val="3DF5BDFC"/>
    <w:rsid w:val="3E17A0E4"/>
    <w:rsid w:val="3E217269"/>
    <w:rsid w:val="3E256232"/>
    <w:rsid w:val="3E3A49A1"/>
    <w:rsid w:val="3E43E5FA"/>
    <w:rsid w:val="3E449BF2"/>
    <w:rsid w:val="3E6448D9"/>
    <w:rsid w:val="3E717852"/>
    <w:rsid w:val="3E7665A6"/>
    <w:rsid w:val="3E8085F1"/>
    <w:rsid w:val="3E9191EE"/>
    <w:rsid w:val="3EB66625"/>
    <w:rsid w:val="3EB9EB41"/>
    <w:rsid w:val="3EF14E96"/>
    <w:rsid w:val="3EF8362C"/>
    <w:rsid w:val="3EF99F42"/>
    <w:rsid w:val="3EFF0565"/>
    <w:rsid w:val="3F02235E"/>
    <w:rsid w:val="3F07892E"/>
    <w:rsid w:val="3F0D52CA"/>
    <w:rsid w:val="3F113124"/>
    <w:rsid w:val="3F17E780"/>
    <w:rsid w:val="3F1970A9"/>
    <w:rsid w:val="3F2EB095"/>
    <w:rsid w:val="3F3047B1"/>
    <w:rsid w:val="3F340F54"/>
    <w:rsid w:val="3F38DB8B"/>
    <w:rsid w:val="3F46B58D"/>
    <w:rsid w:val="3F50725F"/>
    <w:rsid w:val="3F5AE1B0"/>
    <w:rsid w:val="3F634C19"/>
    <w:rsid w:val="3F692AF4"/>
    <w:rsid w:val="3F7DA8E6"/>
    <w:rsid w:val="3F7F65F6"/>
    <w:rsid w:val="3F85A749"/>
    <w:rsid w:val="3F8953A7"/>
    <w:rsid w:val="3F97E42A"/>
    <w:rsid w:val="3F9BFC92"/>
    <w:rsid w:val="3F9E9907"/>
    <w:rsid w:val="3FA1BD29"/>
    <w:rsid w:val="3FA4C946"/>
    <w:rsid w:val="3FABF13F"/>
    <w:rsid w:val="3FB5DE95"/>
    <w:rsid w:val="3FBE1340"/>
    <w:rsid w:val="3FCD618F"/>
    <w:rsid w:val="3FD1A321"/>
    <w:rsid w:val="3FD82EC7"/>
    <w:rsid w:val="3FD97FE6"/>
    <w:rsid w:val="3FDCFAD7"/>
    <w:rsid w:val="3FE3690E"/>
    <w:rsid w:val="3FEA610B"/>
    <w:rsid w:val="3FF3AC04"/>
    <w:rsid w:val="3FFC179D"/>
    <w:rsid w:val="4001C963"/>
    <w:rsid w:val="401A8602"/>
    <w:rsid w:val="401ABE8C"/>
    <w:rsid w:val="401B4578"/>
    <w:rsid w:val="401D81A4"/>
    <w:rsid w:val="4023FA08"/>
    <w:rsid w:val="4024A92F"/>
    <w:rsid w:val="40395A7D"/>
    <w:rsid w:val="40433A04"/>
    <w:rsid w:val="404AB1F8"/>
    <w:rsid w:val="405036FD"/>
    <w:rsid w:val="405ABA89"/>
    <w:rsid w:val="4064CD3D"/>
    <w:rsid w:val="406CC55B"/>
    <w:rsid w:val="4072FB0E"/>
    <w:rsid w:val="407FFEC4"/>
    <w:rsid w:val="4090A6CC"/>
    <w:rsid w:val="409C2709"/>
    <w:rsid w:val="40C1C364"/>
    <w:rsid w:val="40F6D723"/>
    <w:rsid w:val="40F78121"/>
    <w:rsid w:val="40FF86C1"/>
    <w:rsid w:val="4105E55B"/>
    <w:rsid w:val="410F4B1F"/>
    <w:rsid w:val="4123DDDA"/>
    <w:rsid w:val="41458BE6"/>
    <w:rsid w:val="415E5A9B"/>
    <w:rsid w:val="41723736"/>
    <w:rsid w:val="4188972E"/>
    <w:rsid w:val="4190F3C6"/>
    <w:rsid w:val="41A013F6"/>
    <w:rsid w:val="41A51B8C"/>
    <w:rsid w:val="41BBD1AB"/>
    <w:rsid w:val="41C4657F"/>
    <w:rsid w:val="41C4C325"/>
    <w:rsid w:val="41CA7D66"/>
    <w:rsid w:val="41D4260F"/>
    <w:rsid w:val="41D9F2C1"/>
    <w:rsid w:val="41DD7139"/>
    <w:rsid w:val="41DF3420"/>
    <w:rsid w:val="41E18B7B"/>
    <w:rsid w:val="41E453F4"/>
    <w:rsid w:val="41E5466C"/>
    <w:rsid w:val="41EB241C"/>
    <w:rsid w:val="42009D9E"/>
    <w:rsid w:val="420F90C2"/>
    <w:rsid w:val="42112BF7"/>
    <w:rsid w:val="4217C246"/>
    <w:rsid w:val="4224DD7D"/>
    <w:rsid w:val="42379181"/>
    <w:rsid w:val="423BF097"/>
    <w:rsid w:val="4245D0EA"/>
    <w:rsid w:val="4251382C"/>
    <w:rsid w:val="42622975"/>
    <w:rsid w:val="428B2ECF"/>
    <w:rsid w:val="428FCAB2"/>
    <w:rsid w:val="42B06DC5"/>
    <w:rsid w:val="42B6D3E7"/>
    <w:rsid w:val="42B6DFC9"/>
    <w:rsid w:val="42C8CC33"/>
    <w:rsid w:val="42D94D29"/>
    <w:rsid w:val="42E18531"/>
    <w:rsid w:val="42E82D9D"/>
    <w:rsid w:val="42FAD2CB"/>
    <w:rsid w:val="43234787"/>
    <w:rsid w:val="43464260"/>
    <w:rsid w:val="43464877"/>
    <w:rsid w:val="43557ABF"/>
    <w:rsid w:val="4357D0B8"/>
    <w:rsid w:val="43628E98"/>
    <w:rsid w:val="436294B3"/>
    <w:rsid w:val="4374704B"/>
    <w:rsid w:val="43954C86"/>
    <w:rsid w:val="439E92BD"/>
    <w:rsid w:val="43A990CD"/>
    <w:rsid w:val="43AD70C6"/>
    <w:rsid w:val="43B1D780"/>
    <w:rsid w:val="43B79B25"/>
    <w:rsid w:val="43DA14AB"/>
    <w:rsid w:val="43E88924"/>
    <w:rsid w:val="43F2307D"/>
    <w:rsid w:val="440FBBA1"/>
    <w:rsid w:val="4418D66C"/>
    <w:rsid w:val="4428D20D"/>
    <w:rsid w:val="4430DBAF"/>
    <w:rsid w:val="44496B1D"/>
    <w:rsid w:val="445A2DDC"/>
    <w:rsid w:val="445E30AA"/>
    <w:rsid w:val="4464C466"/>
    <w:rsid w:val="4469E673"/>
    <w:rsid w:val="448980D4"/>
    <w:rsid w:val="448F5510"/>
    <w:rsid w:val="44A1158B"/>
    <w:rsid w:val="44A70E03"/>
    <w:rsid w:val="44BC1A31"/>
    <w:rsid w:val="44BCBD63"/>
    <w:rsid w:val="44C037F0"/>
    <w:rsid w:val="44C353ED"/>
    <w:rsid w:val="44D5E2B0"/>
    <w:rsid w:val="44F1212F"/>
    <w:rsid w:val="44FAF3FF"/>
    <w:rsid w:val="44FD7DD9"/>
    <w:rsid w:val="4522EE3E"/>
    <w:rsid w:val="452E585C"/>
    <w:rsid w:val="4538C15B"/>
    <w:rsid w:val="45402BE6"/>
    <w:rsid w:val="454DBA25"/>
    <w:rsid w:val="4564E58E"/>
    <w:rsid w:val="45653F41"/>
    <w:rsid w:val="456C2BF6"/>
    <w:rsid w:val="4588910B"/>
    <w:rsid w:val="458B01EE"/>
    <w:rsid w:val="45953487"/>
    <w:rsid w:val="45A12B55"/>
    <w:rsid w:val="45B56036"/>
    <w:rsid w:val="45B5FE90"/>
    <w:rsid w:val="45B83B32"/>
    <w:rsid w:val="45B861A8"/>
    <w:rsid w:val="45C0ADD9"/>
    <w:rsid w:val="45D710EE"/>
    <w:rsid w:val="45D78DE5"/>
    <w:rsid w:val="45E47A31"/>
    <w:rsid w:val="45E9B034"/>
    <w:rsid w:val="45EA3978"/>
    <w:rsid w:val="45EE1002"/>
    <w:rsid w:val="45FE6691"/>
    <w:rsid w:val="46029A01"/>
    <w:rsid w:val="460D5A78"/>
    <w:rsid w:val="46137F91"/>
    <w:rsid w:val="46172973"/>
    <w:rsid w:val="46208C0C"/>
    <w:rsid w:val="46276C1B"/>
    <w:rsid w:val="462D6CA0"/>
    <w:rsid w:val="463855FF"/>
    <w:rsid w:val="46388905"/>
    <w:rsid w:val="46403ABB"/>
    <w:rsid w:val="4648D22B"/>
    <w:rsid w:val="465C0851"/>
    <w:rsid w:val="4665F28B"/>
    <w:rsid w:val="466B7B1E"/>
    <w:rsid w:val="4677147D"/>
    <w:rsid w:val="468461F1"/>
    <w:rsid w:val="46846808"/>
    <w:rsid w:val="468D425E"/>
    <w:rsid w:val="4699DD6A"/>
    <w:rsid w:val="46A69A4E"/>
    <w:rsid w:val="46C276E3"/>
    <w:rsid w:val="46EE4898"/>
    <w:rsid w:val="46F54DDC"/>
    <w:rsid w:val="46FDBCCB"/>
    <w:rsid w:val="4702F2F6"/>
    <w:rsid w:val="4706CACB"/>
    <w:rsid w:val="470AC00D"/>
    <w:rsid w:val="47146E57"/>
    <w:rsid w:val="471DF6C8"/>
    <w:rsid w:val="472169D4"/>
    <w:rsid w:val="47225B79"/>
    <w:rsid w:val="47230AFB"/>
    <w:rsid w:val="472A83D1"/>
    <w:rsid w:val="475A7A56"/>
    <w:rsid w:val="475EA4C6"/>
    <w:rsid w:val="476D982F"/>
    <w:rsid w:val="4771E6F6"/>
    <w:rsid w:val="47761150"/>
    <w:rsid w:val="477936A4"/>
    <w:rsid w:val="477BCCBA"/>
    <w:rsid w:val="47881D6B"/>
    <w:rsid w:val="47996E89"/>
    <w:rsid w:val="47A003B5"/>
    <w:rsid w:val="47A36D54"/>
    <w:rsid w:val="47A5BAB1"/>
    <w:rsid w:val="47B07B52"/>
    <w:rsid w:val="47CB5A35"/>
    <w:rsid w:val="47D0C4D0"/>
    <w:rsid w:val="47E60FEC"/>
    <w:rsid w:val="47E72F90"/>
    <w:rsid w:val="47F29C8F"/>
    <w:rsid w:val="48047B34"/>
    <w:rsid w:val="480D7635"/>
    <w:rsid w:val="4818DE3A"/>
    <w:rsid w:val="481AF9D5"/>
    <w:rsid w:val="4834087A"/>
    <w:rsid w:val="48539578"/>
    <w:rsid w:val="48575206"/>
    <w:rsid w:val="486FE4ED"/>
    <w:rsid w:val="4890FEC6"/>
    <w:rsid w:val="4898E899"/>
    <w:rsid w:val="48A5FB22"/>
    <w:rsid w:val="48B5A04B"/>
    <w:rsid w:val="48BA9D9E"/>
    <w:rsid w:val="48BCFFF4"/>
    <w:rsid w:val="48C27176"/>
    <w:rsid w:val="48C2A50E"/>
    <w:rsid w:val="48E1D4EE"/>
    <w:rsid w:val="48E463E9"/>
    <w:rsid w:val="48F37EA6"/>
    <w:rsid w:val="490ABE0C"/>
    <w:rsid w:val="490D435F"/>
    <w:rsid w:val="4915CE55"/>
    <w:rsid w:val="4934B946"/>
    <w:rsid w:val="4949A5D2"/>
    <w:rsid w:val="497A7F26"/>
    <w:rsid w:val="497E7C98"/>
    <w:rsid w:val="4981AC23"/>
    <w:rsid w:val="4982FFF1"/>
    <w:rsid w:val="4986571D"/>
    <w:rsid w:val="4988A678"/>
    <w:rsid w:val="4996629F"/>
    <w:rsid w:val="49974A5B"/>
    <w:rsid w:val="49A3D49D"/>
    <w:rsid w:val="49A4F890"/>
    <w:rsid w:val="49B4909B"/>
    <w:rsid w:val="49D672AB"/>
    <w:rsid w:val="49E45D04"/>
    <w:rsid w:val="49F50FEC"/>
    <w:rsid w:val="4A02E0DB"/>
    <w:rsid w:val="4A038A28"/>
    <w:rsid w:val="4A0641ED"/>
    <w:rsid w:val="4A0E5D8D"/>
    <w:rsid w:val="4A101F36"/>
    <w:rsid w:val="4A150856"/>
    <w:rsid w:val="4A1C0938"/>
    <w:rsid w:val="4A210313"/>
    <w:rsid w:val="4A264695"/>
    <w:rsid w:val="4A2BC802"/>
    <w:rsid w:val="4A4D9436"/>
    <w:rsid w:val="4A4FA061"/>
    <w:rsid w:val="4A51139B"/>
    <w:rsid w:val="4A60BE7F"/>
    <w:rsid w:val="4A70AA35"/>
    <w:rsid w:val="4A72FC82"/>
    <w:rsid w:val="4A767005"/>
    <w:rsid w:val="4A88CC0A"/>
    <w:rsid w:val="4A980BA4"/>
    <w:rsid w:val="4AAF5EAF"/>
    <w:rsid w:val="4AAFC7AB"/>
    <w:rsid w:val="4AB214B9"/>
    <w:rsid w:val="4AB3D014"/>
    <w:rsid w:val="4AC18C6B"/>
    <w:rsid w:val="4AE4C9B5"/>
    <w:rsid w:val="4AEDB1DA"/>
    <w:rsid w:val="4AEFA2EC"/>
    <w:rsid w:val="4AF01738"/>
    <w:rsid w:val="4AF2CC1C"/>
    <w:rsid w:val="4B0AD73D"/>
    <w:rsid w:val="4B25AE4E"/>
    <w:rsid w:val="4B3476A1"/>
    <w:rsid w:val="4B382555"/>
    <w:rsid w:val="4B3CEED8"/>
    <w:rsid w:val="4B485BD2"/>
    <w:rsid w:val="4B4F819B"/>
    <w:rsid w:val="4B526494"/>
    <w:rsid w:val="4B53C7A1"/>
    <w:rsid w:val="4B5A3430"/>
    <w:rsid w:val="4B699230"/>
    <w:rsid w:val="4B7D4E6B"/>
    <w:rsid w:val="4B7F45EC"/>
    <w:rsid w:val="4B80BDE9"/>
    <w:rsid w:val="4B855DE4"/>
    <w:rsid w:val="4B9234DF"/>
    <w:rsid w:val="4B9F9330"/>
    <w:rsid w:val="4BAA2DEE"/>
    <w:rsid w:val="4BC46809"/>
    <w:rsid w:val="4BC60A89"/>
    <w:rsid w:val="4BD2FF01"/>
    <w:rsid w:val="4BE34FEF"/>
    <w:rsid w:val="4BE7FE49"/>
    <w:rsid w:val="4BEB9687"/>
    <w:rsid w:val="4BF06986"/>
    <w:rsid w:val="4BF5C7ED"/>
    <w:rsid w:val="4BFECE61"/>
    <w:rsid w:val="4C043D95"/>
    <w:rsid w:val="4C10D2B3"/>
    <w:rsid w:val="4C1450F1"/>
    <w:rsid w:val="4C27F82F"/>
    <w:rsid w:val="4C2CDC1C"/>
    <w:rsid w:val="4C2E6FC3"/>
    <w:rsid w:val="4C3577D3"/>
    <w:rsid w:val="4C4503CC"/>
    <w:rsid w:val="4C487217"/>
    <w:rsid w:val="4C4ED936"/>
    <w:rsid w:val="4C65DD7F"/>
    <w:rsid w:val="4C6D2562"/>
    <w:rsid w:val="4C7C974E"/>
    <w:rsid w:val="4C8518B0"/>
    <w:rsid w:val="4C9B42D7"/>
    <w:rsid w:val="4CA13729"/>
    <w:rsid w:val="4CA3305D"/>
    <w:rsid w:val="4CB24029"/>
    <w:rsid w:val="4CBAA0B3"/>
    <w:rsid w:val="4CBEC305"/>
    <w:rsid w:val="4CC89C7F"/>
    <w:rsid w:val="4CDD61CD"/>
    <w:rsid w:val="4CE36623"/>
    <w:rsid w:val="4CFC7498"/>
    <w:rsid w:val="4D089228"/>
    <w:rsid w:val="4D25D6CB"/>
    <w:rsid w:val="4D26D96B"/>
    <w:rsid w:val="4D2E7FBB"/>
    <w:rsid w:val="4D3A819D"/>
    <w:rsid w:val="4D3BD508"/>
    <w:rsid w:val="4D47FF8E"/>
    <w:rsid w:val="4D556F66"/>
    <w:rsid w:val="4D5CABF8"/>
    <w:rsid w:val="4D5D380B"/>
    <w:rsid w:val="4D67DEF6"/>
    <w:rsid w:val="4D776AAA"/>
    <w:rsid w:val="4D8248BF"/>
    <w:rsid w:val="4D871E0F"/>
    <w:rsid w:val="4D9E8F45"/>
    <w:rsid w:val="4DA15912"/>
    <w:rsid w:val="4DB693FF"/>
    <w:rsid w:val="4DC350AB"/>
    <w:rsid w:val="4DDA039D"/>
    <w:rsid w:val="4DE39F55"/>
    <w:rsid w:val="4DE96B2B"/>
    <w:rsid w:val="4DFD533C"/>
    <w:rsid w:val="4E0CEB85"/>
    <w:rsid w:val="4E18956D"/>
    <w:rsid w:val="4E225D9F"/>
    <w:rsid w:val="4E2743AE"/>
    <w:rsid w:val="4E3592CA"/>
    <w:rsid w:val="4E37B69A"/>
    <w:rsid w:val="4E4155C5"/>
    <w:rsid w:val="4E564A51"/>
    <w:rsid w:val="4E62E86E"/>
    <w:rsid w:val="4E69A097"/>
    <w:rsid w:val="4E7BAF45"/>
    <w:rsid w:val="4E828C6E"/>
    <w:rsid w:val="4E97C45A"/>
    <w:rsid w:val="4E9D49B8"/>
    <w:rsid w:val="4EA54902"/>
    <w:rsid w:val="4EA555DF"/>
    <w:rsid w:val="4EA5A071"/>
    <w:rsid w:val="4EA69822"/>
    <w:rsid w:val="4EB3E98C"/>
    <w:rsid w:val="4EB6F62D"/>
    <w:rsid w:val="4ED39EB6"/>
    <w:rsid w:val="4EDA67D2"/>
    <w:rsid w:val="4EDB856C"/>
    <w:rsid w:val="4EEBDE6C"/>
    <w:rsid w:val="4EF05893"/>
    <w:rsid w:val="4EF8813C"/>
    <w:rsid w:val="4F07DCFC"/>
    <w:rsid w:val="4F0CA838"/>
    <w:rsid w:val="4F1106F1"/>
    <w:rsid w:val="4F29F518"/>
    <w:rsid w:val="4F30CA5C"/>
    <w:rsid w:val="4F31CFE5"/>
    <w:rsid w:val="4F37CD1C"/>
    <w:rsid w:val="4F62A7CD"/>
    <w:rsid w:val="4F70B888"/>
    <w:rsid w:val="4F7FB4A9"/>
    <w:rsid w:val="4F86A159"/>
    <w:rsid w:val="4F8ACE5B"/>
    <w:rsid w:val="4FA539C9"/>
    <w:rsid w:val="4FB5741B"/>
    <w:rsid w:val="4FD8B31A"/>
    <w:rsid w:val="4FDE0347"/>
    <w:rsid w:val="4FDFAB6C"/>
    <w:rsid w:val="4FEF84C4"/>
    <w:rsid w:val="5001E2AB"/>
    <w:rsid w:val="5008D8F0"/>
    <w:rsid w:val="501259E8"/>
    <w:rsid w:val="5012ACF0"/>
    <w:rsid w:val="501B1165"/>
    <w:rsid w:val="501BCCF5"/>
    <w:rsid w:val="501F07D0"/>
    <w:rsid w:val="50240FF5"/>
    <w:rsid w:val="5028016C"/>
    <w:rsid w:val="502E0F7E"/>
    <w:rsid w:val="502EF0AE"/>
    <w:rsid w:val="5045B42F"/>
    <w:rsid w:val="5049B543"/>
    <w:rsid w:val="50558392"/>
    <w:rsid w:val="5064842D"/>
    <w:rsid w:val="508746E3"/>
    <w:rsid w:val="50A40593"/>
    <w:rsid w:val="50C74B76"/>
    <w:rsid w:val="50CA4F07"/>
    <w:rsid w:val="50D39D7D"/>
    <w:rsid w:val="50EA9D61"/>
    <w:rsid w:val="50EAA2BF"/>
    <w:rsid w:val="50F10B11"/>
    <w:rsid w:val="50FAAE7C"/>
    <w:rsid w:val="50FD3E8D"/>
    <w:rsid w:val="510055E4"/>
    <w:rsid w:val="5116A23E"/>
    <w:rsid w:val="5116B92B"/>
    <w:rsid w:val="5118FC0D"/>
    <w:rsid w:val="5120D947"/>
    <w:rsid w:val="51213A7D"/>
    <w:rsid w:val="5135AA3B"/>
    <w:rsid w:val="513AA83E"/>
    <w:rsid w:val="51471ED0"/>
    <w:rsid w:val="51489DC2"/>
    <w:rsid w:val="5160B5F6"/>
    <w:rsid w:val="516CA497"/>
    <w:rsid w:val="5171D448"/>
    <w:rsid w:val="5172B421"/>
    <w:rsid w:val="517D436F"/>
    <w:rsid w:val="518B84D2"/>
    <w:rsid w:val="519294E9"/>
    <w:rsid w:val="5198ACB7"/>
    <w:rsid w:val="5198AF9F"/>
    <w:rsid w:val="519A0117"/>
    <w:rsid w:val="519E58C7"/>
    <w:rsid w:val="51A01080"/>
    <w:rsid w:val="51A20692"/>
    <w:rsid w:val="51A48DD7"/>
    <w:rsid w:val="51B0B782"/>
    <w:rsid w:val="51B5350F"/>
    <w:rsid w:val="51E9D4AC"/>
    <w:rsid w:val="51EA318D"/>
    <w:rsid w:val="51EB8A4E"/>
    <w:rsid w:val="51EC1F94"/>
    <w:rsid w:val="51EFD330"/>
    <w:rsid w:val="51F74208"/>
    <w:rsid w:val="51FC91A4"/>
    <w:rsid w:val="52001080"/>
    <w:rsid w:val="520CD02E"/>
    <w:rsid w:val="521EBDCA"/>
    <w:rsid w:val="52397508"/>
    <w:rsid w:val="5239E823"/>
    <w:rsid w:val="523DF033"/>
    <w:rsid w:val="524FC844"/>
    <w:rsid w:val="5251693E"/>
    <w:rsid w:val="5269FD7E"/>
    <w:rsid w:val="526A4A3C"/>
    <w:rsid w:val="5272A77F"/>
    <w:rsid w:val="527733B2"/>
    <w:rsid w:val="527CB988"/>
    <w:rsid w:val="52854DE4"/>
    <w:rsid w:val="5286013E"/>
    <w:rsid w:val="52AAADA4"/>
    <w:rsid w:val="52BCA9A8"/>
    <w:rsid w:val="52BDEDB4"/>
    <w:rsid w:val="52C173C8"/>
    <w:rsid w:val="52C2D10C"/>
    <w:rsid w:val="52CEF14B"/>
    <w:rsid w:val="52D3AACA"/>
    <w:rsid w:val="52E82CAB"/>
    <w:rsid w:val="52FA7B58"/>
    <w:rsid w:val="53036A0D"/>
    <w:rsid w:val="530EF4D6"/>
    <w:rsid w:val="5317DA3E"/>
    <w:rsid w:val="5320954E"/>
    <w:rsid w:val="532D7E19"/>
    <w:rsid w:val="5332451B"/>
    <w:rsid w:val="534AD915"/>
    <w:rsid w:val="53518055"/>
    <w:rsid w:val="53536DB7"/>
    <w:rsid w:val="5356B10B"/>
    <w:rsid w:val="53584509"/>
    <w:rsid w:val="5360F658"/>
    <w:rsid w:val="5362C7F4"/>
    <w:rsid w:val="536AC0A8"/>
    <w:rsid w:val="537F16EA"/>
    <w:rsid w:val="53875AAF"/>
    <w:rsid w:val="538BA166"/>
    <w:rsid w:val="538C5F2E"/>
    <w:rsid w:val="5397B93E"/>
    <w:rsid w:val="539A04EF"/>
    <w:rsid w:val="539F0A32"/>
    <w:rsid w:val="53A02FFE"/>
    <w:rsid w:val="53B35C12"/>
    <w:rsid w:val="53B8517C"/>
    <w:rsid w:val="53C09D3B"/>
    <w:rsid w:val="53C83D8A"/>
    <w:rsid w:val="53D545B5"/>
    <w:rsid w:val="53E07664"/>
    <w:rsid w:val="53E7BBC6"/>
    <w:rsid w:val="53FF8D80"/>
    <w:rsid w:val="540F0442"/>
    <w:rsid w:val="5427F0AB"/>
    <w:rsid w:val="5428DA6F"/>
    <w:rsid w:val="54362412"/>
    <w:rsid w:val="544661BA"/>
    <w:rsid w:val="54484033"/>
    <w:rsid w:val="544C3269"/>
    <w:rsid w:val="544CCACD"/>
    <w:rsid w:val="545EA16D"/>
    <w:rsid w:val="5479C0D0"/>
    <w:rsid w:val="547E276C"/>
    <w:rsid w:val="548FD9E0"/>
    <w:rsid w:val="549A7E62"/>
    <w:rsid w:val="54E17703"/>
    <w:rsid w:val="54EDB867"/>
    <w:rsid w:val="55159BB4"/>
    <w:rsid w:val="551F1C06"/>
    <w:rsid w:val="55232B10"/>
    <w:rsid w:val="553856E4"/>
    <w:rsid w:val="553A0606"/>
    <w:rsid w:val="553CB299"/>
    <w:rsid w:val="554CD7CC"/>
    <w:rsid w:val="554F2C73"/>
    <w:rsid w:val="555C040A"/>
    <w:rsid w:val="5572F0DB"/>
    <w:rsid w:val="55875F93"/>
    <w:rsid w:val="558B2F3B"/>
    <w:rsid w:val="55A86C27"/>
    <w:rsid w:val="55C1E93A"/>
    <w:rsid w:val="55C5C0B8"/>
    <w:rsid w:val="55CD7AAE"/>
    <w:rsid w:val="55DEDDBE"/>
    <w:rsid w:val="55E6A30B"/>
    <w:rsid w:val="55F44A6A"/>
    <w:rsid w:val="55FA052D"/>
    <w:rsid w:val="56010EB2"/>
    <w:rsid w:val="560E69C4"/>
    <w:rsid w:val="5611A65E"/>
    <w:rsid w:val="5619AA40"/>
    <w:rsid w:val="561AD23E"/>
    <w:rsid w:val="561EA617"/>
    <w:rsid w:val="5630EA46"/>
    <w:rsid w:val="5636A476"/>
    <w:rsid w:val="564641D0"/>
    <w:rsid w:val="56586885"/>
    <w:rsid w:val="565EF5F5"/>
    <w:rsid w:val="565F205C"/>
    <w:rsid w:val="566CFFB9"/>
    <w:rsid w:val="56863795"/>
    <w:rsid w:val="569ED1E3"/>
    <w:rsid w:val="56A0E3E2"/>
    <w:rsid w:val="56A4CA89"/>
    <w:rsid w:val="56C890B2"/>
    <w:rsid w:val="56CC44D6"/>
    <w:rsid w:val="56D171EE"/>
    <w:rsid w:val="56DA279A"/>
    <w:rsid w:val="56DEC21F"/>
    <w:rsid w:val="56E8A1F3"/>
    <w:rsid w:val="56EAFCD4"/>
    <w:rsid w:val="56F04BBD"/>
    <w:rsid w:val="56F4CEEB"/>
    <w:rsid w:val="56FC2814"/>
    <w:rsid w:val="570627F6"/>
    <w:rsid w:val="57193D7D"/>
    <w:rsid w:val="57195F89"/>
    <w:rsid w:val="573746A8"/>
    <w:rsid w:val="5738CE7E"/>
    <w:rsid w:val="5738F715"/>
    <w:rsid w:val="573A99FF"/>
    <w:rsid w:val="57645BB4"/>
    <w:rsid w:val="576B8A67"/>
    <w:rsid w:val="576D0FDB"/>
    <w:rsid w:val="577304E1"/>
    <w:rsid w:val="577B4FCD"/>
    <w:rsid w:val="57886C76"/>
    <w:rsid w:val="579D3D08"/>
    <w:rsid w:val="57AC3981"/>
    <w:rsid w:val="57BA7678"/>
    <w:rsid w:val="57C32052"/>
    <w:rsid w:val="57CA982A"/>
    <w:rsid w:val="57D8746F"/>
    <w:rsid w:val="57E0477D"/>
    <w:rsid w:val="57F98A48"/>
    <w:rsid w:val="57FAC656"/>
    <w:rsid w:val="582A6C9D"/>
    <w:rsid w:val="583B4FB0"/>
    <w:rsid w:val="583DE5AF"/>
    <w:rsid w:val="5847A58A"/>
    <w:rsid w:val="58620AEE"/>
    <w:rsid w:val="586494F0"/>
    <w:rsid w:val="58665E26"/>
    <w:rsid w:val="5866F388"/>
    <w:rsid w:val="586C2C58"/>
    <w:rsid w:val="5872B32A"/>
    <w:rsid w:val="5880E64E"/>
    <w:rsid w:val="5886CD35"/>
    <w:rsid w:val="588E0FFC"/>
    <w:rsid w:val="58942BB4"/>
    <w:rsid w:val="5895E890"/>
    <w:rsid w:val="58981AB4"/>
    <w:rsid w:val="589CA71C"/>
    <w:rsid w:val="58AEBF42"/>
    <w:rsid w:val="58AF1DF4"/>
    <w:rsid w:val="58BB0944"/>
    <w:rsid w:val="58C4D1E2"/>
    <w:rsid w:val="58D560EC"/>
    <w:rsid w:val="58DE1984"/>
    <w:rsid w:val="58FE1FD9"/>
    <w:rsid w:val="59044E6A"/>
    <w:rsid w:val="590BCE73"/>
    <w:rsid w:val="5910458D"/>
    <w:rsid w:val="59638F86"/>
    <w:rsid w:val="5982A8EB"/>
    <w:rsid w:val="59848F4B"/>
    <w:rsid w:val="598654EE"/>
    <w:rsid w:val="59920C79"/>
    <w:rsid w:val="5994E703"/>
    <w:rsid w:val="59A11163"/>
    <w:rsid w:val="59ADBE54"/>
    <w:rsid w:val="59C4628E"/>
    <w:rsid w:val="59C9F051"/>
    <w:rsid w:val="59CCE136"/>
    <w:rsid w:val="59DFF7F1"/>
    <w:rsid w:val="59EC41CA"/>
    <w:rsid w:val="59ED032E"/>
    <w:rsid w:val="59F69C33"/>
    <w:rsid w:val="59F7ACD8"/>
    <w:rsid w:val="5A058250"/>
    <w:rsid w:val="5A05B16A"/>
    <w:rsid w:val="5A1666EF"/>
    <w:rsid w:val="5A1CF14A"/>
    <w:rsid w:val="5A274A9C"/>
    <w:rsid w:val="5A2D9207"/>
    <w:rsid w:val="5A5785FD"/>
    <w:rsid w:val="5A67AA2A"/>
    <w:rsid w:val="5A6A4683"/>
    <w:rsid w:val="5A6F67D4"/>
    <w:rsid w:val="5A6FE411"/>
    <w:rsid w:val="5A723F79"/>
    <w:rsid w:val="5A797CFF"/>
    <w:rsid w:val="5A88C1E5"/>
    <w:rsid w:val="5A8A59AA"/>
    <w:rsid w:val="5A9392BE"/>
    <w:rsid w:val="5A95453C"/>
    <w:rsid w:val="5A9CF497"/>
    <w:rsid w:val="5AAC8FCB"/>
    <w:rsid w:val="5ABCA6E7"/>
    <w:rsid w:val="5AC12CDD"/>
    <w:rsid w:val="5AD8BBFC"/>
    <w:rsid w:val="5ADA112D"/>
    <w:rsid w:val="5AF3FD0A"/>
    <w:rsid w:val="5AF82401"/>
    <w:rsid w:val="5B08CC82"/>
    <w:rsid w:val="5B0CBFCE"/>
    <w:rsid w:val="5B18444A"/>
    <w:rsid w:val="5B23A3B6"/>
    <w:rsid w:val="5B23B945"/>
    <w:rsid w:val="5B284C8E"/>
    <w:rsid w:val="5B3134F9"/>
    <w:rsid w:val="5B5566B1"/>
    <w:rsid w:val="5B6ADDAA"/>
    <w:rsid w:val="5B716DC9"/>
    <w:rsid w:val="5B7EF82D"/>
    <w:rsid w:val="5B93ED24"/>
    <w:rsid w:val="5B99D220"/>
    <w:rsid w:val="5B9BE057"/>
    <w:rsid w:val="5B9DFEE8"/>
    <w:rsid w:val="5BA25623"/>
    <w:rsid w:val="5BA87419"/>
    <w:rsid w:val="5BB92FB1"/>
    <w:rsid w:val="5BC03B8F"/>
    <w:rsid w:val="5BC04CF9"/>
    <w:rsid w:val="5BC105D6"/>
    <w:rsid w:val="5BC66DFB"/>
    <w:rsid w:val="5BD5EB2A"/>
    <w:rsid w:val="5BDF4CBA"/>
    <w:rsid w:val="5BFF07CF"/>
    <w:rsid w:val="5C040A43"/>
    <w:rsid w:val="5C16BD90"/>
    <w:rsid w:val="5C28B70F"/>
    <w:rsid w:val="5C300E2F"/>
    <w:rsid w:val="5C322C5E"/>
    <w:rsid w:val="5C330BB3"/>
    <w:rsid w:val="5C34CBBE"/>
    <w:rsid w:val="5C3ABF0B"/>
    <w:rsid w:val="5C4246EF"/>
    <w:rsid w:val="5C48A740"/>
    <w:rsid w:val="5C4B5CBB"/>
    <w:rsid w:val="5C518D7B"/>
    <w:rsid w:val="5C619777"/>
    <w:rsid w:val="5C6D0F35"/>
    <w:rsid w:val="5C7D8D0B"/>
    <w:rsid w:val="5C88BB22"/>
    <w:rsid w:val="5CA7761D"/>
    <w:rsid w:val="5CBD5CC4"/>
    <w:rsid w:val="5CCB10FE"/>
    <w:rsid w:val="5CCCFD33"/>
    <w:rsid w:val="5CD01EB4"/>
    <w:rsid w:val="5CDB7767"/>
    <w:rsid w:val="5CE0113E"/>
    <w:rsid w:val="5CE41325"/>
    <w:rsid w:val="5CE61F87"/>
    <w:rsid w:val="5CEA7EC7"/>
    <w:rsid w:val="5D0B110A"/>
    <w:rsid w:val="5D137738"/>
    <w:rsid w:val="5D1D8D11"/>
    <w:rsid w:val="5D1E76B4"/>
    <w:rsid w:val="5D37CBC6"/>
    <w:rsid w:val="5D43516D"/>
    <w:rsid w:val="5D4DD242"/>
    <w:rsid w:val="5D5ACC87"/>
    <w:rsid w:val="5D6CA815"/>
    <w:rsid w:val="5D87ECE7"/>
    <w:rsid w:val="5D94F359"/>
    <w:rsid w:val="5D9649A9"/>
    <w:rsid w:val="5DAE9CFD"/>
    <w:rsid w:val="5DB21D4A"/>
    <w:rsid w:val="5DB4253A"/>
    <w:rsid w:val="5DBB0BCB"/>
    <w:rsid w:val="5DBC7FF6"/>
    <w:rsid w:val="5DC4E22B"/>
    <w:rsid w:val="5DDA0C63"/>
    <w:rsid w:val="5DE72D1C"/>
    <w:rsid w:val="5DE78D33"/>
    <w:rsid w:val="5DE7F6F5"/>
    <w:rsid w:val="5DF335B3"/>
    <w:rsid w:val="5DF849D1"/>
    <w:rsid w:val="5E0F5797"/>
    <w:rsid w:val="5E11138D"/>
    <w:rsid w:val="5E1437AA"/>
    <w:rsid w:val="5E17C4FB"/>
    <w:rsid w:val="5E23D914"/>
    <w:rsid w:val="5E2EDA09"/>
    <w:rsid w:val="5E366C83"/>
    <w:rsid w:val="5E3A13BD"/>
    <w:rsid w:val="5E4B4FC7"/>
    <w:rsid w:val="5E4EC78B"/>
    <w:rsid w:val="5E552488"/>
    <w:rsid w:val="5E583381"/>
    <w:rsid w:val="5E7BD0CA"/>
    <w:rsid w:val="5E852B86"/>
    <w:rsid w:val="5E87D5AD"/>
    <w:rsid w:val="5EA44374"/>
    <w:rsid w:val="5EA75968"/>
    <w:rsid w:val="5EB76A09"/>
    <w:rsid w:val="5ECA0D56"/>
    <w:rsid w:val="5ED9F6E5"/>
    <w:rsid w:val="5EE0D922"/>
    <w:rsid w:val="5EE50AA7"/>
    <w:rsid w:val="5EECBD79"/>
    <w:rsid w:val="5EF316AD"/>
    <w:rsid w:val="5F00C963"/>
    <w:rsid w:val="5F1253D6"/>
    <w:rsid w:val="5F1CA998"/>
    <w:rsid w:val="5F228750"/>
    <w:rsid w:val="5F2CF2F5"/>
    <w:rsid w:val="5F2F3DC0"/>
    <w:rsid w:val="5F30241E"/>
    <w:rsid w:val="5F33A698"/>
    <w:rsid w:val="5F33CF30"/>
    <w:rsid w:val="5F3F4714"/>
    <w:rsid w:val="5F519C39"/>
    <w:rsid w:val="5F585057"/>
    <w:rsid w:val="5F683AAA"/>
    <w:rsid w:val="5F6BD491"/>
    <w:rsid w:val="5F6EBF1F"/>
    <w:rsid w:val="5F713B12"/>
    <w:rsid w:val="5F768739"/>
    <w:rsid w:val="5F9AFF80"/>
    <w:rsid w:val="5FA0342F"/>
    <w:rsid w:val="5FA0CB67"/>
    <w:rsid w:val="5FA326FE"/>
    <w:rsid w:val="5FAC564D"/>
    <w:rsid w:val="5FB0D3D3"/>
    <w:rsid w:val="5FC80F5F"/>
    <w:rsid w:val="5FC885E7"/>
    <w:rsid w:val="5FCE7A20"/>
    <w:rsid w:val="5FD9AD78"/>
    <w:rsid w:val="5FDD5991"/>
    <w:rsid w:val="5FE1C94E"/>
    <w:rsid w:val="60055FA5"/>
    <w:rsid w:val="6009D9A1"/>
    <w:rsid w:val="60245E67"/>
    <w:rsid w:val="602E6792"/>
    <w:rsid w:val="603B4885"/>
    <w:rsid w:val="60469F47"/>
    <w:rsid w:val="604CA162"/>
    <w:rsid w:val="6063C57F"/>
    <w:rsid w:val="6066F340"/>
    <w:rsid w:val="606C5534"/>
    <w:rsid w:val="606E7431"/>
    <w:rsid w:val="607333A0"/>
    <w:rsid w:val="6075987E"/>
    <w:rsid w:val="60845D7A"/>
    <w:rsid w:val="6088CA3C"/>
    <w:rsid w:val="6090AACF"/>
    <w:rsid w:val="609476F9"/>
    <w:rsid w:val="6094C02E"/>
    <w:rsid w:val="6094C63B"/>
    <w:rsid w:val="6098103A"/>
    <w:rsid w:val="609B5201"/>
    <w:rsid w:val="60A3CACA"/>
    <w:rsid w:val="60A78366"/>
    <w:rsid w:val="60A89194"/>
    <w:rsid w:val="60AE3793"/>
    <w:rsid w:val="60B9D707"/>
    <w:rsid w:val="60BFF686"/>
    <w:rsid w:val="60C1BEAD"/>
    <w:rsid w:val="60C962D2"/>
    <w:rsid w:val="60CA0BB1"/>
    <w:rsid w:val="60CDB772"/>
    <w:rsid w:val="60CE65A1"/>
    <w:rsid w:val="60E072D1"/>
    <w:rsid w:val="60E80D0B"/>
    <w:rsid w:val="60E96CF6"/>
    <w:rsid w:val="60F420B8"/>
    <w:rsid w:val="6106F5DD"/>
    <w:rsid w:val="61127978"/>
    <w:rsid w:val="6115FDE7"/>
    <w:rsid w:val="611ECDDE"/>
    <w:rsid w:val="611F285D"/>
    <w:rsid w:val="612BC776"/>
    <w:rsid w:val="612EB8BF"/>
    <w:rsid w:val="613465E1"/>
    <w:rsid w:val="6134E974"/>
    <w:rsid w:val="614111D8"/>
    <w:rsid w:val="616F8260"/>
    <w:rsid w:val="617083C1"/>
    <w:rsid w:val="61975B20"/>
    <w:rsid w:val="619FF049"/>
    <w:rsid w:val="61A0EC98"/>
    <w:rsid w:val="61A8F975"/>
    <w:rsid w:val="61C8A58E"/>
    <w:rsid w:val="61D435C4"/>
    <w:rsid w:val="61D599AE"/>
    <w:rsid w:val="61EBAFCD"/>
    <w:rsid w:val="61FD9EDB"/>
    <w:rsid w:val="620BDAD1"/>
    <w:rsid w:val="620E232D"/>
    <w:rsid w:val="6219D846"/>
    <w:rsid w:val="621A87DB"/>
    <w:rsid w:val="62298CBC"/>
    <w:rsid w:val="623681A6"/>
    <w:rsid w:val="6236A7B9"/>
    <w:rsid w:val="625F5197"/>
    <w:rsid w:val="62607B4F"/>
    <w:rsid w:val="6260B53E"/>
    <w:rsid w:val="626109BA"/>
    <w:rsid w:val="62688879"/>
    <w:rsid w:val="6268A007"/>
    <w:rsid w:val="62A33A8A"/>
    <w:rsid w:val="62A5DA57"/>
    <w:rsid w:val="62A85BB6"/>
    <w:rsid w:val="62ABC638"/>
    <w:rsid w:val="62C5B877"/>
    <w:rsid w:val="62C6BD84"/>
    <w:rsid w:val="62CA49F7"/>
    <w:rsid w:val="62D73744"/>
    <w:rsid w:val="62DC6F9D"/>
    <w:rsid w:val="62EF5186"/>
    <w:rsid w:val="62F03EB7"/>
    <w:rsid w:val="62F91E77"/>
    <w:rsid w:val="631543FC"/>
    <w:rsid w:val="6339BC39"/>
    <w:rsid w:val="633D83B3"/>
    <w:rsid w:val="633DF10E"/>
    <w:rsid w:val="63471F4F"/>
    <w:rsid w:val="634825F5"/>
    <w:rsid w:val="634E7A3F"/>
    <w:rsid w:val="635A0067"/>
    <w:rsid w:val="637163DA"/>
    <w:rsid w:val="6379896B"/>
    <w:rsid w:val="637B8DE1"/>
    <w:rsid w:val="638E6FA7"/>
    <w:rsid w:val="638FD9FE"/>
    <w:rsid w:val="63938EB3"/>
    <w:rsid w:val="63962517"/>
    <w:rsid w:val="63A561DD"/>
    <w:rsid w:val="63A56665"/>
    <w:rsid w:val="63C28F67"/>
    <w:rsid w:val="63C67655"/>
    <w:rsid w:val="63F4286D"/>
    <w:rsid w:val="6402FDEE"/>
    <w:rsid w:val="64157E32"/>
    <w:rsid w:val="642CC999"/>
    <w:rsid w:val="644676E2"/>
    <w:rsid w:val="6447B5B0"/>
    <w:rsid w:val="6449DC49"/>
    <w:rsid w:val="64566EA0"/>
    <w:rsid w:val="646AE849"/>
    <w:rsid w:val="64743C8A"/>
    <w:rsid w:val="647D9930"/>
    <w:rsid w:val="6486D94F"/>
    <w:rsid w:val="648BE22C"/>
    <w:rsid w:val="648DAC8F"/>
    <w:rsid w:val="649AA7D2"/>
    <w:rsid w:val="64A4AF36"/>
    <w:rsid w:val="64AA6BB2"/>
    <w:rsid w:val="64AC71D2"/>
    <w:rsid w:val="64C462C1"/>
    <w:rsid w:val="64CACA76"/>
    <w:rsid w:val="64FCF583"/>
    <w:rsid w:val="650A833F"/>
    <w:rsid w:val="6519CB0F"/>
    <w:rsid w:val="6527C7F6"/>
    <w:rsid w:val="652AB77E"/>
    <w:rsid w:val="6532BB84"/>
    <w:rsid w:val="6532F345"/>
    <w:rsid w:val="653A5B37"/>
    <w:rsid w:val="6542028F"/>
    <w:rsid w:val="654BEA77"/>
    <w:rsid w:val="65575ED3"/>
    <w:rsid w:val="655D5320"/>
    <w:rsid w:val="65675302"/>
    <w:rsid w:val="6567E81C"/>
    <w:rsid w:val="6569CE02"/>
    <w:rsid w:val="658090A2"/>
    <w:rsid w:val="6582582A"/>
    <w:rsid w:val="65843A35"/>
    <w:rsid w:val="658A6D55"/>
    <w:rsid w:val="65ADF02D"/>
    <w:rsid w:val="65B4D6F4"/>
    <w:rsid w:val="65B94D9E"/>
    <w:rsid w:val="65CDF9E7"/>
    <w:rsid w:val="65CE24C9"/>
    <w:rsid w:val="65DBFCB4"/>
    <w:rsid w:val="65ECA9B2"/>
    <w:rsid w:val="65FE93D8"/>
    <w:rsid w:val="66051709"/>
    <w:rsid w:val="660802AF"/>
    <w:rsid w:val="6608FE68"/>
    <w:rsid w:val="660A105A"/>
    <w:rsid w:val="660E2F57"/>
    <w:rsid w:val="6616C7B1"/>
    <w:rsid w:val="6619B315"/>
    <w:rsid w:val="661C21CF"/>
    <w:rsid w:val="66223ED0"/>
    <w:rsid w:val="662B91B7"/>
    <w:rsid w:val="6636F838"/>
    <w:rsid w:val="66470E10"/>
    <w:rsid w:val="665F36C5"/>
    <w:rsid w:val="6660366D"/>
    <w:rsid w:val="6662248F"/>
    <w:rsid w:val="66691446"/>
    <w:rsid w:val="6669718B"/>
    <w:rsid w:val="666BCE54"/>
    <w:rsid w:val="666D2523"/>
    <w:rsid w:val="666FC471"/>
    <w:rsid w:val="667986BB"/>
    <w:rsid w:val="668B6F5A"/>
    <w:rsid w:val="668C9EE9"/>
    <w:rsid w:val="668FF76C"/>
    <w:rsid w:val="669104CD"/>
    <w:rsid w:val="669C64EB"/>
    <w:rsid w:val="66A5D611"/>
    <w:rsid w:val="66CEAD0B"/>
    <w:rsid w:val="66D44019"/>
    <w:rsid w:val="66DB60E3"/>
    <w:rsid w:val="66E7BAD8"/>
    <w:rsid w:val="66E7BE19"/>
    <w:rsid w:val="66FFB729"/>
    <w:rsid w:val="67009D88"/>
    <w:rsid w:val="67032363"/>
    <w:rsid w:val="6703B87D"/>
    <w:rsid w:val="67077F62"/>
    <w:rsid w:val="670A9304"/>
    <w:rsid w:val="670B5D51"/>
    <w:rsid w:val="670F6E3D"/>
    <w:rsid w:val="67107E18"/>
    <w:rsid w:val="6713DE00"/>
    <w:rsid w:val="673EF813"/>
    <w:rsid w:val="67583B7C"/>
    <w:rsid w:val="67713509"/>
    <w:rsid w:val="6772B182"/>
    <w:rsid w:val="67803E32"/>
    <w:rsid w:val="67A94044"/>
    <w:rsid w:val="67AE77E9"/>
    <w:rsid w:val="67C38904"/>
    <w:rsid w:val="67D4CC89"/>
    <w:rsid w:val="67D73ADC"/>
    <w:rsid w:val="67D8CBBD"/>
    <w:rsid w:val="67E7F31E"/>
    <w:rsid w:val="6800C649"/>
    <w:rsid w:val="680D0DE3"/>
    <w:rsid w:val="68131A96"/>
    <w:rsid w:val="682EEFD7"/>
    <w:rsid w:val="68619A46"/>
    <w:rsid w:val="686CC4BD"/>
    <w:rsid w:val="687617C9"/>
    <w:rsid w:val="68B3FBFE"/>
    <w:rsid w:val="68B499E9"/>
    <w:rsid w:val="68B4C975"/>
    <w:rsid w:val="68B5CEB7"/>
    <w:rsid w:val="68C0B5DA"/>
    <w:rsid w:val="68CBB1CD"/>
    <w:rsid w:val="68E009B2"/>
    <w:rsid w:val="68E3A619"/>
    <w:rsid w:val="68EA04A9"/>
    <w:rsid w:val="68F0E6CA"/>
    <w:rsid w:val="6906A862"/>
    <w:rsid w:val="690BA817"/>
    <w:rsid w:val="691086DD"/>
    <w:rsid w:val="693E2039"/>
    <w:rsid w:val="694969E9"/>
    <w:rsid w:val="694EEE77"/>
    <w:rsid w:val="695E6717"/>
    <w:rsid w:val="6963C501"/>
    <w:rsid w:val="696DF2A4"/>
    <w:rsid w:val="69720878"/>
    <w:rsid w:val="6973304A"/>
    <w:rsid w:val="698A9F0C"/>
    <w:rsid w:val="698DA461"/>
    <w:rsid w:val="699E63C9"/>
    <w:rsid w:val="69A3ED9E"/>
    <w:rsid w:val="69A40744"/>
    <w:rsid w:val="69A79498"/>
    <w:rsid w:val="69B1CB80"/>
    <w:rsid w:val="69BDCA0E"/>
    <w:rsid w:val="69D45223"/>
    <w:rsid w:val="69D52295"/>
    <w:rsid w:val="69D757D5"/>
    <w:rsid w:val="69E03AA9"/>
    <w:rsid w:val="69E662D9"/>
    <w:rsid w:val="69E86648"/>
    <w:rsid w:val="69F5D9D0"/>
    <w:rsid w:val="69FC60B5"/>
    <w:rsid w:val="6A18611C"/>
    <w:rsid w:val="6A203FD7"/>
    <w:rsid w:val="6A2295EB"/>
    <w:rsid w:val="6A2AF1C4"/>
    <w:rsid w:val="6A311427"/>
    <w:rsid w:val="6A3E1801"/>
    <w:rsid w:val="6A45D999"/>
    <w:rsid w:val="6A476F98"/>
    <w:rsid w:val="6A498CC7"/>
    <w:rsid w:val="6A5A010B"/>
    <w:rsid w:val="6A5A4740"/>
    <w:rsid w:val="6A729B16"/>
    <w:rsid w:val="6A93FA22"/>
    <w:rsid w:val="6AA5850F"/>
    <w:rsid w:val="6AB6FB5E"/>
    <w:rsid w:val="6AB76D84"/>
    <w:rsid w:val="6ABB572D"/>
    <w:rsid w:val="6ABFDC8F"/>
    <w:rsid w:val="6AC2A2FC"/>
    <w:rsid w:val="6AF0EFD4"/>
    <w:rsid w:val="6AFDA64D"/>
    <w:rsid w:val="6B029EEF"/>
    <w:rsid w:val="6B1E92E9"/>
    <w:rsid w:val="6B4A8631"/>
    <w:rsid w:val="6B521FEE"/>
    <w:rsid w:val="6B5FB27F"/>
    <w:rsid w:val="6B6DE195"/>
    <w:rsid w:val="6B87B115"/>
    <w:rsid w:val="6B9072C1"/>
    <w:rsid w:val="6B9E4144"/>
    <w:rsid w:val="6B9FC04E"/>
    <w:rsid w:val="6BEEE059"/>
    <w:rsid w:val="6BF4FC2A"/>
    <w:rsid w:val="6BF822ED"/>
    <w:rsid w:val="6C022608"/>
    <w:rsid w:val="6C1181EE"/>
    <w:rsid w:val="6C129C0B"/>
    <w:rsid w:val="6C303294"/>
    <w:rsid w:val="6C3067CB"/>
    <w:rsid w:val="6C30E184"/>
    <w:rsid w:val="6C312F3C"/>
    <w:rsid w:val="6C361203"/>
    <w:rsid w:val="6C431B5C"/>
    <w:rsid w:val="6C4348D9"/>
    <w:rsid w:val="6C52CBBF"/>
    <w:rsid w:val="6C5780FC"/>
    <w:rsid w:val="6C58F0EF"/>
    <w:rsid w:val="6C638327"/>
    <w:rsid w:val="6C6C0859"/>
    <w:rsid w:val="6C6D1AF7"/>
    <w:rsid w:val="6C7462D7"/>
    <w:rsid w:val="6C778816"/>
    <w:rsid w:val="6C8CC035"/>
    <w:rsid w:val="6C93597A"/>
    <w:rsid w:val="6C957E58"/>
    <w:rsid w:val="6C9F2864"/>
    <w:rsid w:val="6CA9A93A"/>
    <w:rsid w:val="6CACB05E"/>
    <w:rsid w:val="6CAF3546"/>
    <w:rsid w:val="6CB13472"/>
    <w:rsid w:val="6CB21F0E"/>
    <w:rsid w:val="6CBEF542"/>
    <w:rsid w:val="6CC72B29"/>
    <w:rsid w:val="6CD635C8"/>
    <w:rsid w:val="6CDB0183"/>
    <w:rsid w:val="6CEFF119"/>
    <w:rsid w:val="6CF3F43E"/>
    <w:rsid w:val="6CFBD92D"/>
    <w:rsid w:val="6CFF5094"/>
    <w:rsid w:val="6D04AA09"/>
    <w:rsid w:val="6D068BDF"/>
    <w:rsid w:val="6D1292CA"/>
    <w:rsid w:val="6D13D26E"/>
    <w:rsid w:val="6D3341EE"/>
    <w:rsid w:val="6D341C0B"/>
    <w:rsid w:val="6D352BA2"/>
    <w:rsid w:val="6D381FA4"/>
    <w:rsid w:val="6D544A4E"/>
    <w:rsid w:val="6D56FC5C"/>
    <w:rsid w:val="6D610BD3"/>
    <w:rsid w:val="6D636410"/>
    <w:rsid w:val="6D683564"/>
    <w:rsid w:val="6D72C744"/>
    <w:rsid w:val="6D7F2982"/>
    <w:rsid w:val="6D83C808"/>
    <w:rsid w:val="6D91D018"/>
    <w:rsid w:val="6D973DF5"/>
    <w:rsid w:val="6D9E641B"/>
    <w:rsid w:val="6DA4D5AC"/>
    <w:rsid w:val="6DF6A8B9"/>
    <w:rsid w:val="6DFEDBEE"/>
    <w:rsid w:val="6E0467D7"/>
    <w:rsid w:val="6E051874"/>
    <w:rsid w:val="6E126BAC"/>
    <w:rsid w:val="6E22BF5D"/>
    <w:rsid w:val="6E2669FD"/>
    <w:rsid w:val="6E36113D"/>
    <w:rsid w:val="6E422D5F"/>
    <w:rsid w:val="6E45A711"/>
    <w:rsid w:val="6E63414D"/>
    <w:rsid w:val="6E6C7614"/>
    <w:rsid w:val="6E95C731"/>
    <w:rsid w:val="6EA63718"/>
    <w:rsid w:val="6EBA40D5"/>
    <w:rsid w:val="6EC38A75"/>
    <w:rsid w:val="6ECFD8A6"/>
    <w:rsid w:val="6EF42499"/>
    <w:rsid w:val="6EFDD2CD"/>
    <w:rsid w:val="6F0EE1C3"/>
    <w:rsid w:val="6F186240"/>
    <w:rsid w:val="6F217E88"/>
    <w:rsid w:val="6F4510EE"/>
    <w:rsid w:val="6F4DA988"/>
    <w:rsid w:val="6F4ED6C3"/>
    <w:rsid w:val="6F57E17B"/>
    <w:rsid w:val="6F7BA158"/>
    <w:rsid w:val="6F885551"/>
    <w:rsid w:val="6F8A6C81"/>
    <w:rsid w:val="6F94444B"/>
    <w:rsid w:val="6FAEAE8B"/>
    <w:rsid w:val="6FB249FF"/>
    <w:rsid w:val="6FBACBB6"/>
    <w:rsid w:val="6FDC8419"/>
    <w:rsid w:val="6FEA4370"/>
    <w:rsid w:val="6FEFD48C"/>
    <w:rsid w:val="6FF8BF9C"/>
    <w:rsid w:val="6FFFD54C"/>
    <w:rsid w:val="7034461C"/>
    <w:rsid w:val="703A6775"/>
    <w:rsid w:val="703B4E89"/>
    <w:rsid w:val="7061241A"/>
    <w:rsid w:val="7062F719"/>
    <w:rsid w:val="70651B54"/>
    <w:rsid w:val="706CDB9A"/>
    <w:rsid w:val="706FF5DD"/>
    <w:rsid w:val="7076025D"/>
    <w:rsid w:val="70792825"/>
    <w:rsid w:val="708754ED"/>
    <w:rsid w:val="708FE71F"/>
    <w:rsid w:val="7093C76D"/>
    <w:rsid w:val="709DCBC4"/>
    <w:rsid w:val="70AD094E"/>
    <w:rsid w:val="70B9DA3C"/>
    <w:rsid w:val="70BDC9B6"/>
    <w:rsid w:val="70CC4B64"/>
    <w:rsid w:val="7103A3B7"/>
    <w:rsid w:val="7104A05F"/>
    <w:rsid w:val="71123208"/>
    <w:rsid w:val="7123910C"/>
    <w:rsid w:val="713B5A59"/>
    <w:rsid w:val="71445D59"/>
    <w:rsid w:val="714F1C19"/>
    <w:rsid w:val="71569C17"/>
    <w:rsid w:val="716D770D"/>
    <w:rsid w:val="7177425A"/>
    <w:rsid w:val="71932A53"/>
    <w:rsid w:val="7194037C"/>
    <w:rsid w:val="71A37C3D"/>
    <w:rsid w:val="71AF4B87"/>
    <w:rsid w:val="71C1B4E0"/>
    <w:rsid w:val="71C32405"/>
    <w:rsid w:val="71D2C01D"/>
    <w:rsid w:val="71D8B28A"/>
    <w:rsid w:val="71DAB5C1"/>
    <w:rsid w:val="71ECDF89"/>
    <w:rsid w:val="720E3913"/>
    <w:rsid w:val="7217D44C"/>
    <w:rsid w:val="7229CD48"/>
    <w:rsid w:val="7238ADF2"/>
    <w:rsid w:val="723B24C4"/>
    <w:rsid w:val="724049AF"/>
    <w:rsid w:val="724D1350"/>
    <w:rsid w:val="7263E15F"/>
    <w:rsid w:val="726E2F1B"/>
    <w:rsid w:val="726EA005"/>
    <w:rsid w:val="72770534"/>
    <w:rsid w:val="727C69EC"/>
    <w:rsid w:val="72812C25"/>
    <w:rsid w:val="7283B929"/>
    <w:rsid w:val="72B7ADD5"/>
    <w:rsid w:val="72BDBC96"/>
    <w:rsid w:val="72C22180"/>
    <w:rsid w:val="72CD98FB"/>
    <w:rsid w:val="72CEB006"/>
    <w:rsid w:val="72D1358D"/>
    <w:rsid w:val="72DE5B1C"/>
    <w:rsid w:val="72EC2100"/>
    <w:rsid w:val="72F165C1"/>
    <w:rsid w:val="73224899"/>
    <w:rsid w:val="73262A5D"/>
    <w:rsid w:val="7328FADB"/>
    <w:rsid w:val="733725BB"/>
    <w:rsid w:val="7337D2FE"/>
    <w:rsid w:val="733A6374"/>
    <w:rsid w:val="733EB5FD"/>
    <w:rsid w:val="7350F7AD"/>
    <w:rsid w:val="73537F76"/>
    <w:rsid w:val="7359898D"/>
    <w:rsid w:val="7377BB75"/>
    <w:rsid w:val="73780EEE"/>
    <w:rsid w:val="737A420F"/>
    <w:rsid w:val="737D7A49"/>
    <w:rsid w:val="73840170"/>
    <w:rsid w:val="73873A45"/>
    <w:rsid w:val="738DE531"/>
    <w:rsid w:val="73A00EFF"/>
    <w:rsid w:val="73CD9B32"/>
    <w:rsid w:val="73D2D0B3"/>
    <w:rsid w:val="73D5E796"/>
    <w:rsid w:val="73D95CEA"/>
    <w:rsid w:val="73E0E7C6"/>
    <w:rsid w:val="740B051A"/>
    <w:rsid w:val="74197D62"/>
    <w:rsid w:val="741A579E"/>
    <w:rsid w:val="7429FB29"/>
    <w:rsid w:val="742C4B22"/>
    <w:rsid w:val="742F7CA7"/>
    <w:rsid w:val="74388054"/>
    <w:rsid w:val="743C8037"/>
    <w:rsid w:val="74475B31"/>
    <w:rsid w:val="74567709"/>
    <w:rsid w:val="7456CDF5"/>
    <w:rsid w:val="7468C92C"/>
    <w:rsid w:val="746A8067"/>
    <w:rsid w:val="747446C6"/>
    <w:rsid w:val="747867CB"/>
    <w:rsid w:val="74800B7E"/>
    <w:rsid w:val="748FEF4B"/>
    <w:rsid w:val="749AE1B9"/>
    <w:rsid w:val="74A1F3F4"/>
    <w:rsid w:val="74D65281"/>
    <w:rsid w:val="74D7726C"/>
    <w:rsid w:val="74D7DDC8"/>
    <w:rsid w:val="74EDDD9D"/>
    <w:rsid w:val="74EF77C0"/>
    <w:rsid w:val="74F19861"/>
    <w:rsid w:val="74FB58E6"/>
    <w:rsid w:val="74FF0825"/>
    <w:rsid w:val="75247D5F"/>
    <w:rsid w:val="7537E1A0"/>
    <w:rsid w:val="75388C77"/>
    <w:rsid w:val="75404FB2"/>
    <w:rsid w:val="754EF93F"/>
    <w:rsid w:val="755D83D6"/>
    <w:rsid w:val="7562B372"/>
    <w:rsid w:val="756D5D03"/>
    <w:rsid w:val="757CB827"/>
    <w:rsid w:val="758BE136"/>
    <w:rsid w:val="758E58A0"/>
    <w:rsid w:val="75970389"/>
    <w:rsid w:val="7598174D"/>
    <w:rsid w:val="75AA5507"/>
    <w:rsid w:val="75AF4E2B"/>
    <w:rsid w:val="75C70F55"/>
    <w:rsid w:val="75CDFA12"/>
    <w:rsid w:val="75D45FA5"/>
    <w:rsid w:val="75D598DE"/>
    <w:rsid w:val="75DBF1A2"/>
    <w:rsid w:val="75EE54C4"/>
    <w:rsid w:val="75FB7A5D"/>
    <w:rsid w:val="761CE48C"/>
    <w:rsid w:val="763D013D"/>
    <w:rsid w:val="76469B14"/>
    <w:rsid w:val="764EAA92"/>
    <w:rsid w:val="7651DBD1"/>
    <w:rsid w:val="76546332"/>
    <w:rsid w:val="76552D68"/>
    <w:rsid w:val="765F415A"/>
    <w:rsid w:val="7663D2D1"/>
    <w:rsid w:val="766D63C0"/>
    <w:rsid w:val="7672D0A9"/>
    <w:rsid w:val="767BC673"/>
    <w:rsid w:val="768867E7"/>
    <w:rsid w:val="768FE359"/>
    <w:rsid w:val="769038DB"/>
    <w:rsid w:val="76911650"/>
    <w:rsid w:val="76953F43"/>
    <w:rsid w:val="76A23A88"/>
    <w:rsid w:val="76AD9CE3"/>
    <w:rsid w:val="76C9B470"/>
    <w:rsid w:val="76C9D234"/>
    <w:rsid w:val="76D45CD8"/>
    <w:rsid w:val="76D52019"/>
    <w:rsid w:val="76DC0BB3"/>
    <w:rsid w:val="76E022B7"/>
    <w:rsid w:val="76E119AE"/>
    <w:rsid w:val="76ED8535"/>
    <w:rsid w:val="76F97407"/>
    <w:rsid w:val="76FBAAE4"/>
    <w:rsid w:val="76FCAF24"/>
    <w:rsid w:val="772DC8C2"/>
    <w:rsid w:val="7736A919"/>
    <w:rsid w:val="774E4233"/>
    <w:rsid w:val="776015BC"/>
    <w:rsid w:val="77625D87"/>
    <w:rsid w:val="777C519C"/>
    <w:rsid w:val="7788C61C"/>
    <w:rsid w:val="779494BF"/>
    <w:rsid w:val="7795D52E"/>
    <w:rsid w:val="7795E008"/>
    <w:rsid w:val="77A31FE2"/>
    <w:rsid w:val="77AAA2C9"/>
    <w:rsid w:val="77B235D8"/>
    <w:rsid w:val="77DD5F1B"/>
    <w:rsid w:val="77E7D1FC"/>
    <w:rsid w:val="77EDCDC3"/>
    <w:rsid w:val="780A61CC"/>
    <w:rsid w:val="782564A2"/>
    <w:rsid w:val="78280804"/>
    <w:rsid w:val="782C03E0"/>
    <w:rsid w:val="78354D70"/>
    <w:rsid w:val="784E2326"/>
    <w:rsid w:val="785B2F2F"/>
    <w:rsid w:val="785F5C54"/>
    <w:rsid w:val="7875F129"/>
    <w:rsid w:val="787891DE"/>
    <w:rsid w:val="787AB5B7"/>
    <w:rsid w:val="787CA862"/>
    <w:rsid w:val="78800FF3"/>
    <w:rsid w:val="78A641D6"/>
    <w:rsid w:val="78BC7293"/>
    <w:rsid w:val="78BD0514"/>
    <w:rsid w:val="78CFD1AD"/>
    <w:rsid w:val="78D00A71"/>
    <w:rsid w:val="78D80F95"/>
    <w:rsid w:val="78DD204C"/>
    <w:rsid w:val="78DE7958"/>
    <w:rsid w:val="78ECA46B"/>
    <w:rsid w:val="79017C3F"/>
    <w:rsid w:val="7908A818"/>
    <w:rsid w:val="7909F5E1"/>
    <w:rsid w:val="790AA235"/>
    <w:rsid w:val="79166143"/>
    <w:rsid w:val="79246E72"/>
    <w:rsid w:val="792528C4"/>
    <w:rsid w:val="792FFC0F"/>
    <w:rsid w:val="793D524B"/>
    <w:rsid w:val="793EDC99"/>
    <w:rsid w:val="795D1DF8"/>
    <w:rsid w:val="7962D92C"/>
    <w:rsid w:val="7981B3BE"/>
    <w:rsid w:val="798A46B0"/>
    <w:rsid w:val="799240DF"/>
    <w:rsid w:val="79943027"/>
    <w:rsid w:val="7996818A"/>
    <w:rsid w:val="79AB1783"/>
    <w:rsid w:val="79AE99DD"/>
    <w:rsid w:val="79E3A022"/>
    <w:rsid w:val="79E6717D"/>
    <w:rsid w:val="79FF81EA"/>
    <w:rsid w:val="7A1AACCB"/>
    <w:rsid w:val="7A1AE74B"/>
    <w:rsid w:val="7A2D224F"/>
    <w:rsid w:val="7A448494"/>
    <w:rsid w:val="7A553533"/>
    <w:rsid w:val="7A624B10"/>
    <w:rsid w:val="7A6D1D9E"/>
    <w:rsid w:val="7A7BD181"/>
    <w:rsid w:val="7A8A48B0"/>
    <w:rsid w:val="7ABC402D"/>
    <w:rsid w:val="7AFD25CB"/>
    <w:rsid w:val="7B08EB95"/>
    <w:rsid w:val="7B0D3924"/>
    <w:rsid w:val="7B16CB99"/>
    <w:rsid w:val="7B1BF5C9"/>
    <w:rsid w:val="7B1D0E68"/>
    <w:rsid w:val="7B1F72BE"/>
    <w:rsid w:val="7B22BEE8"/>
    <w:rsid w:val="7B29CB58"/>
    <w:rsid w:val="7B2D07C3"/>
    <w:rsid w:val="7B2EDCB2"/>
    <w:rsid w:val="7B35577B"/>
    <w:rsid w:val="7B3DC69D"/>
    <w:rsid w:val="7B46B3F0"/>
    <w:rsid w:val="7B49BAC4"/>
    <w:rsid w:val="7B510131"/>
    <w:rsid w:val="7B518E06"/>
    <w:rsid w:val="7B5EFFA0"/>
    <w:rsid w:val="7B6028A4"/>
    <w:rsid w:val="7B6474E7"/>
    <w:rsid w:val="7B6736CC"/>
    <w:rsid w:val="7B6BC325"/>
    <w:rsid w:val="7B6CFFE8"/>
    <w:rsid w:val="7B6D5CCB"/>
    <w:rsid w:val="7B839459"/>
    <w:rsid w:val="7B85974F"/>
    <w:rsid w:val="7B8B336F"/>
    <w:rsid w:val="7B9624A3"/>
    <w:rsid w:val="7BA7CDFB"/>
    <w:rsid w:val="7BA9A3E2"/>
    <w:rsid w:val="7BAF80CF"/>
    <w:rsid w:val="7BB50E9E"/>
    <w:rsid w:val="7BB8955E"/>
    <w:rsid w:val="7BBC366A"/>
    <w:rsid w:val="7BBE923E"/>
    <w:rsid w:val="7BC1093B"/>
    <w:rsid w:val="7BC249E2"/>
    <w:rsid w:val="7BC95496"/>
    <w:rsid w:val="7BC97067"/>
    <w:rsid w:val="7BCA4581"/>
    <w:rsid w:val="7BD68B3D"/>
    <w:rsid w:val="7BDA75F6"/>
    <w:rsid w:val="7BDEECBB"/>
    <w:rsid w:val="7C02FA2E"/>
    <w:rsid w:val="7C03C099"/>
    <w:rsid w:val="7C0C11FE"/>
    <w:rsid w:val="7C15EFD6"/>
    <w:rsid w:val="7C1BC789"/>
    <w:rsid w:val="7C2BF5B3"/>
    <w:rsid w:val="7C2F3B84"/>
    <w:rsid w:val="7C336CA0"/>
    <w:rsid w:val="7C3F9926"/>
    <w:rsid w:val="7C408ABF"/>
    <w:rsid w:val="7C42B1F1"/>
    <w:rsid w:val="7C5070DF"/>
    <w:rsid w:val="7C52FBCF"/>
    <w:rsid w:val="7C563DC2"/>
    <w:rsid w:val="7C605A74"/>
    <w:rsid w:val="7C645279"/>
    <w:rsid w:val="7C89F79F"/>
    <w:rsid w:val="7C9A3C21"/>
    <w:rsid w:val="7CA97398"/>
    <w:rsid w:val="7CAB27DE"/>
    <w:rsid w:val="7CC9BE1C"/>
    <w:rsid w:val="7CDEF6BA"/>
    <w:rsid w:val="7CDF00D6"/>
    <w:rsid w:val="7CE914FC"/>
    <w:rsid w:val="7CECA3C1"/>
    <w:rsid w:val="7CFA1EA8"/>
    <w:rsid w:val="7D07D4B3"/>
    <w:rsid w:val="7D0A65DB"/>
    <w:rsid w:val="7D10C19B"/>
    <w:rsid w:val="7D1BE2BC"/>
    <w:rsid w:val="7D219B81"/>
    <w:rsid w:val="7D363D73"/>
    <w:rsid w:val="7D5F0B9A"/>
    <w:rsid w:val="7D6AB7D0"/>
    <w:rsid w:val="7D6D49E1"/>
    <w:rsid w:val="7D725B9E"/>
    <w:rsid w:val="7D79B2F9"/>
    <w:rsid w:val="7D93ACEE"/>
    <w:rsid w:val="7D96A8F4"/>
    <w:rsid w:val="7D9B8534"/>
    <w:rsid w:val="7DA70DF4"/>
    <w:rsid w:val="7DD525DE"/>
    <w:rsid w:val="7DDA54A0"/>
    <w:rsid w:val="7DE7931E"/>
    <w:rsid w:val="7DEB8B96"/>
    <w:rsid w:val="7DF91FD2"/>
    <w:rsid w:val="7E0119F7"/>
    <w:rsid w:val="7E09D5AF"/>
    <w:rsid w:val="7E0FBE41"/>
    <w:rsid w:val="7E1DD56B"/>
    <w:rsid w:val="7E220C00"/>
    <w:rsid w:val="7E36060E"/>
    <w:rsid w:val="7E3B6065"/>
    <w:rsid w:val="7E56D9E0"/>
    <w:rsid w:val="7E5C08A4"/>
    <w:rsid w:val="7E6BDDB2"/>
    <w:rsid w:val="7E6D5266"/>
    <w:rsid w:val="7E70F06B"/>
    <w:rsid w:val="7E74FAFC"/>
    <w:rsid w:val="7E8437B2"/>
    <w:rsid w:val="7E898AB3"/>
    <w:rsid w:val="7E899317"/>
    <w:rsid w:val="7E8E3FEE"/>
    <w:rsid w:val="7E8E7667"/>
    <w:rsid w:val="7E921772"/>
    <w:rsid w:val="7EB27093"/>
    <w:rsid w:val="7EB9C3AF"/>
    <w:rsid w:val="7EC08D8D"/>
    <w:rsid w:val="7EC6034E"/>
    <w:rsid w:val="7ECE1258"/>
    <w:rsid w:val="7EEE0F46"/>
    <w:rsid w:val="7F012991"/>
    <w:rsid w:val="7F017B21"/>
    <w:rsid w:val="7F126051"/>
    <w:rsid w:val="7F1C1F1D"/>
    <w:rsid w:val="7F25389E"/>
    <w:rsid w:val="7F394CCE"/>
    <w:rsid w:val="7F3A09E2"/>
    <w:rsid w:val="7F5141FD"/>
    <w:rsid w:val="7F53DDFA"/>
    <w:rsid w:val="7F5E9BA6"/>
    <w:rsid w:val="7F7217A5"/>
    <w:rsid w:val="7F7AFB9F"/>
    <w:rsid w:val="7F8BC8BF"/>
    <w:rsid w:val="7F8BECD6"/>
    <w:rsid w:val="7F8F1C80"/>
    <w:rsid w:val="7F8F69B1"/>
    <w:rsid w:val="7F9214ED"/>
    <w:rsid w:val="7F945CF6"/>
    <w:rsid w:val="7F94BF54"/>
    <w:rsid w:val="7F994D5C"/>
    <w:rsid w:val="7F9A076D"/>
    <w:rsid w:val="7FB9CB1A"/>
    <w:rsid w:val="7FBFDAF5"/>
    <w:rsid w:val="7FCE558D"/>
    <w:rsid w:val="7FCE59D8"/>
    <w:rsid w:val="7FD110A1"/>
    <w:rsid w:val="7FD9934D"/>
    <w:rsid w:val="7FE3EAEA"/>
    <w:rsid w:val="7FF3365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4777F"/>
  <w15:docId w15:val="{1413C78C-19D4-4533-B88A-A516AB0E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5B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5B0A"/>
  </w:style>
  <w:style w:type="paragraph" w:styleId="FootnoteText">
    <w:name w:val="footnote text"/>
    <w:basedOn w:val="Normal"/>
    <w:link w:val="FootnoteTextChar"/>
    <w:uiPriority w:val="99"/>
    <w:rsid w:val="00B95B0A"/>
    <w:pPr>
      <w:spacing w:after="0" w:line="240" w:lineRule="auto"/>
    </w:pPr>
    <w:rPr>
      <w:rFonts w:eastAsia="Times New Roman" w:cs="Times New Roman"/>
      <w:sz w:val="20"/>
      <w:szCs w:val="20"/>
      <w:lang w:eastAsia="lv-LV"/>
    </w:rPr>
  </w:style>
  <w:style w:type="character" w:customStyle="1" w:styleId="FootnoteTextChar">
    <w:name w:val="Footnote Text Char"/>
    <w:basedOn w:val="DefaultParagraphFont"/>
    <w:link w:val="FootnoteText"/>
    <w:uiPriority w:val="99"/>
    <w:qFormat/>
    <w:rsid w:val="00B95B0A"/>
    <w:rPr>
      <w:rFonts w:eastAsia="Times New Roman" w:cs="Times New Roman"/>
      <w:sz w:val="20"/>
      <w:szCs w:val="20"/>
      <w:lang w:eastAsia="lv-LV"/>
    </w:rPr>
  </w:style>
  <w:style w:type="character" w:styleId="FootnoteReference">
    <w:name w:val="footnote reference"/>
    <w:uiPriority w:val="99"/>
    <w:semiHidden/>
    <w:rsid w:val="00B95B0A"/>
    <w:rPr>
      <w:vertAlign w:val="superscript"/>
    </w:rPr>
  </w:style>
  <w:style w:type="paragraph" w:styleId="Header">
    <w:name w:val="header"/>
    <w:basedOn w:val="Normal"/>
    <w:link w:val="HeaderChar"/>
    <w:uiPriority w:val="99"/>
    <w:unhideWhenUsed/>
    <w:rsid w:val="00B95B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5B0A"/>
  </w:style>
  <w:style w:type="table" w:styleId="TableGrid">
    <w:name w:val="Table Grid"/>
    <w:basedOn w:val="TableNormal"/>
    <w:uiPriority w:val="39"/>
    <w:rsid w:val="00B9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B0A"/>
    <w:rPr>
      <w:sz w:val="16"/>
      <w:szCs w:val="16"/>
    </w:rPr>
  </w:style>
  <w:style w:type="paragraph" w:styleId="CommentText">
    <w:name w:val="annotation text"/>
    <w:basedOn w:val="Normal"/>
    <w:link w:val="CommentTextChar"/>
    <w:uiPriority w:val="99"/>
    <w:unhideWhenUsed/>
    <w:rsid w:val="00B95B0A"/>
    <w:pPr>
      <w:spacing w:line="240" w:lineRule="auto"/>
    </w:pPr>
    <w:rPr>
      <w:sz w:val="20"/>
      <w:szCs w:val="20"/>
    </w:rPr>
  </w:style>
  <w:style w:type="character" w:customStyle="1" w:styleId="CommentTextChar">
    <w:name w:val="Comment Text Char"/>
    <w:basedOn w:val="DefaultParagraphFont"/>
    <w:link w:val="CommentText"/>
    <w:uiPriority w:val="99"/>
    <w:rsid w:val="00B95B0A"/>
    <w:rPr>
      <w:sz w:val="20"/>
      <w:szCs w:val="20"/>
    </w:rPr>
  </w:style>
  <w:style w:type="paragraph" w:styleId="BalloonText">
    <w:name w:val="Balloon Text"/>
    <w:basedOn w:val="Normal"/>
    <w:link w:val="BalloonTextChar"/>
    <w:uiPriority w:val="99"/>
    <w:semiHidden/>
    <w:unhideWhenUsed/>
    <w:rsid w:val="00B9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0A"/>
    <w:rPr>
      <w:rFonts w:ascii="Tahoma" w:hAnsi="Tahoma" w:cs="Tahoma"/>
      <w:sz w:val="16"/>
      <w:szCs w:val="16"/>
    </w:rPr>
  </w:style>
  <w:style w:type="paragraph" w:styleId="ListParagraph">
    <w:name w:val="List Paragraph"/>
    <w:aliases w:val="Strip,Párrafo de lista,Normal bullet 2,Bullet list,List Paragraph1,Mummuga loetelu,List (bullet),References,numbered list,ERP-List Paragraph,List Paragraph11,Bullet EY,List (services),Loetelu (bulletid),2,Numbered Para 1,Dot pt,Syle 1"/>
    <w:basedOn w:val="Normal"/>
    <w:link w:val="ListParagraphChar"/>
    <w:uiPriority w:val="34"/>
    <w:qFormat/>
    <w:rsid w:val="00443389"/>
    <w:pPr>
      <w:spacing w:after="0" w:line="240" w:lineRule="auto"/>
      <w:ind w:left="720"/>
      <w:contextualSpacing/>
      <w:jc w:val="both"/>
    </w:pPr>
    <w:rPr>
      <w:sz w:val="24"/>
    </w:rPr>
  </w:style>
  <w:style w:type="character" w:customStyle="1" w:styleId="ListParagraphChar">
    <w:name w:val="List Paragraph Char"/>
    <w:aliases w:val="Strip Char,Párrafo de lista Char,Normal bullet 2 Char,Bullet list Char,List Paragraph1 Char,Mummuga loetelu Char,List (bullet) Char,References Char,numbered list Char,ERP-List Paragraph Char,List Paragraph11 Char,Bullet EY Char"/>
    <w:link w:val="ListParagraph"/>
    <w:uiPriority w:val="34"/>
    <w:qFormat/>
    <w:locked/>
    <w:rsid w:val="00443389"/>
    <w:rPr>
      <w:sz w:val="24"/>
    </w:rPr>
  </w:style>
  <w:style w:type="character" w:styleId="Emphasis">
    <w:name w:val="Emphasis"/>
    <w:basedOn w:val="DefaultParagraphFont"/>
    <w:uiPriority w:val="20"/>
    <w:qFormat/>
    <w:rsid w:val="005D6C04"/>
    <w:rPr>
      <w:i/>
      <w:iCs/>
    </w:rPr>
  </w:style>
  <w:style w:type="character" w:styleId="Strong">
    <w:name w:val="Strong"/>
    <w:basedOn w:val="DefaultParagraphFont"/>
    <w:uiPriority w:val="22"/>
    <w:qFormat/>
    <w:rsid w:val="00F36042"/>
    <w:rPr>
      <w:b/>
      <w:bCs/>
    </w:rPr>
  </w:style>
  <w:style w:type="paragraph" w:styleId="NormalWeb">
    <w:name w:val="Normal (Web)"/>
    <w:basedOn w:val="Normal"/>
    <w:uiPriority w:val="99"/>
    <w:unhideWhenUsed/>
    <w:rsid w:val="00405E36"/>
    <w:pPr>
      <w:spacing w:after="360" w:line="240" w:lineRule="auto"/>
    </w:pPr>
    <w:rPr>
      <w:rFonts w:eastAsia="Times New Roman" w:cs="Times New Roman"/>
      <w:sz w:val="23"/>
      <w:szCs w:val="23"/>
      <w:lang w:eastAsia="lv-LV"/>
    </w:rPr>
  </w:style>
  <w:style w:type="character" w:styleId="Hyperlink">
    <w:name w:val="Hyperlink"/>
    <w:basedOn w:val="DefaultParagraphFont"/>
    <w:uiPriority w:val="99"/>
    <w:unhideWhenUsed/>
    <w:rsid w:val="00AD1EB4"/>
    <w:rPr>
      <w:color w:val="0563C1"/>
      <w:u w:val="single"/>
    </w:rPr>
  </w:style>
  <w:style w:type="paragraph" w:styleId="CommentSubject">
    <w:name w:val="annotation subject"/>
    <w:basedOn w:val="CommentText"/>
    <w:next w:val="CommentText"/>
    <w:link w:val="CommentSubjectChar"/>
    <w:uiPriority w:val="99"/>
    <w:semiHidden/>
    <w:unhideWhenUsed/>
    <w:rsid w:val="003C3A80"/>
    <w:rPr>
      <w:b/>
      <w:bCs/>
    </w:rPr>
  </w:style>
  <w:style w:type="character" w:customStyle="1" w:styleId="CommentSubjectChar">
    <w:name w:val="Comment Subject Char"/>
    <w:basedOn w:val="CommentTextChar"/>
    <w:link w:val="CommentSubject"/>
    <w:uiPriority w:val="99"/>
    <w:semiHidden/>
    <w:rsid w:val="003C3A80"/>
    <w:rPr>
      <w:b/>
      <w:bCs/>
      <w:sz w:val="20"/>
      <w:szCs w:val="20"/>
    </w:rPr>
  </w:style>
  <w:style w:type="character" w:styleId="UnresolvedMention">
    <w:name w:val="Unresolved Mention"/>
    <w:basedOn w:val="DefaultParagraphFont"/>
    <w:uiPriority w:val="99"/>
    <w:semiHidden/>
    <w:unhideWhenUsed/>
    <w:rsid w:val="00136858"/>
    <w:rPr>
      <w:color w:val="605E5C"/>
      <w:shd w:val="clear" w:color="auto" w:fill="E1DFDD"/>
    </w:rPr>
  </w:style>
  <w:style w:type="character" w:customStyle="1" w:styleId="ts-alignment-element">
    <w:name w:val="ts-alignment-element"/>
    <w:basedOn w:val="DefaultParagraphFont"/>
    <w:rsid w:val="002F1DA5"/>
  </w:style>
  <w:style w:type="paragraph" w:styleId="Revision">
    <w:name w:val="Revision"/>
    <w:hidden/>
    <w:uiPriority w:val="99"/>
    <w:semiHidden/>
    <w:rsid w:val="00113F72"/>
    <w:pPr>
      <w:spacing w:after="0" w:line="240" w:lineRule="auto"/>
    </w:pPr>
  </w:style>
  <w:style w:type="table" w:customStyle="1" w:styleId="TableGrid1">
    <w:name w:val="Table Grid1"/>
    <w:basedOn w:val="TableNormal"/>
    <w:next w:val="TableGrid"/>
    <w:uiPriority w:val="59"/>
    <w:rsid w:val="00CC3E5F"/>
    <w:pPr>
      <w:spacing w:after="0" w:line="240" w:lineRule="auto"/>
    </w:pPr>
    <w:rPr>
      <w:rFonts w:asciiTheme="minorHAnsi" w:eastAsiaTheme="minorEastAsia" w:hAnsiTheme="minorHAnsi"/>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C3143"/>
  </w:style>
  <w:style w:type="paragraph" w:styleId="EndnoteText">
    <w:name w:val="endnote text"/>
    <w:basedOn w:val="Normal"/>
    <w:link w:val="EndnoteTextChar"/>
    <w:uiPriority w:val="99"/>
    <w:semiHidden/>
    <w:unhideWhenUsed/>
    <w:rsid w:val="00AC3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3143"/>
    <w:rPr>
      <w:sz w:val="20"/>
      <w:szCs w:val="20"/>
    </w:rPr>
  </w:style>
  <w:style w:type="character" w:styleId="EndnoteReference">
    <w:name w:val="endnote reference"/>
    <w:basedOn w:val="DefaultParagraphFont"/>
    <w:uiPriority w:val="99"/>
    <w:semiHidden/>
    <w:unhideWhenUsed/>
    <w:rsid w:val="00AC3143"/>
    <w:rPr>
      <w:vertAlign w:val="superscript"/>
    </w:rPr>
  </w:style>
  <w:style w:type="character" w:customStyle="1" w:styleId="xcontentpasted0">
    <w:name w:val="x_contentpasted0"/>
    <w:basedOn w:val="DefaultParagraphFont"/>
    <w:rsid w:val="00FA2999"/>
  </w:style>
  <w:style w:type="character" w:styleId="Mention">
    <w:name w:val="Mention"/>
    <w:basedOn w:val="DefaultParagraphFont"/>
    <w:uiPriority w:val="99"/>
    <w:unhideWhenUsed/>
    <w:rsid w:val="00010B31"/>
    <w:rPr>
      <w:color w:val="2B579A"/>
      <w:shd w:val="clear" w:color="auto" w:fill="E1DFDD"/>
    </w:rPr>
  </w:style>
  <w:style w:type="numbering" w:customStyle="1" w:styleId="NoList1">
    <w:name w:val="No List1"/>
    <w:next w:val="NoList"/>
    <w:uiPriority w:val="99"/>
    <w:semiHidden/>
    <w:unhideWhenUsed/>
    <w:rsid w:val="00351D56"/>
  </w:style>
  <w:style w:type="table" w:customStyle="1" w:styleId="TableGrid2">
    <w:name w:val="Table Grid2"/>
    <w:basedOn w:val="TableNormal"/>
    <w:next w:val="TableGrid"/>
    <w:uiPriority w:val="59"/>
    <w:rsid w:val="00351D56"/>
    <w:pPr>
      <w:spacing w:after="0" w:line="240" w:lineRule="auto"/>
    </w:pPr>
    <w:rPr>
      <w:rFonts w:asciiTheme="minorHAnsi" w:eastAsiaTheme="minorEastAsia" w:hAnsiTheme="minorHAnsi"/>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1D56"/>
    <w:pPr>
      <w:spacing w:after="0" w:line="240" w:lineRule="auto"/>
    </w:pPr>
    <w:rPr>
      <w:rFonts w:eastAsia="Calibri"/>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351D56"/>
    <w:rPr>
      <w:rFonts w:ascii="Roboto Condensed Light" w:hAnsi="Roboto Condensed Light"/>
      <w:sz w:val="20"/>
      <w:szCs w:val="20"/>
    </w:rPr>
  </w:style>
  <w:style w:type="character" w:customStyle="1" w:styleId="cf01">
    <w:name w:val="cf01"/>
    <w:basedOn w:val="DefaultParagraphFont"/>
    <w:rsid w:val="00566BBD"/>
    <w:rPr>
      <w:rFonts w:ascii="Segoe UI" w:hAnsi="Segoe UI" w:cs="Segoe UI" w:hint="default"/>
      <w:sz w:val="18"/>
      <w:szCs w:val="18"/>
    </w:rPr>
  </w:style>
  <w:style w:type="character" w:styleId="FollowedHyperlink">
    <w:name w:val="FollowedHyperlink"/>
    <w:basedOn w:val="DefaultParagraphFont"/>
    <w:uiPriority w:val="99"/>
    <w:semiHidden/>
    <w:unhideWhenUsed/>
    <w:rsid w:val="00A97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3797">
      <w:marLeft w:val="0"/>
      <w:marRight w:val="0"/>
      <w:marTop w:val="0"/>
      <w:marBottom w:val="0"/>
      <w:divBdr>
        <w:top w:val="none" w:sz="0" w:space="0" w:color="auto"/>
        <w:left w:val="none" w:sz="0" w:space="0" w:color="auto"/>
        <w:bottom w:val="none" w:sz="0" w:space="0" w:color="auto"/>
        <w:right w:val="none" w:sz="0" w:space="0" w:color="auto"/>
      </w:divBdr>
      <w:divsChild>
        <w:div w:id="1683776322">
          <w:marLeft w:val="0"/>
          <w:marRight w:val="0"/>
          <w:marTop w:val="0"/>
          <w:marBottom w:val="0"/>
          <w:divBdr>
            <w:top w:val="none" w:sz="0" w:space="0" w:color="auto"/>
            <w:left w:val="none" w:sz="0" w:space="0" w:color="auto"/>
            <w:bottom w:val="none" w:sz="0" w:space="0" w:color="auto"/>
            <w:right w:val="none" w:sz="0" w:space="0" w:color="auto"/>
          </w:divBdr>
        </w:div>
      </w:divsChild>
    </w:div>
    <w:div w:id="37097591">
      <w:bodyDiv w:val="1"/>
      <w:marLeft w:val="0"/>
      <w:marRight w:val="0"/>
      <w:marTop w:val="0"/>
      <w:marBottom w:val="0"/>
      <w:divBdr>
        <w:top w:val="none" w:sz="0" w:space="0" w:color="auto"/>
        <w:left w:val="none" w:sz="0" w:space="0" w:color="auto"/>
        <w:bottom w:val="none" w:sz="0" w:space="0" w:color="auto"/>
        <w:right w:val="none" w:sz="0" w:space="0" w:color="auto"/>
      </w:divBdr>
      <w:divsChild>
        <w:div w:id="2005277571">
          <w:marLeft w:val="0"/>
          <w:marRight w:val="0"/>
          <w:marTop w:val="0"/>
          <w:marBottom w:val="0"/>
          <w:divBdr>
            <w:top w:val="none" w:sz="0" w:space="0" w:color="auto"/>
            <w:left w:val="none" w:sz="0" w:space="0" w:color="auto"/>
            <w:bottom w:val="none" w:sz="0" w:space="0" w:color="auto"/>
            <w:right w:val="none" w:sz="0" w:space="0" w:color="auto"/>
          </w:divBdr>
          <w:divsChild>
            <w:div w:id="1659117393">
              <w:marLeft w:val="0"/>
              <w:marRight w:val="0"/>
              <w:marTop w:val="0"/>
              <w:marBottom w:val="0"/>
              <w:divBdr>
                <w:top w:val="none" w:sz="0" w:space="0" w:color="auto"/>
                <w:left w:val="none" w:sz="0" w:space="0" w:color="auto"/>
                <w:bottom w:val="none" w:sz="0" w:space="0" w:color="auto"/>
                <w:right w:val="none" w:sz="0" w:space="0" w:color="auto"/>
              </w:divBdr>
              <w:divsChild>
                <w:div w:id="1661612198">
                  <w:marLeft w:val="0"/>
                  <w:marRight w:val="0"/>
                  <w:marTop w:val="0"/>
                  <w:marBottom w:val="0"/>
                  <w:divBdr>
                    <w:top w:val="none" w:sz="0" w:space="0" w:color="auto"/>
                    <w:left w:val="none" w:sz="0" w:space="0" w:color="auto"/>
                    <w:bottom w:val="none" w:sz="0" w:space="0" w:color="auto"/>
                    <w:right w:val="none" w:sz="0" w:space="0" w:color="auto"/>
                  </w:divBdr>
                  <w:divsChild>
                    <w:div w:id="1937321112">
                      <w:marLeft w:val="0"/>
                      <w:marRight w:val="0"/>
                      <w:marTop w:val="0"/>
                      <w:marBottom w:val="0"/>
                      <w:divBdr>
                        <w:top w:val="none" w:sz="0" w:space="0" w:color="auto"/>
                        <w:left w:val="none" w:sz="0" w:space="0" w:color="auto"/>
                        <w:bottom w:val="none" w:sz="0" w:space="0" w:color="auto"/>
                        <w:right w:val="none" w:sz="0" w:space="0" w:color="auto"/>
                      </w:divBdr>
                      <w:divsChild>
                        <w:div w:id="1164320623">
                          <w:marLeft w:val="0"/>
                          <w:marRight w:val="0"/>
                          <w:marTop w:val="0"/>
                          <w:marBottom w:val="0"/>
                          <w:divBdr>
                            <w:top w:val="none" w:sz="0" w:space="0" w:color="auto"/>
                            <w:left w:val="none" w:sz="0" w:space="0" w:color="auto"/>
                            <w:bottom w:val="none" w:sz="0" w:space="0" w:color="auto"/>
                            <w:right w:val="none" w:sz="0" w:space="0" w:color="auto"/>
                          </w:divBdr>
                          <w:divsChild>
                            <w:div w:id="1662464295">
                              <w:marLeft w:val="0"/>
                              <w:marRight w:val="0"/>
                              <w:marTop w:val="0"/>
                              <w:marBottom w:val="0"/>
                              <w:divBdr>
                                <w:top w:val="none" w:sz="0" w:space="0" w:color="auto"/>
                                <w:left w:val="none" w:sz="0" w:space="0" w:color="auto"/>
                                <w:bottom w:val="none" w:sz="0" w:space="0" w:color="auto"/>
                                <w:right w:val="none" w:sz="0" w:space="0" w:color="auto"/>
                              </w:divBdr>
                              <w:divsChild>
                                <w:div w:id="72315297">
                                  <w:marLeft w:val="0"/>
                                  <w:marRight w:val="0"/>
                                  <w:marTop w:val="0"/>
                                  <w:marBottom w:val="0"/>
                                  <w:divBdr>
                                    <w:top w:val="none" w:sz="0" w:space="0" w:color="auto"/>
                                    <w:left w:val="none" w:sz="0" w:space="0" w:color="auto"/>
                                    <w:bottom w:val="none" w:sz="0" w:space="0" w:color="auto"/>
                                    <w:right w:val="none" w:sz="0" w:space="0" w:color="auto"/>
                                  </w:divBdr>
                                  <w:divsChild>
                                    <w:div w:id="8436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41832">
      <w:bodyDiv w:val="1"/>
      <w:marLeft w:val="0"/>
      <w:marRight w:val="0"/>
      <w:marTop w:val="0"/>
      <w:marBottom w:val="0"/>
      <w:divBdr>
        <w:top w:val="none" w:sz="0" w:space="0" w:color="auto"/>
        <w:left w:val="none" w:sz="0" w:space="0" w:color="auto"/>
        <w:bottom w:val="none" w:sz="0" w:space="0" w:color="auto"/>
        <w:right w:val="none" w:sz="0" w:space="0" w:color="auto"/>
      </w:divBdr>
    </w:div>
    <w:div w:id="181289570">
      <w:marLeft w:val="0"/>
      <w:marRight w:val="0"/>
      <w:marTop w:val="0"/>
      <w:marBottom w:val="0"/>
      <w:divBdr>
        <w:top w:val="none" w:sz="0" w:space="0" w:color="auto"/>
        <w:left w:val="none" w:sz="0" w:space="0" w:color="auto"/>
        <w:bottom w:val="none" w:sz="0" w:space="0" w:color="auto"/>
        <w:right w:val="none" w:sz="0" w:space="0" w:color="auto"/>
      </w:divBdr>
      <w:divsChild>
        <w:div w:id="1552110912">
          <w:marLeft w:val="0"/>
          <w:marRight w:val="0"/>
          <w:marTop w:val="0"/>
          <w:marBottom w:val="0"/>
          <w:divBdr>
            <w:top w:val="none" w:sz="0" w:space="0" w:color="auto"/>
            <w:left w:val="none" w:sz="0" w:space="0" w:color="auto"/>
            <w:bottom w:val="none" w:sz="0" w:space="0" w:color="auto"/>
            <w:right w:val="none" w:sz="0" w:space="0" w:color="auto"/>
          </w:divBdr>
        </w:div>
      </w:divsChild>
    </w:div>
    <w:div w:id="438331843">
      <w:bodyDiv w:val="1"/>
      <w:marLeft w:val="0"/>
      <w:marRight w:val="0"/>
      <w:marTop w:val="0"/>
      <w:marBottom w:val="0"/>
      <w:divBdr>
        <w:top w:val="none" w:sz="0" w:space="0" w:color="auto"/>
        <w:left w:val="none" w:sz="0" w:space="0" w:color="auto"/>
        <w:bottom w:val="none" w:sz="0" w:space="0" w:color="auto"/>
        <w:right w:val="none" w:sz="0" w:space="0" w:color="auto"/>
      </w:divBdr>
      <w:divsChild>
        <w:div w:id="821703634">
          <w:marLeft w:val="0"/>
          <w:marRight w:val="0"/>
          <w:marTop w:val="0"/>
          <w:marBottom w:val="0"/>
          <w:divBdr>
            <w:top w:val="none" w:sz="0" w:space="0" w:color="auto"/>
            <w:left w:val="none" w:sz="0" w:space="0" w:color="auto"/>
            <w:bottom w:val="none" w:sz="0" w:space="0" w:color="auto"/>
            <w:right w:val="none" w:sz="0" w:space="0" w:color="auto"/>
          </w:divBdr>
          <w:divsChild>
            <w:div w:id="144972586">
              <w:marLeft w:val="0"/>
              <w:marRight w:val="0"/>
              <w:marTop w:val="0"/>
              <w:marBottom w:val="0"/>
              <w:divBdr>
                <w:top w:val="none" w:sz="0" w:space="0" w:color="auto"/>
                <w:left w:val="none" w:sz="0" w:space="0" w:color="auto"/>
                <w:bottom w:val="none" w:sz="0" w:space="0" w:color="auto"/>
                <w:right w:val="none" w:sz="0" w:space="0" w:color="auto"/>
              </w:divBdr>
              <w:divsChild>
                <w:div w:id="24596763">
                  <w:marLeft w:val="0"/>
                  <w:marRight w:val="0"/>
                  <w:marTop w:val="0"/>
                  <w:marBottom w:val="0"/>
                  <w:divBdr>
                    <w:top w:val="none" w:sz="0" w:space="0" w:color="auto"/>
                    <w:left w:val="none" w:sz="0" w:space="0" w:color="auto"/>
                    <w:bottom w:val="none" w:sz="0" w:space="0" w:color="auto"/>
                    <w:right w:val="none" w:sz="0" w:space="0" w:color="auto"/>
                  </w:divBdr>
                  <w:divsChild>
                    <w:div w:id="1775975925">
                      <w:marLeft w:val="0"/>
                      <w:marRight w:val="0"/>
                      <w:marTop w:val="0"/>
                      <w:marBottom w:val="0"/>
                      <w:divBdr>
                        <w:top w:val="none" w:sz="0" w:space="0" w:color="auto"/>
                        <w:left w:val="none" w:sz="0" w:space="0" w:color="auto"/>
                        <w:bottom w:val="none" w:sz="0" w:space="0" w:color="auto"/>
                        <w:right w:val="none" w:sz="0" w:space="0" w:color="auto"/>
                      </w:divBdr>
                      <w:divsChild>
                        <w:div w:id="1629049057">
                          <w:marLeft w:val="0"/>
                          <w:marRight w:val="0"/>
                          <w:marTop w:val="0"/>
                          <w:marBottom w:val="0"/>
                          <w:divBdr>
                            <w:top w:val="none" w:sz="0" w:space="0" w:color="auto"/>
                            <w:left w:val="none" w:sz="0" w:space="0" w:color="auto"/>
                            <w:bottom w:val="none" w:sz="0" w:space="0" w:color="auto"/>
                            <w:right w:val="none" w:sz="0" w:space="0" w:color="auto"/>
                          </w:divBdr>
                          <w:divsChild>
                            <w:div w:id="965544236">
                              <w:marLeft w:val="0"/>
                              <w:marRight w:val="0"/>
                              <w:marTop w:val="0"/>
                              <w:marBottom w:val="0"/>
                              <w:divBdr>
                                <w:top w:val="none" w:sz="0" w:space="0" w:color="auto"/>
                                <w:left w:val="none" w:sz="0" w:space="0" w:color="auto"/>
                                <w:bottom w:val="none" w:sz="0" w:space="0" w:color="auto"/>
                                <w:right w:val="none" w:sz="0" w:space="0" w:color="auto"/>
                              </w:divBdr>
                              <w:divsChild>
                                <w:div w:id="782963221">
                                  <w:marLeft w:val="0"/>
                                  <w:marRight w:val="0"/>
                                  <w:marTop w:val="0"/>
                                  <w:marBottom w:val="0"/>
                                  <w:divBdr>
                                    <w:top w:val="none" w:sz="0" w:space="0" w:color="auto"/>
                                    <w:left w:val="none" w:sz="0" w:space="0" w:color="auto"/>
                                    <w:bottom w:val="none" w:sz="0" w:space="0" w:color="auto"/>
                                    <w:right w:val="none" w:sz="0" w:space="0" w:color="auto"/>
                                  </w:divBdr>
                                  <w:divsChild>
                                    <w:div w:id="15333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759290">
      <w:marLeft w:val="0"/>
      <w:marRight w:val="0"/>
      <w:marTop w:val="0"/>
      <w:marBottom w:val="0"/>
      <w:divBdr>
        <w:top w:val="none" w:sz="0" w:space="0" w:color="auto"/>
        <w:left w:val="none" w:sz="0" w:space="0" w:color="auto"/>
        <w:bottom w:val="none" w:sz="0" w:space="0" w:color="auto"/>
        <w:right w:val="none" w:sz="0" w:space="0" w:color="auto"/>
      </w:divBdr>
      <w:divsChild>
        <w:div w:id="1631130736">
          <w:marLeft w:val="0"/>
          <w:marRight w:val="0"/>
          <w:marTop w:val="0"/>
          <w:marBottom w:val="0"/>
          <w:divBdr>
            <w:top w:val="none" w:sz="0" w:space="0" w:color="auto"/>
            <w:left w:val="none" w:sz="0" w:space="0" w:color="auto"/>
            <w:bottom w:val="none" w:sz="0" w:space="0" w:color="auto"/>
            <w:right w:val="none" w:sz="0" w:space="0" w:color="auto"/>
          </w:divBdr>
        </w:div>
      </w:divsChild>
    </w:div>
    <w:div w:id="545719613">
      <w:marLeft w:val="0"/>
      <w:marRight w:val="0"/>
      <w:marTop w:val="0"/>
      <w:marBottom w:val="0"/>
      <w:divBdr>
        <w:top w:val="none" w:sz="0" w:space="0" w:color="auto"/>
        <w:left w:val="none" w:sz="0" w:space="0" w:color="auto"/>
        <w:bottom w:val="none" w:sz="0" w:space="0" w:color="auto"/>
        <w:right w:val="none" w:sz="0" w:space="0" w:color="auto"/>
      </w:divBdr>
      <w:divsChild>
        <w:div w:id="935092745">
          <w:marLeft w:val="0"/>
          <w:marRight w:val="0"/>
          <w:marTop w:val="0"/>
          <w:marBottom w:val="0"/>
          <w:divBdr>
            <w:top w:val="none" w:sz="0" w:space="0" w:color="auto"/>
            <w:left w:val="none" w:sz="0" w:space="0" w:color="auto"/>
            <w:bottom w:val="none" w:sz="0" w:space="0" w:color="auto"/>
            <w:right w:val="none" w:sz="0" w:space="0" w:color="auto"/>
          </w:divBdr>
        </w:div>
      </w:divsChild>
    </w:div>
    <w:div w:id="551620482">
      <w:bodyDiv w:val="1"/>
      <w:marLeft w:val="0"/>
      <w:marRight w:val="0"/>
      <w:marTop w:val="0"/>
      <w:marBottom w:val="0"/>
      <w:divBdr>
        <w:top w:val="none" w:sz="0" w:space="0" w:color="auto"/>
        <w:left w:val="none" w:sz="0" w:space="0" w:color="auto"/>
        <w:bottom w:val="none" w:sz="0" w:space="0" w:color="auto"/>
        <w:right w:val="none" w:sz="0" w:space="0" w:color="auto"/>
      </w:divBdr>
    </w:div>
    <w:div w:id="560136852">
      <w:bodyDiv w:val="1"/>
      <w:marLeft w:val="0"/>
      <w:marRight w:val="0"/>
      <w:marTop w:val="0"/>
      <w:marBottom w:val="0"/>
      <w:divBdr>
        <w:top w:val="none" w:sz="0" w:space="0" w:color="auto"/>
        <w:left w:val="none" w:sz="0" w:space="0" w:color="auto"/>
        <w:bottom w:val="none" w:sz="0" w:space="0" w:color="auto"/>
        <w:right w:val="none" w:sz="0" w:space="0" w:color="auto"/>
      </w:divBdr>
    </w:div>
    <w:div w:id="568611367">
      <w:bodyDiv w:val="1"/>
      <w:marLeft w:val="0"/>
      <w:marRight w:val="0"/>
      <w:marTop w:val="0"/>
      <w:marBottom w:val="0"/>
      <w:divBdr>
        <w:top w:val="none" w:sz="0" w:space="0" w:color="auto"/>
        <w:left w:val="none" w:sz="0" w:space="0" w:color="auto"/>
        <w:bottom w:val="none" w:sz="0" w:space="0" w:color="auto"/>
        <w:right w:val="none" w:sz="0" w:space="0" w:color="auto"/>
      </w:divBdr>
      <w:divsChild>
        <w:div w:id="1617177447">
          <w:marLeft w:val="0"/>
          <w:marRight w:val="0"/>
          <w:marTop w:val="0"/>
          <w:marBottom w:val="0"/>
          <w:divBdr>
            <w:top w:val="none" w:sz="0" w:space="0" w:color="auto"/>
            <w:left w:val="none" w:sz="0" w:space="0" w:color="auto"/>
            <w:bottom w:val="none" w:sz="0" w:space="0" w:color="auto"/>
            <w:right w:val="none" w:sz="0" w:space="0" w:color="auto"/>
          </w:divBdr>
          <w:divsChild>
            <w:div w:id="2048294793">
              <w:marLeft w:val="-225"/>
              <w:marRight w:val="-225"/>
              <w:marTop w:val="0"/>
              <w:marBottom w:val="0"/>
              <w:divBdr>
                <w:top w:val="none" w:sz="0" w:space="0" w:color="auto"/>
                <w:left w:val="none" w:sz="0" w:space="0" w:color="auto"/>
                <w:bottom w:val="none" w:sz="0" w:space="0" w:color="auto"/>
                <w:right w:val="none" w:sz="0" w:space="0" w:color="auto"/>
              </w:divBdr>
              <w:divsChild>
                <w:div w:id="458449630">
                  <w:marLeft w:val="0"/>
                  <w:marRight w:val="0"/>
                  <w:marTop w:val="0"/>
                  <w:marBottom w:val="0"/>
                  <w:divBdr>
                    <w:top w:val="none" w:sz="0" w:space="0" w:color="auto"/>
                    <w:left w:val="none" w:sz="0" w:space="0" w:color="auto"/>
                    <w:bottom w:val="none" w:sz="0" w:space="0" w:color="auto"/>
                    <w:right w:val="none" w:sz="0" w:space="0" w:color="auto"/>
                  </w:divBdr>
                  <w:divsChild>
                    <w:div w:id="1540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19092">
      <w:bodyDiv w:val="1"/>
      <w:marLeft w:val="0"/>
      <w:marRight w:val="0"/>
      <w:marTop w:val="0"/>
      <w:marBottom w:val="0"/>
      <w:divBdr>
        <w:top w:val="none" w:sz="0" w:space="0" w:color="auto"/>
        <w:left w:val="none" w:sz="0" w:space="0" w:color="auto"/>
        <w:bottom w:val="none" w:sz="0" w:space="0" w:color="auto"/>
        <w:right w:val="none" w:sz="0" w:space="0" w:color="auto"/>
      </w:divBdr>
    </w:div>
    <w:div w:id="704527498">
      <w:bodyDiv w:val="1"/>
      <w:marLeft w:val="0"/>
      <w:marRight w:val="0"/>
      <w:marTop w:val="0"/>
      <w:marBottom w:val="0"/>
      <w:divBdr>
        <w:top w:val="none" w:sz="0" w:space="0" w:color="auto"/>
        <w:left w:val="none" w:sz="0" w:space="0" w:color="auto"/>
        <w:bottom w:val="none" w:sz="0" w:space="0" w:color="auto"/>
        <w:right w:val="none" w:sz="0" w:space="0" w:color="auto"/>
      </w:divBdr>
    </w:div>
    <w:div w:id="749350110">
      <w:bodyDiv w:val="1"/>
      <w:marLeft w:val="0"/>
      <w:marRight w:val="0"/>
      <w:marTop w:val="0"/>
      <w:marBottom w:val="0"/>
      <w:divBdr>
        <w:top w:val="none" w:sz="0" w:space="0" w:color="auto"/>
        <w:left w:val="none" w:sz="0" w:space="0" w:color="auto"/>
        <w:bottom w:val="none" w:sz="0" w:space="0" w:color="auto"/>
        <w:right w:val="none" w:sz="0" w:space="0" w:color="auto"/>
      </w:divBdr>
    </w:div>
    <w:div w:id="790171003">
      <w:bodyDiv w:val="1"/>
      <w:marLeft w:val="0"/>
      <w:marRight w:val="0"/>
      <w:marTop w:val="0"/>
      <w:marBottom w:val="0"/>
      <w:divBdr>
        <w:top w:val="none" w:sz="0" w:space="0" w:color="auto"/>
        <w:left w:val="none" w:sz="0" w:space="0" w:color="auto"/>
        <w:bottom w:val="none" w:sz="0" w:space="0" w:color="auto"/>
        <w:right w:val="none" w:sz="0" w:space="0" w:color="auto"/>
      </w:divBdr>
    </w:div>
    <w:div w:id="804157226">
      <w:bodyDiv w:val="1"/>
      <w:marLeft w:val="0"/>
      <w:marRight w:val="0"/>
      <w:marTop w:val="0"/>
      <w:marBottom w:val="0"/>
      <w:divBdr>
        <w:top w:val="none" w:sz="0" w:space="0" w:color="auto"/>
        <w:left w:val="none" w:sz="0" w:space="0" w:color="auto"/>
        <w:bottom w:val="none" w:sz="0" w:space="0" w:color="auto"/>
        <w:right w:val="none" w:sz="0" w:space="0" w:color="auto"/>
      </w:divBdr>
    </w:div>
    <w:div w:id="806629403">
      <w:bodyDiv w:val="1"/>
      <w:marLeft w:val="0"/>
      <w:marRight w:val="0"/>
      <w:marTop w:val="0"/>
      <w:marBottom w:val="0"/>
      <w:divBdr>
        <w:top w:val="none" w:sz="0" w:space="0" w:color="auto"/>
        <w:left w:val="none" w:sz="0" w:space="0" w:color="auto"/>
        <w:bottom w:val="none" w:sz="0" w:space="0" w:color="auto"/>
        <w:right w:val="none" w:sz="0" w:space="0" w:color="auto"/>
      </w:divBdr>
    </w:div>
    <w:div w:id="881136874">
      <w:marLeft w:val="0"/>
      <w:marRight w:val="0"/>
      <w:marTop w:val="0"/>
      <w:marBottom w:val="0"/>
      <w:divBdr>
        <w:top w:val="none" w:sz="0" w:space="0" w:color="auto"/>
        <w:left w:val="none" w:sz="0" w:space="0" w:color="auto"/>
        <w:bottom w:val="none" w:sz="0" w:space="0" w:color="auto"/>
        <w:right w:val="none" w:sz="0" w:space="0" w:color="auto"/>
      </w:divBdr>
      <w:divsChild>
        <w:div w:id="2067604577">
          <w:marLeft w:val="0"/>
          <w:marRight w:val="0"/>
          <w:marTop w:val="0"/>
          <w:marBottom w:val="0"/>
          <w:divBdr>
            <w:top w:val="none" w:sz="0" w:space="0" w:color="auto"/>
            <w:left w:val="none" w:sz="0" w:space="0" w:color="auto"/>
            <w:bottom w:val="none" w:sz="0" w:space="0" w:color="auto"/>
            <w:right w:val="none" w:sz="0" w:space="0" w:color="auto"/>
          </w:divBdr>
        </w:div>
      </w:divsChild>
    </w:div>
    <w:div w:id="894466707">
      <w:bodyDiv w:val="1"/>
      <w:marLeft w:val="0"/>
      <w:marRight w:val="0"/>
      <w:marTop w:val="0"/>
      <w:marBottom w:val="0"/>
      <w:divBdr>
        <w:top w:val="none" w:sz="0" w:space="0" w:color="auto"/>
        <w:left w:val="none" w:sz="0" w:space="0" w:color="auto"/>
        <w:bottom w:val="none" w:sz="0" w:space="0" w:color="auto"/>
        <w:right w:val="none" w:sz="0" w:space="0" w:color="auto"/>
      </w:divBdr>
    </w:div>
    <w:div w:id="985086812">
      <w:bodyDiv w:val="1"/>
      <w:marLeft w:val="0"/>
      <w:marRight w:val="0"/>
      <w:marTop w:val="0"/>
      <w:marBottom w:val="0"/>
      <w:divBdr>
        <w:top w:val="none" w:sz="0" w:space="0" w:color="auto"/>
        <w:left w:val="none" w:sz="0" w:space="0" w:color="auto"/>
        <w:bottom w:val="none" w:sz="0" w:space="0" w:color="auto"/>
        <w:right w:val="none" w:sz="0" w:space="0" w:color="auto"/>
      </w:divBdr>
    </w:div>
    <w:div w:id="1030834230">
      <w:bodyDiv w:val="1"/>
      <w:marLeft w:val="0"/>
      <w:marRight w:val="0"/>
      <w:marTop w:val="0"/>
      <w:marBottom w:val="0"/>
      <w:divBdr>
        <w:top w:val="none" w:sz="0" w:space="0" w:color="auto"/>
        <w:left w:val="none" w:sz="0" w:space="0" w:color="auto"/>
        <w:bottom w:val="none" w:sz="0" w:space="0" w:color="auto"/>
        <w:right w:val="none" w:sz="0" w:space="0" w:color="auto"/>
      </w:divBdr>
    </w:div>
    <w:div w:id="1052998994">
      <w:bodyDiv w:val="1"/>
      <w:marLeft w:val="0"/>
      <w:marRight w:val="0"/>
      <w:marTop w:val="0"/>
      <w:marBottom w:val="0"/>
      <w:divBdr>
        <w:top w:val="none" w:sz="0" w:space="0" w:color="auto"/>
        <w:left w:val="none" w:sz="0" w:space="0" w:color="auto"/>
        <w:bottom w:val="none" w:sz="0" w:space="0" w:color="auto"/>
        <w:right w:val="none" w:sz="0" w:space="0" w:color="auto"/>
      </w:divBdr>
    </w:div>
    <w:div w:id="1089348247">
      <w:bodyDiv w:val="1"/>
      <w:marLeft w:val="0"/>
      <w:marRight w:val="0"/>
      <w:marTop w:val="0"/>
      <w:marBottom w:val="0"/>
      <w:divBdr>
        <w:top w:val="none" w:sz="0" w:space="0" w:color="auto"/>
        <w:left w:val="none" w:sz="0" w:space="0" w:color="auto"/>
        <w:bottom w:val="none" w:sz="0" w:space="0" w:color="auto"/>
        <w:right w:val="none" w:sz="0" w:space="0" w:color="auto"/>
      </w:divBdr>
    </w:div>
    <w:div w:id="1214846435">
      <w:marLeft w:val="0"/>
      <w:marRight w:val="0"/>
      <w:marTop w:val="0"/>
      <w:marBottom w:val="0"/>
      <w:divBdr>
        <w:top w:val="none" w:sz="0" w:space="0" w:color="auto"/>
        <w:left w:val="none" w:sz="0" w:space="0" w:color="auto"/>
        <w:bottom w:val="none" w:sz="0" w:space="0" w:color="auto"/>
        <w:right w:val="none" w:sz="0" w:space="0" w:color="auto"/>
      </w:divBdr>
      <w:divsChild>
        <w:div w:id="1100755770">
          <w:marLeft w:val="0"/>
          <w:marRight w:val="0"/>
          <w:marTop w:val="0"/>
          <w:marBottom w:val="0"/>
          <w:divBdr>
            <w:top w:val="none" w:sz="0" w:space="0" w:color="auto"/>
            <w:left w:val="none" w:sz="0" w:space="0" w:color="auto"/>
            <w:bottom w:val="none" w:sz="0" w:space="0" w:color="auto"/>
            <w:right w:val="none" w:sz="0" w:space="0" w:color="auto"/>
          </w:divBdr>
        </w:div>
      </w:divsChild>
    </w:div>
    <w:div w:id="1299992199">
      <w:bodyDiv w:val="1"/>
      <w:marLeft w:val="0"/>
      <w:marRight w:val="0"/>
      <w:marTop w:val="0"/>
      <w:marBottom w:val="0"/>
      <w:divBdr>
        <w:top w:val="none" w:sz="0" w:space="0" w:color="auto"/>
        <w:left w:val="none" w:sz="0" w:space="0" w:color="auto"/>
        <w:bottom w:val="none" w:sz="0" w:space="0" w:color="auto"/>
        <w:right w:val="none" w:sz="0" w:space="0" w:color="auto"/>
      </w:divBdr>
      <w:divsChild>
        <w:div w:id="421342126">
          <w:marLeft w:val="0"/>
          <w:marRight w:val="0"/>
          <w:marTop w:val="0"/>
          <w:marBottom w:val="0"/>
          <w:divBdr>
            <w:top w:val="none" w:sz="0" w:space="0" w:color="auto"/>
            <w:left w:val="none" w:sz="0" w:space="0" w:color="auto"/>
            <w:bottom w:val="none" w:sz="0" w:space="0" w:color="auto"/>
            <w:right w:val="none" w:sz="0" w:space="0" w:color="auto"/>
          </w:divBdr>
          <w:divsChild>
            <w:div w:id="1762263758">
              <w:marLeft w:val="0"/>
              <w:marRight w:val="0"/>
              <w:marTop w:val="264"/>
              <w:marBottom w:val="264"/>
              <w:divBdr>
                <w:top w:val="none" w:sz="0" w:space="0" w:color="auto"/>
                <w:left w:val="none" w:sz="0" w:space="0" w:color="auto"/>
                <w:bottom w:val="none" w:sz="0" w:space="0" w:color="auto"/>
                <w:right w:val="none" w:sz="0" w:space="0" w:color="auto"/>
              </w:divBdr>
              <w:divsChild>
                <w:div w:id="1931697234">
                  <w:marLeft w:val="0"/>
                  <w:marRight w:val="0"/>
                  <w:marTop w:val="0"/>
                  <w:marBottom w:val="0"/>
                  <w:divBdr>
                    <w:top w:val="none" w:sz="0" w:space="0" w:color="auto"/>
                    <w:left w:val="none" w:sz="0" w:space="0" w:color="auto"/>
                    <w:bottom w:val="none" w:sz="0" w:space="0" w:color="auto"/>
                    <w:right w:val="none" w:sz="0" w:space="0" w:color="auto"/>
                  </w:divBdr>
                  <w:divsChild>
                    <w:div w:id="5576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13677">
      <w:bodyDiv w:val="1"/>
      <w:marLeft w:val="0"/>
      <w:marRight w:val="0"/>
      <w:marTop w:val="0"/>
      <w:marBottom w:val="0"/>
      <w:divBdr>
        <w:top w:val="none" w:sz="0" w:space="0" w:color="auto"/>
        <w:left w:val="none" w:sz="0" w:space="0" w:color="auto"/>
        <w:bottom w:val="none" w:sz="0" w:space="0" w:color="auto"/>
        <w:right w:val="none" w:sz="0" w:space="0" w:color="auto"/>
      </w:divBdr>
    </w:div>
    <w:div w:id="1344628388">
      <w:bodyDiv w:val="1"/>
      <w:marLeft w:val="0"/>
      <w:marRight w:val="0"/>
      <w:marTop w:val="0"/>
      <w:marBottom w:val="0"/>
      <w:divBdr>
        <w:top w:val="none" w:sz="0" w:space="0" w:color="auto"/>
        <w:left w:val="none" w:sz="0" w:space="0" w:color="auto"/>
        <w:bottom w:val="none" w:sz="0" w:space="0" w:color="auto"/>
        <w:right w:val="none" w:sz="0" w:space="0" w:color="auto"/>
      </w:divBdr>
    </w:div>
    <w:div w:id="1382174044">
      <w:marLeft w:val="0"/>
      <w:marRight w:val="0"/>
      <w:marTop w:val="0"/>
      <w:marBottom w:val="0"/>
      <w:divBdr>
        <w:top w:val="none" w:sz="0" w:space="0" w:color="auto"/>
        <w:left w:val="none" w:sz="0" w:space="0" w:color="auto"/>
        <w:bottom w:val="none" w:sz="0" w:space="0" w:color="auto"/>
        <w:right w:val="none" w:sz="0" w:space="0" w:color="auto"/>
      </w:divBdr>
      <w:divsChild>
        <w:div w:id="1819223555">
          <w:marLeft w:val="0"/>
          <w:marRight w:val="0"/>
          <w:marTop w:val="0"/>
          <w:marBottom w:val="0"/>
          <w:divBdr>
            <w:top w:val="none" w:sz="0" w:space="0" w:color="auto"/>
            <w:left w:val="none" w:sz="0" w:space="0" w:color="auto"/>
            <w:bottom w:val="none" w:sz="0" w:space="0" w:color="auto"/>
            <w:right w:val="none" w:sz="0" w:space="0" w:color="auto"/>
          </w:divBdr>
        </w:div>
      </w:divsChild>
    </w:div>
    <w:div w:id="1431388433">
      <w:bodyDiv w:val="1"/>
      <w:marLeft w:val="0"/>
      <w:marRight w:val="0"/>
      <w:marTop w:val="0"/>
      <w:marBottom w:val="0"/>
      <w:divBdr>
        <w:top w:val="none" w:sz="0" w:space="0" w:color="auto"/>
        <w:left w:val="none" w:sz="0" w:space="0" w:color="auto"/>
        <w:bottom w:val="none" w:sz="0" w:space="0" w:color="auto"/>
        <w:right w:val="none" w:sz="0" w:space="0" w:color="auto"/>
      </w:divBdr>
    </w:div>
    <w:div w:id="1486509052">
      <w:bodyDiv w:val="1"/>
      <w:marLeft w:val="0"/>
      <w:marRight w:val="0"/>
      <w:marTop w:val="0"/>
      <w:marBottom w:val="0"/>
      <w:divBdr>
        <w:top w:val="none" w:sz="0" w:space="0" w:color="auto"/>
        <w:left w:val="none" w:sz="0" w:space="0" w:color="auto"/>
        <w:bottom w:val="none" w:sz="0" w:space="0" w:color="auto"/>
        <w:right w:val="none" w:sz="0" w:space="0" w:color="auto"/>
      </w:divBdr>
    </w:div>
    <w:div w:id="1506481869">
      <w:bodyDiv w:val="1"/>
      <w:marLeft w:val="0"/>
      <w:marRight w:val="0"/>
      <w:marTop w:val="0"/>
      <w:marBottom w:val="0"/>
      <w:divBdr>
        <w:top w:val="none" w:sz="0" w:space="0" w:color="auto"/>
        <w:left w:val="none" w:sz="0" w:space="0" w:color="auto"/>
        <w:bottom w:val="none" w:sz="0" w:space="0" w:color="auto"/>
        <w:right w:val="none" w:sz="0" w:space="0" w:color="auto"/>
      </w:divBdr>
    </w:div>
    <w:div w:id="1526017714">
      <w:bodyDiv w:val="1"/>
      <w:marLeft w:val="0"/>
      <w:marRight w:val="0"/>
      <w:marTop w:val="0"/>
      <w:marBottom w:val="0"/>
      <w:divBdr>
        <w:top w:val="none" w:sz="0" w:space="0" w:color="auto"/>
        <w:left w:val="none" w:sz="0" w:space="0" w:color="auto"/>
        <w:bottom w:val="none" w:sz="0" w:space="0" w:color="auto"/>
        <w:right w:val="none" w:sz="0" w:space="0" w:color="auto"/>
      </w:divBdr>
      <w:divsChild>
        <w:div w:id="164395753">
          <w:marLeft w:val="0"/>
          <w:marRight w:val="0"/>
          <w:marTop w:val="0"/>
          <w:marBottom w:val="0"/>
          <w:divBdr>
            <w:top w:val="none" w:sz="0" w:space="0" w:color="auto"/>
            <w:left w:val="none" w:sz="0" w:space="0" w:color="auto"/>
            <w:bottom w:val="none" w:sz="0" w:space="0" w:color="auto"/>
            <w:right w:val="none" w:sz="0" w:space="0" w:color="auto"/>
          </w:divBdr>
          <w:divsChild>
            <w:div w:id="1753769488">
              <w:marLeft w:val="0"/>
              <w:marRight w:val="0"/>
              <w:marTop w:val="0"/>
              <w:marBottom w:val="0"/>
              <w:divBdr>
                <w:top w:val="none" w:sz="0" w:space="0" w:color="auto"/>
                <w:left w:val="none" w:sz="0" w:space="0" w:color="auto"/>
                <w:bottom w:val="none" w:sz="0" w:space="0" w:color="auto"/>
                <w:right w:val="none" w:sz="0" w:space="0" w:color="auto"/>
              </w:divBdr>
              <w:divsChild>
                <w:div w:id="472672523">
                  <w:marLeft w:val="0"/>
                  <w:marRight w:val="0"/>
                  <w:marTop w:val="0"/>
                  <w:marBottom w:val="0"/>
                  <w:divBdr>
                    <w:top w:val="none" w:sz="0" w:space="0" w:color="auto"/>
                    <w:left w:val="none" w:sz="0" w:space="0" w:color="auto"/>
                    <w:bottom w:val="none" w:sz="0" w:space="0" w:color="auto"/>
                    <w:right w:val="none" w:sz="0" w:space="0" w:color="auto"/>
                  </w:divBdr>
                  <w:divsChild>
                    <w:div w:id="1795515456">
                      <w:marLeft w:val="0"/>
                      <w:marRight w:val="0"/>
                      <w:marTop w:val="0"/>
                      <w:marBottom w:val="0"/>
                      <w:divBdr>
                        <w:top w:val="none" w:sz="0" w:space="0" w:color="auto"/>
                        <w:left w:val="none" w:sz="0" w:space="0" w:color="auto"/>
                        <w:bottom w:val="none" w:sz="0" w:space="0" w:color="auto"/>
                        <w:right w:val="none" w:sz="0" w:space="0" w:color="auto"/>
                      </w:divBdr>
                      <w:divsChild>
                        <w:div w:id="1846280231">
                          <w:marLeft w:val="0"/>
                          <w:marRight w:val="0"/>
                          <w:marTop w:val="0"/>
                          <w:marBottom w:val="0"/>
                          <w:divBdr>
                            <w:top w:val="none" w:sz="0" w:space="0" w:color="auto"/>
                            <w:left w:val="none" w:sz="0" w:space="0" w:color="auto"/>
                            <w:bottom w:val="none" w:sz="0" w:space="0" w:color="auto"/>
                            <w:right w:val="none" w:sz="0" w:space="0" w:color="auto"/>
                          </w:divBdr>
                          <w:divsChild>
                            <w:div w:id="1156259358">
                              <w:marLeft w:val="0"/>
                              <w:marRight w:val="0"/>
                              <w:marTop w:val="0"/>
                              <w:marBottom w:val="0"/>
                              <w:divBdr>
                                <w:top w:val="none" w:sz="0" w:space="0" w:color="auto"/>
                                <w:left w:val="none" w:sz="0" w:space="0" w:color="auto"/>
                                <w:bottom w:val="none" w:sz="0" w:space="0" w:color="auto"/>
                                <w:right w:val="none" w:sz="0" w:space="0" w:color="auto"/>
                              </w:divBdr>
                              <w:divsChild>
                                <w:div w:id="2013991539">
                                  <w:marLeft w:val="0"/>
                                  <w:marRight w:val="0"/>
                                  <w:marTop w:val="0"/>
                                  <w:marBottom w:val="0"/>
                                  <w:divBdr>
                                    <w:top w:val="none" w:sz="0" w:space="0" w:color="auto"/>
                                    <w:left w:val="none" w:sz="0" w:space="0" w:color="auto"/>
                                    <w:bottom w:val="none" w:sz="0" w:space="0" w:color="auto"/>
                                    <w:right w:val="none" w:sz="0" w:space="0" w:color="auto"/>
                                  </w:divBdr>
                                  <w:divsChild>
                                    <w:div w:id="20600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712782">
      <w:bodyDiv w:val="1"/>
      <w:marLeft w:val="0"/>
      <w:marRight w:val="0"/>
      <w:marTop w:val="0"/>
      <w:marBottom w:val="0"/>
      <w:divBdr>
        <w:top w:val="none" w:sz="0" w:space="0" w:color="auto"/>
        <w:left w:val="none" w:sz="0" w:space="0" w:color="auto"/>
        <w:bottom w:val="none" w:sz="0" w:space="0" w:color="auto"/>
        <w:right w:val="none" w:sz="0" w:space="0" w:color="auto"/>
      </w:divBdr>
      <w:divsChild>
        <w:div w:id="1123843160">
          <w:marLeft w:val="0"/>
          <w:marRight w:val="0"/>
          <w:marTop w:val="0"/>
          <w:marBottom w:val="0"/>
          <w:divBdr>
            <w:top w:val="none" w:sz="0" w:space="0" w:color="auto"/>
            <w:left w:val="none" w:sz="0" w:space="0" w:color="auto"/>
            <w:bottom w:val="none" w:sz="0" w:space="0" w:color="auto"/>
            <w:right w:val="none" w:sz="0" w:space="0" w:color="auto"/>
          </w:divBdr>
          <w:divsChild>
            <w:div w:id="10483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541">
      <w:bodyDiv w:val="1"/>
      <w:marLeft w:val="0"/>
      <w:marRight w:val="0"/>
      <w:marTop w:val="0"/>
      <w:marBottom w:val="0"/>
      <w:divBdr>
        <w:top w:val="none" w:sz="0" w:space="0" w:color="auto"/>
        <w:left w:val="none" w:sz="0" w:space="0" w:color="auto"/>
        <w:bottom w:val="none" w:sz="0" w:space="0" w:color="auto"/>
        <w:right w:val="none" w:sz="0" w:space="0" w:color="auto"/>
      </w:divBdr>
    </w:div>
    <w:div w:id="1655988822">
      <w:bodyDiv w:val="1"/>
      <w:marLeft w:val="0"/>
      <w:marRight w:val="0"/>
      <w:marTop w:val="0"/>
      <w:marBottom w:val="0"/>
      <w:divBdr>
        <w:top w:val="none" w:sz="0" w:space="0" w:color="auto"/>
        <w:left w:val="none" w:sz="0" w:space="0" w:color="auto"/>
        <w:bottom w:val="none" w:sz="0" w:space="0" w:color="auto"/>
        <w:right w:val="none" w:sz="0" w:space="0" w:color="auto"/>
      </w:divBdr>
    </w:div>
    <w:div w:id="1664965207">
      <w:bodyDiv w:val="1"/>
      <w:marLeft w:val="0"/>
      <w:marRight w:val="0"/>
      <w:marTop w:val="0"/>
      <w:marBottom w:val="0"/>
      <w:divBdr>
        <w:top w:val="none" w:sz="0" w:space="0" w:color="auto"/>
        <w:left w:val="none" w:sz="0" w:space="0" w:color="auto"/>
        <w:bottom w:val="none" w:sz="0" w:space="0" w:color="auto"/>
        <w:right w:val="none" w:sz="0" w:space="0" w:color="auto"/>
      </w:divBdr>
    </w:div>
    <w:div w:id="1709984821">
      <w:bodyDiv w:val="1"/>
      <w:marLeft w:val="0"/>
      <w:marRight w:val="0"/>
      <w:marTop w:val="0"/>
      <w:marBottom w:val="0"/>
      <w:divBdr>
        <w:top w:val="none" w:sz="0" w:space="0" w:color="auto"/>
        <w:left w:val="none" w:sz="0" w:space="0" w:color="auto"/>
        <w:bottom w:val="none" w:sz="0" w:space="0" w:color="auto"/>
        <w:right w:val="none" w:sz="0" w:space="0" w:color="auto"/>
      </w:divBdr>
    </w:div>
    <w:div w:id="1715932915">
      <w:bodyDiv w:val="1"/>
      <w:marLeft w:val="0"/>
      <w:marRight w:val="0"/>
      <w:marTop w:val="0"/>
      <w:marBottom w:val="0"/>
      <w:divBdr>
        <w:top w:val="none" w:sz="0" w:space="0" w:color="auto"/>
        <w:left w:val="none" w:sz="0" w:space="0" w:color="auto"/>
        <w:bottom w:val="none" w:sz="0" w:space="0" w:color="auto"/>
        <w:right w:val="none" w:sz="0" w:space="0" w:color="auto"/>
      </w:divBdr>
    </w:div>
    <w:div w:id="1719478549">
      <w:marLeft w:val="0"/>
      <w:marRight w:val="0"/>
      <w:marTop w:val="0"/>
      <w:marBottom w:val="0"/>
      <w:divBdr>
        <w:top w:val="none" w:sz="0" w:space="0" w:color="auto"/>
        <w:left w:val="none" w:sz="0" w:space="0" w:color="auto"/>
        <w:bottom w:val="none" w:sz="0" w:space="0" w:color="auto"/>
        <w:right w:val="none" w:sz="0" w:space="0" w:color="auto"/>
      </w:divBdr>
      <w:divsChild>
        <w:div w:id="1827932737">
          <w:marLeft w:val="0"/>
          <w:marRight w:val="0"/>
          <w:marTop w:val="0"/>
          <w:marBottom w:val="0"/>
          <w:divBdr>
            <w:top w:val="none" w:sz="0" w:space="0" w:color="auto"/>
            <w:left w:val="none" w:sz="0" w:space="0" w:color="auto"/>
            <w:bottom w:val="none" w:sz="0" w:space="0" w:color="auto"/>
            <w:right w:val="none" w:sz="0" w:space="0" w:color="auto"/>
          </w:divBdr>
        </w:div>
      </w:divsChild>
    </w:div>
    <w:div w:id="1798329259">
      <w:bodyDiv w:val="1"/>
      <w:marLeft w:val="0"/>
      <w:marRight w:val="0"/>
      <w:marTop w:val="0"/>
      <w:marBottom w:val="0"/>
      <w:divBdr>
        <w:top w:val="none" w:sz="0" w:space="0" w:color="auto"/>
        <w:left w:val="none" w:sz="0" w:space="0" w:color="auto"/>
        <w:bottom w:val="none" w:sz="0" w:space="0" w:color="auto"/>
        <w:right w:val="none" w:sz="0" w:space="0" w:color="auto"/>
      </w:divBdr>
    </w:div>
    <w:div w:id="1824392318">
      <w:bodyDiv w:val="1"/>
      <w:marLeft w:val="0"/>
      <w:marRight w:val="0"/>
      <w:marTop w:val="0"/>
      <w:marBottom w:val="0"/>
      <w:divBdr>
        <w:top w:val="none" w:sz="0" w:space="0" w:color="auto"/>
        <w:left w:val="none" w:sz="0" w:space="0" w:color="auto"/>
        <w:bottom w:val="none" w:sz="0" w:space="0" w:color="auto"/>
        <w:right w:val="none" w:sz="0" w:space="0" w:color="auto"/>
      </w:divBdr>
    </w:div>
    <w:div w:id="1848010502">
      <w:marLeft w:val="0"/>
      <w:marRight w:val="0"/>
      <w:marTop w:val="0"/>
      <w:marBottom w:val="0"/>
      <w:divBdr>
        <w:top w:val="none" w:sz="0" w:space="0" w:color="auto"/>
        <w:left w:val="none" w:sz="0" w:space="0" w:color="auto"/>
        <w:bottom w:val="none" w:sz="0" w:space="0" w:color="auto"/>
        <w:right w:val="none" w:sz="0" w:space="0" w:color="auto"/>
      </w:divBdr>
      <w:divsChild>
        <w:div w:id="1441727121">
          <w:marLeft w:val="0"/>
          <w:marRight w:val="0"/>
          <w:marTop w:val="0"/>
          <w:marBottom w:val="0"/>
          <w:divBdr>
            <w:top w:val="none" w:sz="0" w:space="0" w:color="auto"/>
            <w:left w:val="none" w:sz="0" w:space="0" w:color="auto"/>
            <w:bottom w:val="none" w:sz="0" w:space="0" w:color="auto"/>
            <w:right w:val="none" w:sz="0" w:space="0" w:color="auto"/>
          </w:divBdr>
        </w:div>
      </w:divsChild>
    </w:div>
    <w:div w:id="1924954004">
      <w:bodyDiv w:val="1"/>
      <w:marLeft w:val="0"/>
      <w:marRight w:val="0"/>
      <w:marTop w:val="0"/>
      <w:marBottom w:val="0"/>
      <w:divBdr>
        <w:top w:val="none" w:sz="0" w:space="0" w:color="auto"/>
        <w:left w:val="none" w:sz="0" w:space="0" w:color="auto"/>
        <w:bottom w:val="none" w:sz="0" w:space="0" w:color="auto"/>
        <w:right w:val="none" w:sz="0" w:space="0" w:color="auto"/>
      </w:divBdr>
    </w:div>
    <w:div w:id="1959801191">
      <w:marLeft w:val="0"/>
      <w:marRight w:val="0"/>
      <w:marTop w:val="0"/>
      <w:marBottom w:val="0"/>
      <w:divBdr>
        <w:top w:val="none" w:sz="0" w:space="0" w:color="auto"/>
        <w:left w:val="none" w:sz="0" w:space="0" w:color="auto"/>
        <w:bottom w:val="none" w:sz="0" w:space="0" w:color="auto"/>
        <w:right w:val="none" w:sz="0" w:space="0" w:color="auto"/>
      </w:divBdr>
      <w:divsChild>
        <w:div w:id="819618646">
          <w:marLeft w:val="0"/>
          <w:marRight w:val="0"/>
          <w:marTop w:val="0"/>
          <w:marBottom w:val="0"/>
          <w:divBdr>
            <w:top w:val="none" w:sz="0" w:space="0" w:color="auto"/>
            <w:left w:val="none" w:sz="0" w:space="0" w:color="auto"/>
            <w:bottom w:val="none" w:sz="0" w:space="0" w:color="auto"/>
            <w:right w:val="none" w:sz="0" w:space="0" w:color="auto"/>
          </w:divBdr>
        </w:div>
      </w:divsChild>
    </w:div>
    <w:div w:id="1973360616">
      <w:bodyDiv w:val="1"/>
      <w:marLeft w:val="0"/>
      <w:marRight w:val="0"/>
      <w:marTop w:val="0"/>
      <w:marBottom w:val="0"/>
      <w:divBdr>
        <w:top w:val="none" w:sz="0" w:space="0" w:color="auto"/>
        <w:left w:val="none" w:sz="0" w:space="0" w:color="auto"/>
        <w:bottom w:val="none" w:sz="0" w:space="0" w:color="auto"/>
        <w:right w:val="none" w:sz="0" w:space="0" w:color="auto"/>
      </w:divBdr>
    </w:div>
    <w:div w:id="1982537952">
      <w:marLeft w:val="0"/>
      <w:marRight w:val="0"/>
      <w:marTop w:val="0"/>
      <w:marBottom w:val="0"/>
      <w:divBdr>
        <w:top w:val="none" w:sz="0" w:space="0" w:color="auto"/>
        <w:left w:val="none" w:sz="0" w:space="0" w:color="auto"/>
        <w:bottom w:val="none" w:sz="0" w:space="0" w:color="auto"/>
        <w:right w:val="none" w:sz="0" w:space="0" w:color="auto"/>
      </w:divBdr>
      <w:divsChild>
        <w:div w:id="162287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ata.stat.gov.lv/pxweb/lv/OSP_PUB/START__VEK__RC__RCB/RCB040c" TargetMode="External"/><Relationship Id="rId26" Type="http://schemas.openxmlformats.org/officeDocument/2006/relationships/hyperlink" Target="https://data.stat.gov.lv/pxweb/lv/OSP_PUB/START__VEK__RC__RCP/RCP010c" TargetMode="External"/><Relationship Id="rId3" Type="http://schemas.openxmlformats.org/officeDocument/2006/relationships/customXml" Target="../customXml/item3.xml"/><Relationship Id="rId21" Type="http://schemas.openxmlformats.org/officeDocument/2006/relationships/hyperlink" Target="https://data.stat.gov.lv/pxweb/lv/OSP_PUB/START__VEK__RC__RCB/RCB040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ata.ecb.europa.eu/data/datasets/STS/STS.M.I8.N.PRON.2C2350.4.000?chart_props=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ata.stat.gov.lv/pxweb/lv/OSP_PUB/START__VEK__RC__RCB/RCB040c"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psinternational.com/gb/en/prices-and-indic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ata.stat.gov.lv/pxweb/lv/OSP_PUB/START__VEK__RC__RCI/RCI020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stat.gov.lv/pxweb/lv/OSP_PUB/START__VEK__RC__RCB/RCB040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ata.stat.gov.lv/pxweb/lv/OSP_PUB/START__EMP__DI__DII/DII010c"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5FE48B6-A9EB-43A8-9B52-97C440BA491E}">
    <t:Anchor>
      <t:Comment id="1603057029"/>
    </t:Anchor>
    <t:History>
      <t:Event id="{D9491D0C-97F9-477E-A4A3-B48186FC3D19}" time="2023-11-28T12:22:21.605Z">
        <t:Attribution userId="S::elvita.jurgute@sam.gov.lv::0f2cc263-79fa-4b0a-8407-d15450fd612d" userProvider="AD" userName="Elvita Jurgute"/>
        <t:Anchor>
          <t:Comment id="1123907544"/>
        </t:Anchor>
        <t:Create/>
      </t:Event>
      <t:Event id="{DC0E90E7-1679-4089-9FEA-399C64BADF6C}" time="2023-11-28T12:22:21.605Z">
        <t:Attribution userId="S::elvita.jurgute@sam.gov.lv::0f2cc263-79fa-4b0a-8407-d15450fd612d" userProvider="AD" userName="Elvita Jurgute"/>
        <t:Anchor>
          <t:Comment id="1123907544"/>
        </t:Anchor>
        <t:Assign userId="S::Olita.Berzina@sam.gov.lv::bffa3af0-a0f2-4a27-988d-5cdadfb24848" userProvider="AD" userName="Olita Bērziņa"/>
      </t:Event>
      <t:Event id="{0CC7E30D-0F42-45DB-92B7-90B0B58941FD}" time="2023-11-28T12:22:21.605Z">
        <t:Attribution userId="S::elvita.jurgute@sam.gov.lv::0f2cc263-79fa-4b0a-8407-d15450fd612d" userProvider="AD" userName="Elvita Jurgute"/>
        <t:Anchor>
          <t:Comment id="1123907544"/>
        </t:Anchor>
        <t:SetTitle title="@Olita Bērziņa Lūdzu pārbaudīt."/>
      </t:Event>
      <t:Event id="{4358BD26-F6F4-4757-BBCD-5197D85485FD}" time="2023-11-29T13:51:36.079Z">
        <t:Attribution userId="S::elvita.jurgute@sam.gov.lv::0f2cc263-79fa-4b0a-8407-d15450fd612d" userProvider="AD" userName="Elvita Jurgute"/>
        <t:Progress percentComplete="100"/>
      </t:Event>
    </t:History>
  </t:Task>
  <t:Task id="{95D82887-F41A-4E58-9DAA-34B101C129E0}">
    <t:Anchor>
      <t:Comment id="997769721"/>
    </t:Anchor>
    <t:History>
      <t:Event id="{21B9A876-6E1F-4AFB-B04C-65A2EB96D92C}" time="2023-11-28T12:22:35.044Z">
        <t:Attribution userId="S::elvita.jurgute@sam.gov.lv::0f2cc263-79fa-4b0a-8407-d15450fd612d" userProvider="AD" userName="Elvita Jurgute"/>
        <t:Anchor>
          <t:Comment id="1024174955"/>
        </t:Anchor>
        <t:Create/>
      </t:Event>
      <t:Event id="{43A5BD95-00A7-4C1B-BF2B-100CF9476F1A}" time="2023-11-28T12:22:35.044Z">
        <t:Attribution userId="S::elvita.jurgute@sam.gov.lv::0f2cc263-79fa-4b0a-8407-d15450fd612d" userProvider="AD" userName="Elvita Jurgute"/>
        <t:Anchor>
          <t:Comment id="1024174955"/>
        </t:Anchor>
        <t:Assign userId="S::Olita.Berzina@sam.gov.lv::bffa3af0-a0f2-4a27-988d-5cdadfb24848" userProvider="AD" userName="Olita Bērziņa"/>
      </t:Event>
      <t:Event id="{407C6485-0315-4147-99EF-9DE460E1C3C8}" time="2023-11-28T12:22:35.044Z">
        <t:Attribution userId="S::elvita.jurgute@sam.gov.lv::0f2cc263-79fa-4b0a-8407-d15450fd612d" userProvider="AD" userName="Elvita Jurgute"/>
        <t:Anchor>
          <t:Comment id="1024174955"/>
        </t:Anchor>
        <t:SetTitle title="@Olita Bērziņa Lūdzu ielabot."/>
      </t:Event>
      <t:Event id="{C071828D-13B4-43A9-BDB0-CE6A3912950E}" time="2023-11-29T13:51:59.161Z">
        <t:Attribution userId="S::elvita.jurgute@sam.gov.lv::0f2cc263-79fa-4b0a-8407-d15450fd612d" userProvider="AD" userName="Elvita Jurgute"/>
        <t:Progress percentComplete="100"/>
      </t:Event>
    </t:History>
  </t:Task>
  <t:Task id="{D39FE248-5EDA-4128-AA13-97AAA75A83AD}">
    <t:Anchor>
      <t:Comment id="548671280"/>
    </t:Anchor>
    <t:History>
      <t:Event id="{E7680496-DD3D-4CBC-B837-AF48315552CD}" time="2023-11-28T12:22:56.775Z">
        <t:Attribution userId="S::elvita.jurgute@sam.gov.lv::0f2cc263-79fa-4b0a-8407-d15450fd612d" userProvider="AD" userName="Elvita Jurgute"/>
        <t:Anchor>
          <t:Comment id="2085194382"/>
        </t:Anchor>
        <t:Create/>
      </t:Event>
      <t:Event id="{A91C1F29-2134-4622-B27B-C62CBBD86DE3}" time="2023-11-28T12:22:56.775Z">
        <t:Attribution userId="S::elvita.jurgute@sam.gov.lv::0f2cc263-79fa-4b0a-8407-d15450fd612d" userProvider="AD" userName="Elvita Jurgute"/>
        <t:Anchor>
          <t:Comment id="2085194382"/>
        </t:Anchor>
        <t:Assign userId="S::Olita.Berzina@sam.gov.lv::bffa3af0-a0f2-4a27-988d-5cdadfb24848" userProvider="AD" userName="Olita Bērziņa"/>
      </t:Event>
      <t:Event id="{9FD646D4-973A-4EE8-982B-67A1DCE0FFD9}" time="2023-11-28T12:22:56.775Z">
        <t:Attribution userId="S::elvita.jurgute@sam.gov.lv::0f2cc263-79fa-4b0a-8407-d15450fd612d" userProvider="AD" userName="Elvita Jurgute"/>
        <t:Anchor>
          <t:Comment id="2085194382"/>
        </t:Anchor>
        <t:SetTitle title="@Olita Bērziņa Lūdzu apskatīt."/>
      </t:Event>
      <t:Event id="{562532FA-2ECB-414A-8AA5-72C1EC56DB8D}" time="2023-11-29T13:51:09.741Z">
        <t:Attribution userId="S::elvita.jurgute@sam.gov.lv::0f2cc263-79fa-4b0a-8407-d15450fd612d" userProvider="AD" userName="Elvita Jurgute"/>
        <t:Progress percentComplete="100"/>
      </t:Event>
    </t:History>
  </t:Task>
  <t:Task id="{FBA9781F-8322-41F8-9577-268BA0A35E5C}">
    <t:Anchor>
      <t:Comment id="1299276092"/>
    </t:Anchor>
    <t:History>
      <t:Event id="{BF84983A-1866-4FC1-9C16-BAE27F4238E3}" time="2023-11-28T12:23:09.346Z">
        <t:Attribution userId="S::elvita.jurgute@sam.gov.lv::0f2cc263-79fa-4b0a-8407-d15450fd612d" userProvider="AD" userName="Elvita Jurgute"/>
        <t:Anchor>
          <t:Comment id="1256164852"/>
        </t:Anchor>
        <t:Create/>
      </t:Event>
      <t:Event id="{300EE1F2-2642-4936-AED4-8AB1E3F49839}" time="2023-11-28T12:23:09.346Z">
        <t:Attribution userId="S::elvita.jurgute@sam.gov.lv::0f2cc263-79fa-4b0a-8407-d15450fd612d" userProvider="AD" userName="Elvita Jurgute"/>
        <t:Anchor>
          <t:Comment id="1256164852"/>
        </t:Anchor>
        <t:Assign userId="S::Olita.Berzina@sam.gov.lv::bffa3af0-a0f2-4a27-988d-5cdadfb24848" userProvider="AD" userName="Olita Bērziņa"/>
      </t:Event>
      <t:Event id="{287B01CF-49A4-4AC5-B26C-33AEEE0D0712}" time="2023-11-28T12:23:09.346Z">
        <t:Attribution userId="S::elvita.jurgute@sam.gov.lv::0f2cc263-79fa-4b0a-8407-d15450fd612d" userProvider="AD" userName="Elvita Jurgute"/>
        <t:Anchor>
          <t:Comment id="1256164852"/>
        </t:Anchor>
        <t:SetTitle title="@Olita Bērziņa"/>
      </t:Event>
      <t:Event id="{83B423BC-6547-4BC4-A8BB-8F69555AB339}" time="2023-11-29T13:51:03.566Z">
        <t:Attribution userId="S::elvita.jurgute@sam.gov.lv::0f2cc263-79fa-4b0a-8407-d15450fd612d" userProvider="AD" userName="Elvita Jurgute"/>
        <t:Progress percentComplete="100"/>
      </t:Event>
    </t:History>
  </t:Task>
  <t:Task id="{E5E547F7-E75E-45E9-AA53-7E7E82B81718}">
    <t:Anchor>
      <t:Comment id="1978962967"/>
    </t:Anchor>
    <t:History>
      <t:Event id="{C09454B2-F3FF-4601-B2CE-9132C143DE6C}" time="2023-11-29T14:28:25.991Z">
        <t:Attribution userId="S::rasmuss.geks@sam.gov.lv::c8e0e2c6-c158-4a4c-ba12-3a0e6d8ddb48" userProvider="AD" userName="Rasmuss Filips Geks"/>
        <t:Anchor>
          <t:Comment id="1978962967"/>
        </t:Anchor>
        <t:Create/>
      </t:Event>
      <t:Event id="{ABC28FF8-0043-4967-8668-3B5512DA7C76}" time="2023-11-29T14:28:25.991Z">
        <t:Attribution userId="S::rasmuss.geks@sam.gov.lv::c8e0e2c6-c158-4a4c-ba12-3a0e6d8ddb48" userProvider="AD" userName="Rasmuss Filips Geks"/>
        <t:Anchor>
          <t:Comment id="1978962967"/>
        </t:Anchor>
        <t:Assign userId="S::elvita.jurgute@sam.gov.lv::0f2cc263-79fa-4b0a-8407-d15450fd612d" userProvider="AD" userName="Elvita Jurgute"/>
      </t:Event>
      <t:Event id="{F246ED56-E706-4CF2-89B7-A46C6D3598D3}" time="2023-11-29T14:28:25.991Z">
        <t:Attribution userId="S::rasmuss.geks@sam.gov.lv::c8e0e2c6-c158-4a4c-ba12-3a0e6d8ddb48" userProvider="AD" userName="Rasmuss Filips Geks"/>
        <t:Anchor>
          <t:Comment id="1978962967"/>
        </t:Anchor>
        <t:SetTitle title="@Elvita Jurgute @Olita Bērziņa Vai šis ir bez CEF vai arī CEF+citi avoti nākotnē?"/>
      </t:Event>
      <t:Event id="{24D095F5-F35A-43E4-BE56-79F4AE12351B}" time="2023-11-29T14:47:29.126Z">
        <t:Attribution userId="S::elvita.jurgute@sam.gov.lv::0f2cc263-79fa-4b0a-8407-d15450fd612d" userProvider="AD" userName="Elvita Jurgu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0C2F029DD3B544856B024E0B00EBC6" ma:contentTypeVersion="18" ma:contentTypeDescription="Create a new document." ma:contentTypeScope="" ma:versionID="f105aeb64bcc3ba2b529313fe1fab27e">
  <xsd:schema xmlns:xsd="http://www.w3.org/2001/XMLSchema" xmlns:xs="http://www.w3.org/2001/XMLSchema" xmlns:p="http://schemas.microsoft.com/office/2006/metadata/properties" xmlns:ns2="b70c0239-a51c-465a-b1e5-221dd90dcbdb" xmlns:ns3="80670bfd-22b1-412c-a180-1cbc292fcd09" targetNamespace="http://schemas.microsoft.com/office/2006/metadata/properties" ma:root="true" ma:fieldsID="19782ecee23b1abe3c7b909e910f97d4" ns2:_="" ns3:_="">
    <xsd:import namespace="b70c0239-a51c-465a-b1e5-221dd90dcbdb"/>
    <xsd:import namespace="80670bfd-22b1-412c-a180-1cbc292fc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0239-a51c-465a-b1e5-221dd90dc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70bfd-22b1-412c-a180-1cbc292fcd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a0a924-2650-479c-b9de-57fd428d26b3}" ma:internalName="TaxCatchAll" ma:showField="CatchAllData" ma:web="80670bfd-22b1-412c-a180-1cbc292fc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670bfd-22b1-412c-a180-1cbc292fcd09">
      <UserInfo>
        <DisplayName>Agnese Meikšāne</DisplayName>
        <AccountId>12</AccountId>
        <AccountType/>
      </UserInfo>
      <UserInfo>
        <DisplayName>Ludmila Juškeviča</DisplayName>
        <AccountId>31</AccountId>
        <AccountType/>
      </UserInfo>
      <UserInfo>
        <DisplayName>Larisa Kļava-Gorohovska</DisplayName>
        <AccountId>15</AccountId>
        <AccountType/>
      </UserInfo>
      <UserInfo>
        <DisplayName>Olita Bērziņa</DisplayName>
        <AccountId>21</AccountId>
        <AccountType/>
      </UserInfo>
      <UserInfo>
        <DisplayName>Baiba Šadurska</DisplayName>
        <AccountId>43</AccountId>
        <AccountType/>
      </UserInfo>
      <UserInfo>
        <DisplayName>SharingLinks.dcac2f58-94e7-47e1-8b3e-434126b4953a.OrganizationView.6896a90e-1d60-40c9-96b8-75c8d228ac37</DisplayName>
        <AccountId>75</AccountId>
        <AccountType/>
      </UserInfo>
      <UserInfo>
        <DisplayName>Everyone</DisplayName>
        <AccountId>10</AccountId>
        <AccountType/>
      </UserInfo>
      <UserInfo>
        <DisplayName>SharingLinks.a0a5eb78-05c6-4563-bf10-f1ae1e06b826.OrganizationView.c8c7fdf9-a77f-4619-bc36-2cb169bf33f2</DisplayName>
        <AccountId>42</AccountId>
        <AccountType/>
      </UserInfo>
      <UserInfo>
        <DisplayName>SharingLinks.9c2cc595-a4f5-420a-bfe1-eb6c65ebadd9.OrganizationView.31685d96-15a6-404e-b4c4-7e6c9766f963</DisplayName>
        <AccountId>76</AccountId>
        <AccountType/>
      </UserInfo>
      <UserInfo>
        <DisplayName>SharingLinks.25931490-da62-4923-a1e7-1bd10b833dfb.OrganizationView.94350fbc-7ce5-412b-85da-887c3d1f21c3</DisplayName>
        <AccountId>77</AccountId>
        <AccountType/>
      </UserInfo>
      <UserInfo>
        <DisplayName>SharingLinks.befb583b-bb97-4460-8d7f-119849103ef9.OrganizationView.63e448a5-2ad4-47ca-a72a-b62105b72313</DisplayName>
        <AccountId>78</AccountId>
        <AccountType/>
      </UserInfo>
      <UserInfo>
        <DisplayName>SharingLinks.031f6821-89dc-447f-abf4-7c1259cb49e7.OrganizationView.cef6325e-1d73-44f3-b639-d7e63d5ba939</DisplayName>
        <AccountId>45</AccountId>
        <AccountType/>
      </UserInfo>
      <UserInfo>
        <DisplayName>SharingLinks.4636e70e-9eff-45d3-8b5f-d8e6b6ce04c2.OrganizationView.e62bd240-9b0f-463b-b200-610618307a31</DisplayName>
        <AccountId>41</AccountId>
        <AccountType/>
      </UserInfo>
      <UserInfo>
        <DisplayName>Rasmuss Filips Geks</DisplayName>
        <AccountId>650</AccountId>
        <AccountType/>
      </UserInfo>
      <UserInfo>
        <DisplayName>Iveta Virse</DisplayName>
        <AccountId>434</AccountId>
        <AccountType/>
      </UserInfo>
      <UserInfo>
        <DisplayName>Kristīne Medne</DisplayName>
        <AccountId>551</AccountId>
        <AccountType/>
      </UserInfo>
      <UserInfo>
        <DisplayName>Kārlis Eņģelis</DisplayName>
        <AccountId>16</AccountId>
        <AccountType/>
      </UserInfo>
      <UserInfo>
        <DisplayName>Liene Priedīte-Kancēviča</DisplayName>
        <AccountId>108</AccountId>
        <AccountType/>
      </UserInfo>
      <UserInfo>
        <DisplayName>Ineta Vula</DisplayName>
        <AccountId>451</AccountId>
        <AccountType/>
      </UserInfo>
    </SharedWithUsers>
    <TaxCatchAll xmlns="80670bfd-22b1-412c-a180-1cbc292fcd09" xsi:nil="true"/>
    <lcf76f155ced4ddcb4097134ff3c332f xmlns="b70c0239-a51c-465a-b1e5-221dd90dc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DED33-D4C2-4380-8BFE-F12047FE5D84}">
  <ds:schemaRefs>
    <ds:schemaRef ds:uri="http://schemas.microsoft.com/sharepoint/v3/contenttype/forms"/>
  </ds:schemaRefs>
</ds:datastoreItem>
</file>

<file path=customXml/itemProps2.xml><?xml version="1.0" encoding="utf-8"?>
<ds:datastoreItem xmlns:ds="http://schemas.openxmlformats.org/officeDocument/2006/customXml" ds:itemID="{BE0A37C4-7B67-4E0C-9CC2-2AE31BF0186E}">
  <ds:schemaRefs>
    <ds:schemaRef ds:uri="http://schemas.openxmlformats.org/officeDocument/2006/bibliography"/>
  </ds:schemaRefs>
</ds:datastoreItem>
</file>

<file path=customXml/itemProps3.xml><?xml version="1.0" encoding="utf-8"?>
<ds:datastoreItem xmlns:ds="http://schemas.openxmlformats.org/officeDocument/2006/customXml" ds:itemID="{0E0097F7-6896-4F69-91D7-A0844A435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0239-a51c-465a-b1e5-221dd90dcbdb"/>
    <ds:schemaRef ds:uri="80670bfd-22b1-412c-a180-1cbc292f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2432B-ABB1-48C0-991E-1EE8FAE3C43F}">
  <ds:schemaRefs>
    <ds:schemaRef ds:uri="http://schemas.microsoft.com/office/2006/metadata/properties"/>
    <ds:schemaRef ds:uri="http://schemas.microsoft.com/office/infopath/2007/PartnerControls"/>
    <ds:schemaRef ds:uri="80670bfd-22b1-412c-a180-1cbc292fcd09"/>
    <ds:schemaRef ds:uri="b70c0239-a51c-465a-b1e5-221dd90dcbd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70024</Words>
  <Characters>39915</Characters>
  <Application>Microsoft Office Word</Application>
  <DocSecurity>0</DocSecurity>
  <Lines>332</Lines>
  <Paragraphs>219</Paragraphs>
  <ScaleCrop>false</ScaleCrop>
  <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Rail Baltica projekta ieviešanas progresu Latvijā</dc:title>
  <dc:subject>Informatīvais ziņojums</dc:subject>
  <dc:creator>Olita.Berzina@sam.gov.lv</dc:creator>
  <cp:keywords/>
  <dc:description>olita.berzina@sam.gov.lv; Tel.:67028083</dc:description>
  <cp:lastModifiedBy>Elvita Jadigarjana</cp:lastModifiedBy>
  <cp:revision>126</cp:revision>
  <cp:lastPrinted>2023-12-16T19:54:00Z</cp:lastPrinted>
  <dcterms:created xsi:type="dcterms:W3CDTF">2023-12-16T18:06:00Z</dcterms:created>
  <dcterms:modified xsi:type="dcterms:W3CDTF">2024-09-27T12:57:00Z</dcterms:modified>
  <cp:category>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0x010100F20C2F029DD3B544856B024E0B00EBC6</vt:lpwstr>
  </property>
  <property fmtid="{D5CDD505-2E9C-101B-9397-08002B2CF9AE}" pid="3" name="MediaServiceImageTags">
    <vt:lpwstr/>
  </property>
</Properties>
</file>