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8AC3CE" w14:textId="77777777" w:rsidR="00FC3C77" w:rsidRDefault="00D67BC5" w:rsidP="000437B9">
      <w:pPr>
        <w:pStyle w:val="Footer"/>
        <w:jc w:val="center"/>
        <w:rPr>
          <w:b/>
          <w:bCs/>
          <w:color w:val="000000"/>
        </w:rPr>
      </w:pPr>
      <w:r w:rsidRPr="008607DB">
        <w:rPr>
          <w:b/>
        </w:rPr>
        <w:t>Ministru kabineta noteikumu projekta</w:t>
      </w:r>
      <w:r w:rsidR="00C54D48" w:rsidRPr="008607DB">
        <w:rPr>
          <w:b/>
        </w:rPr>
        <w:t xml:space="preserve"> </w:t>
      </w:r>
      <w:r w:rsidR="008607DB" w:rsidRPr="008607DB">
        <w:rPr>
          <w:b/>
        </w:rPr>
        <w:t>„Grozījum</w:t>
      </w:r>
      <w:r w:rsidR="00350D20">
        <w:rPr>
          <w:b/>
        </w:rPr>
        <w:t xml:space="preserve">s </w:t>
      </w:r>
      <w:r w:rsidR="008607DB" w:rsidRPr="008607DB">
        <w:rPr>
          <w:b/>
        </w:rPr>
        <w:t xml:space="preserve">Ministru kabineta </w:t>
      </w:r>
      <w:proofErr w:type="gramStart"/>
      <w:r w:rsidR="008607DB" w:rsidRPr="008607DB">
        <w:rPr>
          <w:b/>
          <w:bCs/>
          <w:color w:val="000000"/>
        </w:rPr>
        <w:t>2013.gada</w:t>
      </w:r>
      <w:proofErr w:type="gramEnd"/>
      <w:r w:rsidR="008607DB" w:rsidRPr="008607DB">
        <w:rPr>
          <w:b/>
          <w:bCs/>
          <w:color w:val="000000"/>
        </w:rPr>
        <w:t xml:space="preserve"> 3.decembra noteikumos Nr.</w:t>
      </w:r>
      <w:r w:rsidR="007F504C">
        <w:rPr>
          <w:b/>
          <w:bCs/>
          <w:color w:val="000000"/>
        </w:rPr>
        <w:t>1393</w:t>
      </w:r>
      <w:r w:rsidR="008607DB" w:rsidRPr="008607DB">
        <w:rPr>
          <w:b/>
          <w:bCs/>
          <w:color w:val="000000"/>
        </w:rPr>
        <w:t xml:space="preserve"> „</w:t>
      </w:r>
      <w:r w:rsidR="008607DB" w:rsidRPr="008607DB">
        <w:rPr>
          <w:b/>
        </w:rPr>
        <w:t>Noteikumi par universālā pasta pakalpojuma saistību izpildes tīro izmaksu kompensēšanu</w:t>
      </w:r>
      <w:r w:rsidR="008607DB" w:rsidRPr="008607DB">
        <w:rPr>
          <w:b/>
          <w:bCs/>
          <w:color w:val="000000"/>
        </w:rPr>
        <w:t>””</w:t>
      </w:r>
      <w:r w:rsidR="00FC3C77">
        <w:rPr>
          <w:b/>
          <w:bCs/>
          <w:color w:val="000000"/>
        </w:rPr>
        <w:t xml:space="preserve"> (turpmāk – projekts)</w:t>
      </w:r>
    </w:p>
    <w:p w14:paraId="788684E2" w14:textId="77777777" w:rsidR="000C2469" w:rsidRPr="00D166EA" w:rsidRDefault="008607DB" w:rsidP="000437B9">
      <w:pPr>
        <w:pStyle w:val="Footer"/>
        <w:jc w:val="center"/>
        <w:rPr>
          <w:b/>
          <w:bCs/>
        </w:rPr>
      </w:pPr>
      <w:r>
        <w:rPr>
          <w:b/>
          <w:bCs/>
          <w:color w:val="000000"/>
        </w:rPr>
        <w:t xml:space="preserve"> </w:t>
      </w:r>
      <w:r w:rsidR="00DF439D" w:rsidRPr="008607DB">
        <w:rPr>
          <w:b/>
          <w:bCs/>
        </w:rPr>
        <w:t>sākotnējās ietekmes novērtējuma ziņojums</w:t>
      </w:r>
      <w:r w:rsidR="001203D4" w:rsidRPr="008607DB">
        <w:rPr>
          <w:b/>
          <w:bCs/>
        </w:rPr>
        <w:t xml:space="preserve"> </w:t>
      </w:r>
      <w:r w:rsidR="000C2469" w:rsidRPr="008607DB">
        <w:rPr>
          <w:b/>
          <w:bCs/>
        </w:rPr>
        <w:t>(anotācija</w:t>
      </w:r>
      <w:r w:rsidR="000C2469" w:rsidRPr="00D166EA">
        <w:rPr>
          <w:b/>
          <w:bCs/>
        </w:rPr>
        <w:t>)</w:t>
      </w:r>
    </w:p>
    <w:p w14:paraId="5B058499" w14:textId="77777777" w:rsidR="00F67BA8" w:rsidRDefault="00F67BA8" w:rsidP="000437B9">
      <w:pPr>
        <w:suppressAutoHyphens w:val="0"/>
        <w:rPr>
          <w:iCs/>
          <w:lang w:eastAsia="lv-LV"/>
        </w:rPr>
      </w:pPr>
    </w:p>
    <w:tbl>
      <w:tblPr>
        <w:tblStyle w:val="TableGrid"/>
        <w:tblW w:w="9072" w:type="dxa"/>
        <w:tblInd w:w="108" w:type="dxa"/>
        <w:tblLook w:val="04A0" w:firstRow="1" w:lastRow="0" w:firstColumn="1" w:lastColumn="0" w:noHBand="0" w:noVBand="1"/>
      </w:tblPr>
      <w:tblGrid>
        <w:gridCol w:w="2552"/>
        <w:gridCol w:w="6520"/>
      </w:tblGrid>
      <w:tr w:rsidR="00F67BA8" w14:paraId="251B021F" w14:textId="77777777" w:rsidTr="00AF6EF2">
        <w:tc>
          <w:tcPr>
            <w:tcW w:w="9072" w:type="dxa"/>
            <w:gridSpan w:val="2"/>
          </w:tcPr>
          <w:p w14:paraId="7DBCD485" w14:textId="77777777" w:rsidR="00F67BA8" w:rsidRDefault="00F67BA8" w:rsidP="00F67BA8">
            <w:pPr>
              <w:suppressAutoHyphens w:val="0"/>
              <w:jc w:val="center"/>
              <w:rPr>
                <w:b/>
                <w:bCs/>
                <w:iCs/>
                <w:lang w:eastAsia="lv-LV"/>
              </w:rPr>
            </w:pPr>
            <w:r w:rsidRPr="000437B9">
              <w:rPr>
                <w:b/>
                <w:bCs/>
                <w:iCs/>
                <w:lang w:eastAsia="lv-LV"/>
              </w:rPr>
              <w:t>Tiesību akta projekta anotācijas kopsavilkums</w:t>
            </w:r>
          </w:p>
          <w:p w14:paraId="5031E495" w14:textId="77777777" w:rsidR="00F67BA8" w:rsidRDefault="00F67BA8" w:rsidP="00F67BA8">
            <w:pPr>
              <w:suppressAutoHyphens w:val="0"/>
              <w:jc w:val="center"/>
              <w:rPr>
                <w:b/>
              </w:rPr>
            </w:pPr>
          </w:p>
        </w:tc>
      </w:tr>
      <w:tr w:rsidR="00F67BA8" w14:paraId="6F3EA5D9" w14:textId="77777777" w:rsidTr="00AF6EF2">
        <w:tc>
          <w:tcPr>
            <w:tcW w:w="2552" w:type="dxa"/>
          </w:tcPr>
          <w:p w14:paraId="182D1882" w14:textId="77777777" w:rsidR="00F67BA8" w:rsidRDefault="00F67BA8" w:rsidP="000437B9">
            <w:pPr>
              <w:suppressAutoHyphens w:val="0"/>
              <w:rPr>
                <w:b/>
              </w:rPr>
            </w:pPr>
            <w:r w:rsidRPr="000437B9">
              <w:rPr>
                <w:iCs/>
                <w:lang w:eastAsia="lv-LV"/>
              </w:rPr>
              <w:t>Mērķis, risinājums un projekta spēkā stāšanās laiks (500 zīmes bez atstarpēm)</w:t>
            </w:r>
          </w:p>
        </w:tc>
        <w:tc>
          <w:tcPr>
            <w:tcW w:w="6520" w:type="dxa"/>
          </w:tcPr>
          <w:p w14:paraId="15120460" w14:textId="77777777" w:rsidR="00F67BA8" w:rsidRDefault="00F67BA8" w:rsidP="000437B9">
            <w:pPr>
              <w:suppressAutoHyphens w:val="0"/>
              <w:rPr>
                <w:b/>
              </w:rPr>
            </w:pPr>
            <w:r>
              <w:rPr>
                <w:lang w:eastAsia="lv-LV"/>
              </w:rPr>
              <w:t>Nav attiecināms.</w:t>
            </w:r>
          </w:p>
        </w:tc>
      </w:tr>
    </w:tbl>
    <w:p w14:paraId="516D60E7" w14:textId="77777777" w:rsidR="00F67BA8" w:rsidRDefault="00F67BA8" w:rsidP="000437B9">
      <w:pPr>
        <w:suppressAutoHyphens w:val="0"/>
        <w:rPr>
          <w:b/>
        </w:rPr>
      </w:pPr>
    </w:p>
    <w:tbl>
      <w:tblPr>
        <w:tblpPr w:leftFromText="180" w:rightFromText="180" w:vertAnchor="text" w:horzAnchor="margin" w:tblpXSpec="center" w:tblpY="149"/>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4"/>
        <w:gridCol w:w="2263"/>
        <w:gridCol w:w="6496"/>
      </w:tblGrid>
      <w:tr w:rsidR="002B4569" w:rsidRPr="00DD49B6" w14:paraId="591419A5" w14:textId="77777777" w:rsidTr="000437B9">
        <w:trPr>
          <w:trHeight w:val="419"/>
        </w:trPr>
        <w:tc>
          <w:tcPr>
            <w:tcW w:w="5000" w:type="pct"/>
            <w:gridSpan w:val="3"/>
            <w:vAlign w:val="center"/>
          </w:tcPr>
          <w:p w14:paraId="6C2B6D7C" w14:textId="77777777" w:rsidR="002B4569" w:rsidRPr="00DD49B6" w:rsidRDefault="002B4569" w:rsidP="000437B9">
            <w:pPr>
              <w:pStyle w:val="naisnod"/>
              <w:spacing w:before="0" w:after="0"/>
              <w:ind w:left="57" w:right="57"/>
              <w:rPr>
                <w:b w:val="0"/>
              </w:rPr>
            </w:pPr>
            <w:r w:rsidRPr="00DD49B6">
              <w:t>I. Tiesību akta projekta izstrādes nepieciešamība</w:t>
            </w:r>
          </w:p>
        </w:tc>
      </w:tr>
      <w:tr w:rsidR="002B4569" w:rsidRPr="00DD49B6" w14:paraId="41A8364A" w14:textId="77777777" w:rsidTr="000437B9">
        <w:trPr>
          <w:trHeight w:val="415"/>
        </w:trPr>
        <w:tc>
          <w:tcPr>
            <w:tcW w:w="231" w:type="pct"/>
          </w:tcPr>
          <w:p w14:paraId="7328A27C" w14:textId="77777777" w:rsidR="002B4569" w:rsidRPr="00DD49B6" w:rsidRDefault="002B4569" w:rsidP="000437B9">
            <w:pPr>
              <w:pStyle w:val="naiskr"/>
              <w:spacing w:before="0" w:after="0"/>
              <w:ind w:left="57" w:right="57"/>
              <w:jc w:val="center"/>
            </w:pPr>
            <w:r w:rsidRPr="00DD49B6">
              <w:t>1.</w:t>
            </w:r>
          </w:p>
        </w:tc>
        <w:tc>
          <w:tcPr>
            <w:tcW w:w="1232" w:type="pct"/>
          </w:tcPr>
          <w:p w14:paraId="78EE5D30" w14:textId="77777777" w:rsidR="002B4569" w:rsidRPr="00DD49B6" w:rsidRDefault="002B4569" w:rsidP="000437B9">
            <w:pPr>
              <w:pStyle w:val="naiskr"/>
              <w:spacing w:before="0" w:after="0"/>
              <w:ind w:left="57" w:right="57"/>
            </w:pPr>
            <w:r w:rsidRPr="00DD49B6">
              <w:t>Pamatojums</w:t>
            </w:r>
          </w:p>
        </w:tc>
        <w:tc>
          <w:tcPr>
            <w:tcW w:w="3538" w:type="pct"/>
          </w:tcPr>
          <w:p w14:paraId="6B79FB3D" w14:textId="03753711" w:rsidR="007B5D2A" w:rsidRPr="00DC16E6" w:rsidRDefault="002B4569" w:rsidP="000437B9">
            <w:pPr>
              <w:ind w:left="143"/>
              <w:jc w:val="both"/>
              <w:rPr>
                <w:shd w:val="clear" w:color="auto" w:fill="FFFFFF"/>
              </w:rPr>
            </w:pPr>
            <w:r w:rsidRPr="00DC16E6">
              <w:t xml:space="preserve">Pasta likuma </w:t>
            </w:r>
            <w:r w:rsidR="00097D3C" w:rsidRPr="00097D3C">
              <w:t>31.</w:t>
            </w:r>
            <w:r w:rsidR="00097D3C" w:rsidRPr="00097D3C">
              <w:rPr>
                <w:vertAlign w:val="superscript"/>
              </w:rPr>
              <w:t>1</w:t>
            </w:r>
            <w:r w:rsidR="00097D3C" w:rsidRPr="00097D3C">
              <w:t xml:space="preserve"> panta otrā daļa, 31.</w:t>
            </w:r>
            <w:r w:rsidR="00097D3C" w:rsidRPr="00097D3C">
              <w:rPr>
                <w:vertAlign w:val="superscript"/>
              </w:rPr>
              <w:t>2</w:t>
            </w:r>
            <w:r w:rsidR="00097D3C" w:rsidRPr="00097D3C">
              <w:t xml:space="preserve"> panta pirmā un ceturtā daļa</w:t>
            </w:r>
            <w:r w:rsidR="003C143A">
              <w:t>.</w:t>
            </w:r>
          </w:p>
        </w:tc>
      </w:tr>
      <w:tr w:rsidR="002B4569" w:rsidRPr="00DD49B6" w14:paraId="5C2F02FE" w14:textId="77777777" w:rsidTr="000437B9">
        <w:trPr>
          <w:trHeight w:val="472"/>
        </w:trPr>
        <w:tc>
          <w:tcPr>
            <w:tcW w:w="231" w:type="pct"/>
          </w:tcPr>
          <w:p w14:paraId="6D379AB5" w14:textId="77777777" w:rsidR="002B4569" w:rsidRPr="00DD49B6" w:rsidRDefault="002B4569" w:rsidP="000437B9">
            <w:pPr>
              <w:pStyle w:val="naiskr"/>
              <w:spacing w:before="0" w:after="0"/>
              <w:ind w:left="57" w:right="57"/>
              <w:jc w:val="center"/>
            </w:pPr>
            <w:r w:rsidRPr="00DD49B6">
              <w:t>2.</w:t>
            </w:r>
          </w:p>
        </w:tc>
        <w:tc>
          <w:tcPr>
            <w:tcW w:w="1232" w:type="pct"/>
          </w:tcPr>
          <w:p w14:paraId="09370C31" w14:textId="77777777" w:rsidR="002B4569" w:rsidRPr="00DD49B6" w:rsidRDefault="002B4569" w:rsidP="000437B9">
            <w:pPr>
              <w:pStyle w:val="naiskr"/>
              <w:spacing w:before="0" w:after="0"/>
              <w:ind w:left="57" w:right="57"/>
            </w:pPr>
            <w:r w:rsidRPr="00DD49B6">
              <w:t>Pašreizējā situācija un problēmas, kuru risināšanai tiesību akta projekts izstrādāts, tiesiskā regulējuma mērķis un būtība</w:t>
            </w:r>
          </w:p>
        </w:tc>
        <w:tc>
          <w:tcPr>
            <w:tcW w:w="3538" w:type="pct"/>
          </w:tcPr>
          <w:p w14:paraId="1FDB5FC9" w14:textId="57D825D2" w:rsidR="002B4569" w:rsidRDefault="002B4569" w:rsidP="000437B9">
            <w:pPr>
              <w:ind w:left="143" w:right="142" w:firstLine="424"/>
              <w:jc w:val="both"/>
            </w:pPr>
            <w:r w:rsidRPr="00DC16E6">
              <w:t>Pasta likuma 31.</w:t>
            </w:r>
            <w:r w:rsidRPr="00DC16E6">
              <w:rPr>
                <w:vertAlign w:val="superscript"/>
              </w:rPr>
              <w:t>1</w:t>
            </w:r>
            <w:r w:rsidRPr="00DC16E6">
              <w:t xml:space="preserve"> panta otrā daļa </w:t>
            </w:r>
            <w:r w:rsidR="00B3779C">
              <w:t>noteic</w:t>
            </w:r>
            <w:r w:rsidRPr="00DC16E6">
              <w:t>, ka Ministru kabinets izdod noteikumus par universālā pasta pakalpojuma saistību izpildes tīro izmaksu kompensāciju, savukārt Pasta likuma 31.</w:t>
            </w:r>
            <w:r w:rsidRPr="00DC16E6">
              <w:rPr>
                <w:vertAlign w:val="superscript"/>
              </w:rPr>
              <w:t>2</w:t>
            </w:r>
            <w:r w:rsidRPr="00DC16E6">
              <w:t xml:space="preserve"> panta pirmā daļa paredz izveidot universālā pasta pakalpojuma kompensācijas fondu, kuru veidos pasta komersantu samaksātā valsts nodeva universālā pasta pakalpojuma saistību izpildes tīro izmaksu kompensēšanai (turpmāk –</w:t>
            </w:r>
            <w:r w:rsidR="00503C19">
              <w:t xml:space="preserve"> </w:t>
            </w:r>
            <w:r w:rsidRPr="00DC16E6">
              <w:t>valsts nodeva) un gadskārtējā valsts budžeta likumā noteiktajā apmērā šim mērķim pieš</w:t>
            </w:r>
            <w:r w:rsidR="00997D2B">
              <w:t>ķirtie valsts budžeta līdzekļi.</w:t>
            </w:r>
          </w:p>
          <w:p w14:paraId="3DF66D66" w14:textId="77777777" w:rsidR="00AF6EF2" w:rsidRDefault="00997D2B" w:rsidP="000437B9">
            <w:pPr>
              <w:ind w:left="143" w:right="142" w:firstLine="424"/>
              <w:jc w:val="both"/>
            </w:pPr>
            <w:r w:rsidRPr="00997D2B">
              <w:t>Atbilstoši Pasta likuma 31.</w:t>
            </w:r>
            <w:r w:rsidRPr="00997D2B">
              <w:rPr>
                <w:vertAlign w:val="superscript"/>
              </w:rPr>
              <w:t xml:space="preserve">2 </w:t>
            </w:r>
            <w:r w:rsidRPr="00997D2B">
              <w:t xml:space="preserve">panta ceturtajai daļai Ministru kabinets katru gadu līdz </w:t>
            </w:r>
            <w:proofErr w:type="gramStart"/>
            <w:r w:rsidRPr="00997D2B">
              <w:t>31</w:t>
            </w:r>
            <w:r w:rsidR="00B71B22">
              <w:t>.</w:t>
            </w:r>
            <w:r w:rsidRPr="00997D2B">
              <w:t>decembrim</w:t>
            </w:r>
            <w:proofErr w:type="gramEnd"/>
            <w:r w:rsidRPr="00997D2B">
              <w:t xml:space="preserve"> nosaka valsts nodevas apmēru procentos no pasta komersanta neto apgrozījuma iepriekšējā gadā, pamatojoties uz šajā likumā noteiktajā kārtībā Sabiedrisko pakalpojumu regulēšanas komisijas </w:t>
            </w:r>
            <w:r w:rsidR="00362822">
              <w:t xml:space="preserve">(turpmāk – Regulators) </w:t>
            </w:r>
            <w:r w:rsidRPr="00997D2B">
              <w:t xml:space="preserve">apstiprināto tīro izmaksu apmēru. </w:t>
            </w:r>
          </w:p>
          <w:p w14:paraId="31CFB18E" w14:textId="7D1B73EB" w:rsidR="001D3928" w:rsidRDefault="002B4569" w:rsidP="000437B9">
            <w:pPr>
              <w:ind w:left="143" w:right="142" w:firstLine="424"/>
              <w:jc w:val="both"/>
            </w:pPr>
            <w:r w:rsidRPr="00997D2B">
              <w:t xml:space="preserve">Ministru kabineta </w:t>
            </w:r>
            <w:proofErr w:type="gramStart"/>
            <w:r w:rsidRPr="00997D2B">
              <w:rPr>
                <w:bCs/>
                <w:color w:val="000000"/>
              </w:rPr>
              <w:t>2013.gada</w:t>
            </w:r>
            <w:proofErr w:type="gramEnd"/>
            <w:r w:rsidRPr="00997D2B">
              <w:rPr>
                <w:bCs/>
                <w:color w:val="000000"/>
              </w:rPr>
              <w:t xml:space="preserve"> 3.decembra noteikumi Nr.1393 „</w:t>
            </w:r>
            <w:r w:rsidRPr="00997D2B">
              <w:t>Noteikumi par universālā pasta pakalpojuma saistību izpildes tīro izmaksu kompensēšanu</w:t>
            </w:r>
            <w:r w:rsidRPr="00997D2B">
              <w:rPr>
                <w:bCs/>
                <w:color w:val="000000"/>
              </w:rPr>
              <w:t xml:space="preserve">” </w:t>
            </w:r>
            <w:r w:rsidR="00AB01CA" w:rsidRPr="00997D2B">
              <w:rPr>
                <w:bCs/>
                <w:color w:val="000000"/>
              </w:rPr>
              <w:t xml:space="preserve">(turpmāk – Noteikumi Nr.1393) </w:t>
            </w:r>
            <w:r w:rsidRPr="00997D2B">
              <w:t xml:space="preserve">nosaka valsts nodevas likmi </w:t>
            </w:r>
            <w:r w:rsidR="00AF6EF2">
              <w:t>2014.-20</w:t>
            </w:r>
            <w:r w:rsidR="00301FB2">
              <w:t>20</w:t>
            </w:r>
            <w:r w:rsidR="00AF6EF2">
              <w:t>.gadam</w:t>
            </w:r>
            <w:r w:rsidR="00766282" w:rsidRPr="00766282">
              <w:t xml:space="preserve">, kas maksājama par </w:t>
            </w:r>
            <w:r w:rsidR="00AF6EF2">
              <w:t>iepriekšējo gadu</w:t>
            </w:r>
            <w:r w:rsidR="0005113A">
              <w:t>.</w:t>
            </w:r>
          </w:p>
          <w:p w14:paraId="07DB63B7" w14:textId="074165A4" w:rsidR="002B43F7" w:rsidRDefault="002B4569" w:rsidP="000437B9">
            <w:pPr>
              <w:ind w:left="143" w:right="142" w:firstLine="424"/>
              <w:jc w:val="both"/>
              <w:rPr>
                <w:b/>
                <w:u w:val="single"/>
              </w:rPr>
            </w:pPr>
            <w:r w:rsidRPr="00997D2B">
              <w:t>Pasta likuma 31.</w:t>
            </w:r>
            <w:r w:rsidRPr="00997D2B">
              <w:rPr>
                <w:vertAlign w:val="superscript"/>
              </w:rPr>
              <w:t>2</w:t>
            </w:r>
            <w:r w:rsidRPr="00997D2B">
              <w:t xml:space="preserve"> panta ceturt</w:t>
            </w:r>
            <w:r w:rsidR="008852E0">
              <w:t>aj</w:t>
            </w:r>
            <w:r w:rsidRPr="00997D2B">
              <w:t>ā daļ</w:t>
            </w:r>
            <w:r w:rsidR="00997D2B" w:rsidRPr="00997D2B">
              <w:t xml:space="preserve">ā noteikts, ka </w:t>
            </w:r>
            <w:r w:rsidRPr="00997D2B">
              <w:t>Ministru kabinet</w:t>
            </w:r>
            <w:r w:rsidR="00FF2E79">
              <w:t>s</w:t>
            </w:r>
            <w:r w:rsidRPr="00997D2B">
              <w:t xml:space="preserve"> katru gadu līdz </w:t>
            </w:r>
            <w:proofErr w:type="gramStart"/>
            <w:r w:rsidRPr="00997D2B">
              <w:t>31.decembrim</w:t>
            </w:r>
            <w:proofErr w:type="gramEnd"/>
            <w:r w:rsidRPr="00997D2B">
              <w:t xml:space="preserve"> </w:t>
            </w:r>
            <w:r w:rsidR="00997D2B" w:rsidRPr="00997D2B">
              <w:t>nosaka</w:t>
            </w:r>
            <w:r w:rsidRPr="00997D2B">
              <w:t xml:space="preserve"> valsts nodevas apmēru procentos no pasta komersanta</w:t>
            </w:r>
            <w:r w:rsidR="00B03ADE">
              <w:t xml:space="preserve">, kas sniedz universālo pasta pakalpojumu vai </w:t>
            </w:r>
            <w:r w:rsidR="00B03ADE" w:rsidRPr="006B0776">
              <w:t>universālajam pasta pakalpojumam pielīdzināmo pasta pakalpojumu</w:t>
            </w:r>
            <w:r w:rsidR="00B03ADE">
              <w:t>,</w:t>
            </w:r>
            <w:r w:rsidR="00B03ADE" w:rsidRPr="006B0776">
              <w:t xml:space="preserve"> </w:t>
            </w:r>
            <w:r w:rsidRPr="00997D2B">
              <w:t>neto apgrozījuma iepriekšējā gadā</w:t>
            </w:r>
            <w:r w:rsidR="00B03ADE">
              <w:t>. Ar Noteikumu projektu tiek</w:t>
            </w:r>
            <w:r w:rsidR="00997D2B" w:rsidRPr="00997D2B">
              <w:t xml:space="preserve"> </w:t>
            </w:r>
            <w:r w:rsidR="00350D20" w:rsidRPr="00997D2B">
              <w:t>no</w:t>
            </w:r>
            <w:r w:rsidR="00B03ADE">
              <w:t>teikts</w:t>
            </w:r>
            <w:r w:rsidR="00E12178" w:rsidRPr="00997D2B">
              <w:t xml:space="preserve"> valsts nodevas apmēr</w:t>
            </w:r>
            <w:r w:rsidR="00B03ADE">
              <w:t>s</w:t>
            </w:r>
            <w:r w:rsidR="00E12178" w:rsidRPr="00997D2B">
              <w:t xml:space="preserve">, kas </w:t>
            </w:r>
            <w:r w:rsidR="00B03ADE">
              <w:t xml:space="preserve">attiecīgajiem pasta komersantiem </w:t>
            </w:r>
            <w:proofErr w:type="gramStart"/>
            <w:r w:rsidR="00E12178" w:rsidRPr="00997D2B">
              <w:t>20</w:t>
            </w:r>
            <w:r w:rsidR="00974262">
              <w:t>2</w:t>
            </w:r>
            <w:r w:rsidR="00301FB2">
              <w:t>1</w:t>
            </w:r>
            <w:r w:rsidR="00E12178" w:rsidRPr="00997D2B">
              <w:t>.gadā</w:t>
            </w:r>
            <w:proofErr w:type="gramEnd"/>
            <w:r w:rsidR="00E12178" w:rsidRPr="00997D2B">
              <w:t xml:space="preserve"> jāmaksā par 20</w:t>
            </w:r>
            <w:r w:rsidR="00301FB2">
              <w:t>20</w:t>
            </w:r>
            <w:r w:rsidR="00E12178" w:rsidRPr="00997D2B">
              <w:t>.gadu.</w:t>
            </w:r>
          </w:p>
          <w:p w14:paraId="722CDBE4" w14:textId="4F4F5CD5" w:rsidR="006D597D" w:rsidRDefault="00362822" w:rsidP="007710B0">
            <w:pPr>
              <w:pStyle w:val="Heading3"/>
              <w:shd w:val="clear" w:color="auto" w:fill="FFFFFF"/>
              <w:spacing w:before="0" w:beforeAutospacing="0" w:after="0" w:afterAutospacing="0"/>
              <w:ind w:left="143" w:right="142" w:firstLine="424"/>
              <w:jc w:val="both"/>
              <w:rPr>
                <w:b w:val="0"/>
                <w:sz w:val="24"/>
                <w:szCs w:val="24"/>
              </w:rPr>
            </w:pPr>
            <w:r>
              <w:rPr>
                <w:b w:val="0"/>
                <w:sz w:val="24"/>
                <w:szCs w:val="24"/>
              </w:rPr>
              <w:t>Regulator</w:t>
            </w:r>
            <w:r w:rsidR="00A770FA">
              <w:rPr>
                <w:b w:val="0"/>
                <w:sz w:val="24"/>
                <w:szCs w:val="24"/>
              </w:rPr>
              <w:t>s</w:t>
            </w:r>
            <w:r w:rsidR="00B3779C">
              <w:rPr>
                <w:b w:val="0"/>
                <w:iCs/>
                <w:sz w:val="24"/>
                <w:szCs w:val="24"/>
              </w:rPr>
              <w:t xml:space="preserve"> ar</w:t>
            </w:r>
            <w:r w:rsidR="00A80C4F">
              <w:rPr>
                <w:b w:val="0"/>
                <w:iCs/>
                <w:sz w:val="24"/>
                <w:szCs w:val="24"/>
              </w:rPr>
              <w:t xml:space="preserve"> </w:t>
            </w:r>
            <w:proofErr w:type="gramStart"/>
            <w:r w:rsidR="005D67D7" w:rsidRPr="005D67D7">
              <w:rPr>
                <w:b w:val="0"/>
                <w:iCs/>
                <w:sz w:val="24"/>
                <w:szCs w:val="24"/>
              </w:rPr>
              <w:t>20</w:t>
            </w:r>
            <w:r w:rsidR="00301FB2">
              <w:rPr>
                <w:b w:val="0"/>
                <w:iCs/>
                <w:sz w:val="24"/>
                <w:szCs w:val="24"/>
              </w:rPr>
              <w:t>20</w:t>
            </w:r>
            <w:r w:rsidR="005D67D7" w:rsidRPr="005D67D7">
              <w:rPr>
                <w:b w:val="0"/>
                <w:iCs/>
                <w:sz w:val="24"/>
                <w:szCs w:val="24"/>
              </w:rPr>
              <w:t>.</w:t>
            </w:r>
            <w:r w:rsidR="005D67D7" w:rsidRPr="00051658">
              <w:rPr>
                <w:b w:val="0"/>
                <w:iCs/>
                <w:sz w:val="24"/>
                <w:szCs w:val="24"/>
              </w:rPr>
              <w:t>gada</w:t>
            </w:r>
            <w:proofErr w:type="gramEnd"/>
            <w:r w:rsidR="005D67D7" w:rsidRPr="00051658">
              <w:rPr>
                <w:b w:val="0"/>
                <w:iCs/>
                <w:sz w:val="24"/>
                <w:szCs w:val="24"/>
              </w:rPr>
              <w:t xml:space="preserve"> </w:t>
            </w:r>
            <w:r w:rsidR="00B3779C" w:rsidRPr="00B3779C">
              <w:rPr>
                <w:b w:val="0"/>
                <w:iCs/>
                <w:sz w:val="24"/>
                <w:szCs w:val="24"/>
              </w:rPr>
              <w:t>2</w:t>
            </w:r>
            <w:r w:rsidR="00301FB2">
              <w:rPr>
                <w:b w:val="0"/>
                <w:iCs/>
                <w:sz w:val="24"/>
                <w:szCs w:val="24"/>
              </w:rPr>
              <w:t>9</w:t>
            </w:r>
            <w:r w:rsidR="005D67D7" w:rsidRPr="00B3779C">
              <w:rPr>
                <w:b w:val="0"/>
                <w:iCs/>
                <w:sz w:val="24"/>
                <w:szCs w:val="24"/>
              </w:rPr>
              <w:t>.</w:t>
            </w:r>
            <w:r w:rsidR="003A61FA" w:rsidRPr="00B3779C">
              <w:rPr>
                <w:b w:val="0"/>
                <w:iCs/>
                <w:sz w:val="24"/>
                <w:szCs w:val="24"/>
              </w:rPr>
              <w:t>oktobra</w:t>
            </w:r>
            <w:r w:rsidR="005D67D7" w:rsidRPr="00B3779C">
              <w:rPr>
                <w:b w:val="0"/>
                <w:iCs/>
                <w:sz w:val="24"/>
                <w:szCs w:val="24"/>
              </w:rPr>
              <w:t xml:space="preserve"> </w:t>
            </w:r>
            <w:r w:rsidR="00A80C4F" w:rsidRPr="00B3779C">
              <w:rPr>
                <w:b w:val="0"/>
                <w:iCs/>
                <w:sz w:val="24"/>
                <w:szCs w:val="24"/>
              </w:rPr>
              <w:t>lēmumu Nr.</w:t>
            </w:r>
            <w:r w:rsidR="00301FB2">
              <w:rPr>
                <w:b w:val="0"/>
                <w:iCs/>
                <w:sz w:val="24"/>
                <w:szCs w:val="24"/>
              </w:rPr>
              <w:t>139</w:t>
            </w:r>
            <w:r w:rsidR="00974262" w:rsidRPr="00B3779C">
              <w:rPr>
                <w:b w:val="0"/>
                <w:iCs/>
                <w:sz w:val="24"/>
                <w:szCs w:val="24"/>
              </w:rPr>
              <w:t xml:space="preserve"> </w:t>
            </w:r>
            <w:r w:rsidR="004D2D96" w:rsidRPr="00B3779C">
              <w:rPr>
                <w:b w:val="0"/>
                <w:sz w:val="24"/>
                <w:szCs w:val="24"/>
              </w:rPr>
              <w:t>“Par valsts akciju sabiedrības “Latvijas Pasts” aprēķināt</w:t>
            </w:r>
            <w:r w:rsidR="00B3779C" w:rsidRPr="00B3779C">
              <w:rPr>
                <w:b w:val="0"/>
                <w:sz w:val="24"/>
                <w:szCs w:val="24"/>
              </w:rPr>
              <w:t>ajām</w:t>
            </w:r>
            <w:r w:rsidR="004D2D96" w:rsidRPr="00B3779C">
              <w:rPr>
                <w:b w:val="0"/>
                <w:sz w:val="24"/>
                <w:szCs w:val="24"/>
              </w:rPr>
              <w:t xml:space="preserve"> 201</w:t>
            </w:r>
            <w:r w:rsidR="00301FB2">
              <w:rPr>
                <w:b w:val="0"/>
                <w:sz w:val="24"/>
                <w:szCs w:val="24"/>
              </w:rPr>
              <w:t>9</w:t>
            </w:r>
            <w:r w:rsidR="004D2D96" w:rsidRPr="00B3779C">
              <w:rPr>
                <w:b w:val="0"/>
                <w:sz w:val="24"/>
                <w:szCs w:val="24"/>
              </w:rPr>
              <w:t>.gada universālā pasta pakalpojuma saistību izpildes tīr</w:t>
            </w:r>
            <w:r w:rsidR="00B3779C" w:rsidRPr="00B3779C">
              <w:rPr>
                <w:b w:val="0"/>
                <w:sz w:val="24"/>
                <w:szCs w:val="24"/>
              </w:rPr>
              <w:t>ajām</w:t>
            </w:r>
            <w:r w:rsidR="004D2D96" w:rsidRPr="00B3779C">
              <w:rPr>
                <w:b w:val="0"/>
                <w:sz w:val="24"/>
                <w:szCs w:val="24"/>
              </w:rPr>
              <w:t xml:space="preserve"> izmaks</w:t>
            </w:r>
            <w:r w:rsidR="00B3779C" w:rsidRPr="00B3779C">
              <w:rPr>
                <w:b w:val="0"/>
                <w:sz w:val="24"/>
                <w:szCs w:val="24"/>
              </w:rPr>
              <w:t>ām</w:t>
            </w:r>
            <w:r w:rsidR="004D2D96" w:rsidRPr="00B3779C">
              <w:rPr>
                <w:b w:val="0"/>
                <w:sz w:val="24"/>
                <w:szCs w:val="24"/>
              </w:rPr>
              <w:t>” (prot.</w:t>
            </w:r>
            <w:r w:rsidR="00B71B22" w:rsidRPr="00B3779C">
              <w:rPr>
                <w:b w:val="0"/>
                <w:sz w:val="24"/>
                <w:szCs w:val="24"/>
              </w:rPr>
              <w:t xml:space="preserve"> </w:t>
            </w:r>
            <w:r w:rsidR="004D2D96" w:rsidRPr="00B3779C">
              <w:rPr>
                <w:b w:val="0"/>
                <w:sz w:val="24"/>
                <w:szCs w:val="24"/>
              </w:rPr>
              <w:t>Nr.</w:t>
            </w:r>
            <w:r w:rsidR="00B3779C" w:rsidRPr="00B3779C">
              <w:rPr>
                <w:b w:val="0"/>
                <w:sz w:val="24"/>
                <w:szCs w:val="24"/>
              </w:rPr>
              <w:t>4</w:t>
            </w:r>
            <w:r w:rsidR="00301FB2">
              <w:rPr>
                <w:b w:val="0"/>
                <w:sz w:val="24"/>
                <w:szCs w:val="24"/>
              </w:rPr>
              <w:t>5</w:t>
            </w:r>
            <w:r w:rsidR="004D2D96" w:rsidRPr="00B3779C">
              <w:rPr>
                <w:b w:val="0"/>
                <w:sz w:val="24"/>
                <w:szCs w:val="24"/>
              </w:rPr>
              <w:t xml:space="preserve">, </w:t>
            </w:r>
            <w:r w:rsidR="00B3779C" w:rsidRPr="00B3779C">
              <w:rPr>
                <w:b w:val="0"/>
                <w:sz w:val="24"/>
                <w:szCs w:val="24"/>
              </w:rPr>
              <w:t>1</w:t>
            </w:r>
            <w:r w:rsidR="004D2D96" w:rsidRPr="00B3779C">
              <w:rPr>
                <w:b w:val="0"/>
                <w:sz w:val="24"/>
                <w:szCs w:val="24"/>
              </w:rPr>
              <w:t xml:space="preserve">.p.) </w:t>
            </w:r>
            <w:r w:rsidR="00B3779C" w:rsidRPr="00B3779C">
              <w:rPr>
                <w:b w:val="0"/>
                <w:sz w:val="24"/>
                <w:szCs w:val="24"/>
              </w:rPr>
              <w:t>nolēma atteikt</w:t>
            </w:r>
            <w:r w:rsidR="00B3779C">
              <w:rPr>
                <w:b w:val="0"/>
                <w:sz w:val="24"/>
                <w:szCs w:val="24"/>
              </w:rPr>
              <w:t xml:space="preserve"> </w:t>
            </w:r>
            <w:r w:rsidR="004A4C2F" w:rsidRPr="004A4C2F">
              <w:rPr>
                <w:b w:val="0"/>
                <w:sz w:val="24"/>
                <w:szCs w:val="24"/>
              </w:rPr>
              <w:t xml:space="preserve">apstiprināt VAS „Latvijas Pasts” </w:t>
            </w:r>
            <w:r w:rsidR="00A80C4F" w:rsidRPr="006D597D">
              <w:rPr>
                <w:b w:val="0"/>
                <w:sz w:val="24"/>
                <w:szCs w:val="24"/>
              </w:rPr>
              <w:t>aprēķināt</w:t>
            </w:r>
            <w:r w:rsidR="003C6D51" w:rsidRPr="006D597D">
              <w:rPr>
                <w:b w:val="0"/>
                <w:sz w:val="24"/>
                <w:szCs w:val="24"/>
              </w:rPr>
              <w:t>o</w:t>
            </w:r>
            <w:r w:rsidR="004D2D96" w:rsidRPr="006D597D">
              <w:rPr>
                <w:b w:val="0"/>
                <w:sz w:val="24"/>
                <w:szCs w:val="24"/>
              </w:rPr>
              <w:t xml:space="preserve"> </w:t>
            </w:r>
            <w:r w:rsidR="004A4C2F" w:rsidRPr="006D597D">
              <w:rPr>
                <w:b w:val="0"/>
                <w:sz w:val="24"/>
                <w:szCs w:val="24"/>
              </w:rPr>
              <w:t>201</w:t>
            </w:r>
            <w:r w:rsidR="00301FB2">
              <w:rPr>
                <w:b w:val="0"/>
                <w:sz w:val="24"/>
                <w:szCs w:val="24"/>
              </w:rPr>
              <w:t>9</w:t>
            </w:r>
            <w:r w:rsidR="004A4C2F" w:rsidRPr="006D597D">
              <w:rPr>
                <w:b w:val="0"/>
                <w:sz w:val="24"/>
                <w:szCs w:val="24"/>
              </w:rPr>
              <w:t>.gada universālā pasta pakalpojuma saistību izpildes tīr</w:t>
            </w:r>
            <w:r w:rsidR="003C6D51" w:rsidRPr="006D597D">
              <w:rPr>
                <w:b w:val="0"/>
                <w:sz w:val="24"/>
                <w:szCs w:val="24"/>
              </w:rPr>
              <w:t>o</w:t>
            </w:r>
            <w:r w:rsidR="00B3779C" w:rsidRPr="006D597D">
              <w:rPr>
                <w:b w:val="0"/>
                <w:sz w:val="24"/>
                <w:szCs w:val="24"/>
              </w:rPr>
              <w:t xml:space="preserve"> izmaks</w:t>
            </w:r>
            <w:r w:rsidR="003C6D51" w:rsidRPr="006D597D">
              <w:rPr>
                <w:b w:val="0"/>
                <w:sz w:val="24"/>
                <w:szCs w:val="24"/>
              </w:rPr>
              <w:t>u apmēru</w:t>
            </w:r>
            <w:r w:rsidR="00B56642">
              <w:rPr>
                <w:b w:val="0"/>
                <w:sz w:val="24"/>
                <w:szCs w:val="24"/>
              </w:rPr>
              <w:t xml:space="preserve"> </w:t>
            </w:r>
            <w:r w:rsidR="00B56642" w:rsidRPr="00B56642">
              <w:rPr>
                <w:b w:val="0"/>
                <w:sz w:val="24"/>
                <w:szCs w:val="24"/>
              </w:rPr>
              <w:t>(turpmāk - tīrās izmaksas)</w:t>
            </w:r>
            <w:r w:rsidR="00231D81">
              <w:rPr>
                <w:b w:val="0"/>
                <w:sz w:val="24"/>
                <w:szCs w:val="24"/>
              </w:rPr>
              <w:t>.</w:t>
            </w:r>
          </w:p>
          <w:p w14:paraId="6898060D" w14:textId="0F4C088A" w:rsidR="00A770FA" w:rsidRDefault="007710B0" w:rsidP="006D597D">
            <w:pPr>
              <w:pStyle w:val="Heading3"/>
              <w:shd w:val="clear" w:color="auto" w:fill="FFFFFF"/>
              <w:spacing w:before="0" w:beforeAutospacing="0" w:after="0" w:afterAutospacing="0"/>
              <w:ind w:left="143" w:right="142" w:firstLine="424"/>
              <w:jc w:val="both"/>
              <w:rPr>
                <w:b w:val="0"/>
                <w:sz w:val="24"/>
                <w:szCs w:val="24"/>
              </w:rPr>
            </w:pPr>
            <w:r w:rsidRPr="006D597D">
              <w:rPr>
                <w:b w:val="0"/>
                <w:bCs w:val="0"/>
                <w:sz w:val="24"/>
                <w:szCs w:val="24"/>
                <w:lang w:eastAsia="ar-SA"/>
              </w:rPr>
              <w:lastRenderedPageBreak/>
              <w:t xml:space="preserve">Saskaņā ar likuma “Par sabiedrisko pakalpojumu regulatoriem” </w:t>
            </w:r>
            <w:proofErr w:type="gramStart"/>
            <w:r w:rsidRPr="006D597D">
              <w:rPr>
                <w:b w:val="0"/>
                <w:bCs w:val="0"/>
                <w:sz w:val="24"/>
                <w:szCs w:val="24"/>
                <w:lang w:eastAsia="ar-SA"/>
              </w:rPr>
              <w:t>11.panta</w:t>
            </w:r>
            <w:proofErr w:type="gramEnd"/>
            <w:r w:rsidRPr="006D597D">
              <w:rPr>
                <w:b w:val="0"/>
                <w:bCs w:val="0"/>
                <w:sz w:val="24"/>
                <w:szCs w:val="24"/>
                <w:lang w:eastAsia="ar-SA"/>
              </w:rPr>
              <w:t xml:space="preserve"> pirmo un piekto daļu Regulators ir neatkarīgs likumā noteikto funkciju pildīšanā, un pieteikuma par regulatora izdotā administratīvā akta atcelšanu, atzīšanu par spēku zaudējušu vai spēkā neesošu iesniegšana tiesā neaptur šā administratīvā akta darbību.</w:t>
            </w:r>
            <w:r w:rsidR="006D597D">
              <w:rPr>
                <w:b w:val="0"/>
                <w:bCs w:val="0"/>
                <w:sz w:val="24"/>
                <w:szCs w:val="24"/>
                <w:lang w:eastAsia="ar-SA"/>
              </w:rPr>
              <w:t xml:space="preserve"> </w:t>
            </w:r>
            <w:r w:rsidR="00872924" w:rsidRPr="003D3C88">
              <w:rPr>
                <w:b w:val="0"/>
                <w:sz w:val="24"/>
                <w:szCs w:val="24"/>
              </w:rPr>
              <w:t>Ņemot vērā</w:t>
            </w:r>
            <w:r w:rsidR="00362822" w:rsidRPr="003D3C88">
              <w:rPr>
                <w:b w:val="0"/>
                <w:sz w:val="24"/>
                <w:szCs w:val="24"/>
              </w:rPr>
              <w:t xml:space="preserve"> </w:t>
            </w:r>
            <w:r w:rsidR="00B71B22" w:rsidRPr="003D3C88">
              <w:rPr>
                <w:b w:val="0"/>
                <w:sz w:val="24"/>
                <w:szCs w:val="24"/>
              </w:rPr>
              <w:t>minēto</w:t>
            </w:r>
            <w:r w:rsidR="00872924" w:rsidRPr="003D3C88">
              <w:rPr>
                <w:b w:val="0"/>
                <w:sz w:val="24"/>
                <w:szCs w:val="24"/>
              </w:rPr>
              <w:t>,</w:t>
            </w:r>
            <w:r w:rsidR="00AE6FCE">
              <w:rPr>
                <w:b w:val="0"/>
                <w:sz w:val="24"/>
                <w:szCs w:val="24"/>
              </w:rPr>
              <w:t xml:space="preserve"> </w:t>
            </w:r>
            <w:r w:rsidR="00AE6FCE" w:rsidRPr="00AE6FCE">
              <w:rPr>
                <w:b w:val="0"/>
                <w:sz w:val="24"/>
                <w:szCs w:val="24"/>
              </w:rPr>
              <w:t>Noteikum</w:t>
            </w:r>
            <w:r w:rsidR="00AE6FCE">
              <w:rPr>
                <w:b w:val="0"/>
                <w:sz w:val="24"/>
                <w:szCs w:val="24"/>
              </w:rPr>
              <w:t>os</w:t>
            </w:r>
            <w:r w:rsidR="00AE6FCE" w:rsidRPr="00AE6FCE">
              <w:rPr>
                <w:b w:val="0"/>
                <w:sz w:val="24"/>
                <w:szCs w:val="24"/>
              </w:rPr>
              <w:t xml:space="preserve"> Nr.1393</w:t>
            </w:r>
            <w:r w:rsidR="00AE6FCE">
              <w:rPr>
                <w:b w:val="0"/>
                <w:sz w:val="24"/>
                <w:szCs w:val="24"/>
              </w:rPr>
              <w:t xml:space="preserve"> </w:t>
            </w:r>
            <w:r w:rsidR="002B4569" w:rsidRPr="003D3C88">
              <w:rPr>
                <w:b w:val="0"/>
                <w:sz w:val="24"/>
                <w:szCs w:val="24"/>
              </w:rPr>
              <w:t>maksājamās nodevas</w:t>
            </w:r>
            <w:r w:rsidR="002B4569" w:rsidRPr="006B0776">
              <w:rPr>
                <w:b w:val="0"/>
                <w:sz w:val="24"/>
                <w:szCs w:val="24"/>
              </w:rPr>
              <w:t xml:space="preserve"> apmērs </w:t>
            </w:r>
            <w:r w:rsidR="00AE6FCE" w:rsidRPr="003D3C88">
              <w:rPr>
                <w:b w:val="0"/>
                <w:sz w:val="24"/>
                <w:szCs w:val="24"/>
              </w:rPr>
              <w:t>202</w:t>
            </w:r>
            <w:r w:rsidR="00301FB2">
              <w:rPr>
                <w:b w:val="0"/>
                <w:sz w:val="24"/>
                <w:szCs w:val="24"/>
              </w:rPr>
              <w:t>1</w:t>
            </w:r>
            <w:r w:rsidR="00AE6FCE" w:rsidRPr="003D3C88">
              <w:rPr>
                <w:b w:val="0"/>
                <w:sz w:val="24"/>
                <w:szCs w:val="24"/>
              </w:rPr>
              <w:t xml:space="preserve">.gadā </w:t>
            </w:r>
            <w:r w:rsidR="00A770FA">
              <w:rPr>
                <w:b w:val="0"/>
                <w:sz w:val="24"/>
                <w:szCs w:val="24"/>
              </w:rPr>
              <w:t xml:space="preserve">tiek </w:t>
            </w:r>
            <w:r w:rsidR="00B119C1">
              <w:rPr>
                <w:b w:val="0"/>
                <w:sz w:val="24"/>
                <w:szCs w:val="24"/>
              </w:rPr>
              <w:t>noteikts</w:t>
            </w:r>
            <w:r w:rsidR="002B4569" w:rsidRPr="006B0776">
              <w:rPr>
                <w:b w:val="0"/>
                <w:sz w:val="24"/>
                <w:szCs w:val="24"/>
              </w:rPr>
              <w:t xml:space="preserve"> </w:t>
            </w:r>
            <w:r w:rsidR="00A6299B">
              <w:rPr>
                <w:b w:val="0"/>
                <w:sz w:val="24"/>
                <w:szCs w:val="24"/>
              </w:rPr>
              <w:t>nulle</w:t>
            </w:r>
            <w:r w:rsidR="002B4569" w:rsidRPr="006B0776">
              <w:rPr>
                <w:b w:val="0"/>
                <w:sz w:val="24"/>
                <w:szCs w:val="24"/>
              </w:rPr>
              <w:t xml:space="preserve"> </w:t>
            </w:r>
            <w:r w:rsidR="003F600C">
              <w:rPr>
                <w:b w:val="0"/>
                <w:sz w:val="24"/>
                <w:szCs w:val="24"/>
              </w:rPr>
              <w:t>procentu</w:t>
            </w:r>
            <w:r w:rsidR="003F600C" w:rsidRPr="006B0776">
              <w:rPr>
                <w:b w:val="0"/>
                <w:sz w:val="24"/>
                <w:szCs w:val="24"/>
              </w:rPr>
              <w:t xml:space="preserve"> </w:t>
            </w:r>
            <w:r w:rsidR="002B4569" w:rsidRPr="006B0776">
              <w:rPr>
                <w:b w:val="0"/>
                <w:sz w:val="24"/>
                <w:szCs w:val="24"/>
              </w:rPr>
              <w:t xml:space="preserve">no </w:t>
            </w:r>
            <w:r w:rsidR="006E463B">
              <w:rPr>
                <w:b w:val="0"/>
                <w:sz w:val="24"/>
                <w:szCs w:val="24"/>
              </w:rPr>
              <w:t xml:space="preserve">universālā pakalpojuma un </w:t>
            </w:r>
            <w:r w:rsidR="002B4569" w:rsidRPr="006B0776">
              <w:rPr>
                <w:b w:val="0"/>
                <w:sz w:val="24"/>
                <w:szCs w:val="24"/>
              </w:rPr>
              <w:t>universālajam pasta pakalpojumam pielīdzināmo pasta pakalpojumu ne</w:t>
            </w:r>
            <w:r w:rsidR="006B0776" w:rsidRPr="006B0776">
              <w:rPr>
                <w:b w:val="0"/>
                <w:sz w:val="24"/>
                <w:szCs w:val="24"/>
              </w:rPr>
              <w:t xml:space="preserve">to apgrozījuma </w:t>
            </w:r>
            <w:r w:rsidR="00E8489B">
              <w:rPr>
                <w:b w:val="0"/>
                <w:sz w:val="24"/>
                <w:szCs w:val="24"/>
              </w:rPr>
              <w:t>20</w:t>
            </w:r>
            <w:r w:rsidR="00301FB2">
              <w:rPr>
                <w:b w:val="0"/>
                <w:sz w:val="24"/>
                <w:szCs w:val="24"/>
              </w:rPr>
              <w:t>20</w:t>
            </w:r>
            <w:r w:rsidR="00E8489B">
              <w:rPr>
                <w:b w:val="0"/>
                <w:sz w:val="24"/>
                <w:szCs w:val="24"/>
              </w:rPr>
              <w:t>.gadā</w:t>
            </w:r>
            <w:r w:rsidR="00872924">
              <w:rPr>
                <w:b w:val="0"/>
                <w:sz w:val="24"/>
                <w:szCs w:val="24"/>
              </w:rPr>
              <w:t>.</w:t>
            </w:r>
          </w:p>
          <w:p w14:paraId="33F1BEBC" w14:textId="2EC8CE1D" w:rsidR="00AF6EF2" w:rsidRPr="00350D20" w:rsidRDefault="006B0776" w:rsidP="00A770FA">
            <w:pPr>
              <w:pStyle w:val="Heading3"/>
              <w:shd w:val="clear" w:color="auto" w:fill="FFFFFF"/>
              <w:spacing w:before="0" w:beforeAutospacing="0" w:after="0" w:afterAutospacing="0"/>
              <w:ind w:left="139" w:right="142" w:firstLine="284"/>
              <w:jc w:val="both"/>
              <w:rPr>
                <w:b w:val="0"/>
                <w:sz w:val="24"/>
                <w:szCs w:val="24"/>
              </w:rPr>
            </w:pPr>
            <w:r w:rsidRPr="006B0776">
              <w:rPr>
                <w:b w:val="0"/>
                <w:sz w:val="24"/>
                <w:szCs w:val="24"/>
              </w:rPr>
              <w:t xml:space="preserve"> </w:t>
            </w:r>
          </w:p>
        </w:tc>
      </w:tr>
      <w:tr w:rsidR="002B4569" w:rsidRPr="00DD49B6" w14:paraId="05D8A942" w14:textId="77777777" w:rsidTr="000437B9">
        <w:trPr>
          <w:trHeight w:val="476"/>
        </w:trPr>
        <w:tc>
          <w:tcPr>
            <w:tcW w:w="231" w:type="pct"/>
          </w:tcPr>
          <w:p w14:paraId="1292BC2B" w14:textId="77777777" w:rsidR="002B4569" w:rsidRPr="00DD49B6" w:rsidRDefault="002B4569" w:rsidP="000437B9">
            <w:pPr>
              <w:pStyle w:val="naiskr"/>
              <w:spacing w:before="0" w:after="0"/>
              <w:ind w:left="57" w:right="57"/>
              <w:jc w:val="center"/>
            </w:pPr>
            <w:r w:rsidRPr="00DD49B6">
              <w:lastRenderedPageBreak/>
              <w:t>3.</w:t>
            </w:r>
          </w:p>
        </w:tc>
        <w:tc>
          <w:tcPr>
            <w:tcW w:w="1232" w:type="pct"/>
          </w:tcPr>
          <w:p w14:paraId="224974B2" w14:textId="77777777" w:rsidR="002B4569" w:rsidRPr="00DD49B6" w:rsidRDefault="002B4569" w:rsidP="000437B9">
            <w:pPr>
              <w:pStyle w:val="naiskr"/>
              <w:spacing w:before="0" w:after="0"/>
              <w:ind w:left="57" w:right="57"/>
            </w:pPr>
            <w:r w:rsidRPr="00DD49B6">
              <w:t>Projekta izstrādē iesaistītās institūcijas</w:t>
            </w:r>
            <w:r w:rsidR="00AF6EF2">
              <w:t xml:space="preserve"> </w:t>
            </w:r>
            <w:r w:rsidR="00AF6EF2" w:rsidRPr="00AF6EF2">
              <w:t>un publiskas personas kapitālsabiedrības</w:t>
            </w:r>
          </w:p>
        </w:tc>
        <w:tc>
          <w:tcPr>
            <w:tcW w:w="3538" w:type="pct"/>
          </w:tcPr>
          <w:p w14:paraId="770E978B" w14:textId="1E951F44" w:rsidR="002B4569" w:rsidRPr="00DD49B6" w:rsidRDefault="00B3779C" w:rsidP="000437B9">
            <w:pPr>
              <w:ind w:left="57" w:right="57"/>
              <w:rPr>
                <w:b/>
              </w:rPr>
            </w:pPr>
            <w:r>
              <w:t>Satiksmes ministrija.</w:t>
            </w:r>
          </w:p>
        </w:tc>
      </w:tr>
      <w:tr w:rsidR="002B4569" w:rsidRPr="00DD49B6" w14:paraId="7610BB60" w14:textId="77777777" w:rsidTr="000437B9">
        <w:tc>
          <w:tcPr>
            <w:tcW w:w="231" w:type="pct"/>
          </w:tcPr>
          <w:p w14:paraId="63E202E5" w14:textId="77777777" w:rsidR="002B4569" w:rsidRPr="00DD49B6" w:rsidRDefault="002B4569" w:rsidP="000437B9">
            <w:pPr>
              <w:pStyle w:val="naiskr"/>
              <w:spacing w:before="0" w:after="0"/>
              <w:ind w:left="57" w:right="57"/>
              <w:jc w:val="center"/>
            </w:pPr>
            <w:r w:rsidRPr="00DD49B6">
              <w:t>4.</w:t>
            </w:r>
          </w:p>
        </w:tc>
        <w:tc>
          <w:tcPr>
            <w:tcW w:w="1232" w:type="pct"/>
          </w:tcPr>
          <w:p w14:paraId="7095F4B0" w14:textId="77777777" w:rsidR="002B4569" w:rsidRPr="00DD49B6" w:rsidRDefault="002B4569" w:rsidP="000437B9">
            <w:pPr>
              <w:pStyle w:val="naiskr"/>
              <w:spacing w:before="0" w:after="0"/>
              <w:ind w:left="57" w:right="57"/>
            </w:pPr>
            <w:r w:rsidRPr="00DD49B6">
              <w:t>Cita informācija</w:t>
            </w:r>
          </w:p>
        </w:tc>
        <w:tc>
          <w:tcPr>
            <w:tcW w:w="3538" w:type="pct"/>
          </w:tcPr>
          <w:p w14:paraId="43D8FA8D" w14:textId="77777777" w:rsidR="002B4569" w:rsidRPr="00DD49B6" w:rsidRDefault="002B4569" w:rsidP="000437B9">
            <w:pPr>
              <w:pStyle w:val="naiskr"/>
              <w:spacing w:before="0" w:after="0"/>
              <w:ind w:left="57" w:right="57"/>
            </w:pPr>
            <w:r w:rsidRPr="00DD49B6">
              <w:t>Nav</w:t>
            </w:r>
            <w:r w:rsidR="003F0E39">
              <w:t>.</w:t>
            </w:r>
          </w:p>
        </w:tc>
      </w:tr>
    </w:tbl>
    <w:p w14:paraId="74C12005" w14:textId="77777777" w:rsidR="00E810F2" w:rsidRPr="000437B9" w:rsidRDefault="00E810F2" w:rsidP="000437B9">
      <w:pPr>
        <w:pStyle w:val="Footer"/>
        <w:jc w:val="center"/>
      </w:pPr>
    </w:p>
    <w:tbl>
      <w:tblPr>
        <w:tblpPr w:leftFromText="180" w:rightFromText="180" w:vertAnchor="text" w:horzAnchor="margin" w:tblpXSpec="center" w:tblpY="1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2547"/>
        <w:gridCol w:w="6379"/>
      </w:tblGrid>
      <w:tr w:rsidR="002B4569" w:rsidRPr="00DD49B6" w14:paraId="30D65155" w14:textId="77777777" w:rsidTr="00E810F2">
        <w:trPr>
          <w:trHeight w:val="556"/>
        </w:trPr>
        <w:tc>
          <w:tcPr>
            <w:tcW w:w="9351" w:type="dxa"/>
            <w:gridSpan w:val="3"/>
            <w:vAlign w:val="center"/>
          </w:tcPr>
          <w:p w14:paraId="1670C064" w14:textId="77777777" w:rsidR="002B4569" w:rsidRPr="00DD49B6" w:rsidRDefault="002B4569" w:rsidP="000437B9">
            <w:pPr>
              <w:pStyle w:val="naisnod"/>
              <w:spacing w:before="0" w:after="0"/>
              <w:ind w:left="57" w:right="57"/>
              <w:rPr>
                <w:b w:val="0"/>
              </w:rPr>
            </w:pPr>
            <w:r w:rsidRPr="00DD49B6">
              <w:t>II. Tiesību akta projekta ietekme uz sabiedrību, tautsaimniecības attīstību</w:t>
            </w:r>
          </w:p>
          <w:p w14:paraId="7E918CDF" w14:textId="77777777" w:rsidR="002B4569" w:rsidRPr="00DD49B6" w:rsidRDefault="002B4569" w:rsidP="000437B9">
            <w:pPr>
              <w:pStyle w:val="naisnod"/>
              <w:spacing w:before="0" w:after="0"/>
              <w:ind w:left="57" w:right="57"/>
              <w:rPr>
                <w:b w:val="0"/>
              </w:rPr>
            </w:pPr>
            <w:r w:rsidRPr="00DD49B6">
              <w:t>un administratīvo slogu</w:t>
            </w:r>
          </w:p>
        </w:tc>
      </w:tr>
      <w:tr w:rsidR="002B4569" w:rsidRPr="00DD49B6" w14:paraId="65B5C6D1" w14:textId="77777777" w:rsidTr="00E810F2">
        <w:trPr>
          <w:trHeight w:val="467"/>
        </w:trPr>
        <w:tc>
          <w:tcPr>
            <w:tcW w:w="425" w:type="dxa"/>
          </w:tcPr>
          <w:p w14:paraId="28FAE958" w14:textId="77777777" w:rsidR="002B4569" w:rsidRPr="00DD49B6" w:rsidRDefault="002B4569" w:rsidP="000437B9">
            <w:pPr>
              <w:pStyle w:val="naiskr"/>
              <w:spacing w:before="0" w:after="0"/>
              <w:ind w:left="57" w:right="57"/>
              <w:jc w:val="both"/>
            </w:pPr>
            <w:r w:rsidRPr="00DD49B6">
              <w:t>1.</w:t>
            </w:r>
          </w:p>
        </w:tc>
        <w:tc>
          <w:tcPr>
            <w:tcW w:w="2547" w:type="dxa"/>
          </w:tcPr>
          <w:p w14:paraId="3CD6A90A" w14:textId="77777777" w:rsidR="002B4569" w:rsidRPr="00DD49B6" w:rsidRDefault="002B4569" w:rsidP="000437B9">
            <w:pPr>
              <w:pStyle w:val="naiskr"/>
              <w:spacing w:before="0" w:after="0"/>
              <w:ind w:left="57" w:right="57"/>
            </w:pPr>
            <w:r w:rsidRPr="00DD49B6">
              <w:t>Sabiedrības mērķgrupas, kuras tiesiskais regulējums ietekmē vai varētu ietekmēt</w:t>
            </w:r>
          </w:p>
        </w:tc>
        <w:tc>
          <w:tcPr>
            <w:tcW w:w="6379" w:type="dxa"/>
          </w:tcPr>
          <w:p w14:paraId="121FB6D5" w14:textId="213B04F2" w:rsidR="002B4569" w:rsidRPr="00DC16E6" w:rsidRDefault="008D0B05" w:rsidP="00301FB2">
            <w:pPr>
              <w:shd w:val="clear" w:color="auto" w:fill="FFFFFF"/>
              <w:ind w:left="57" w:right="57"/>
              <w:jc w:val="both"/>
              <w:rPr>
                <w:lang w:eastAsia="lv-LV"/>
              </w:rPr>
            </w:pPr>
            <w:bookmarkStart w:id="0" w:name="p21"/>
            <w:bookmarkEnd w:id="0"/>
            <w:r w:rsidRPr="008A3221">
              <w:t xml:space="preserve">Atbilstoši </w:t>
            </w:r>
            <w:r w:rsidR="006E463B" w:rsidRPr="008A3221">
              <w:t>Noteikumu Nr.1393 4.punktam, Regulators ar 20</w:t>
            </w:r>
            <w:r w:rsidR="00301FB2">
              <w:t>20</w:t>
            </w:r>
            <w:r w:rsidR="006E463B" w:rsidRPr="008A3221">
              <w:t xml:space="preserve">.gada </w:t>
            </w:r>
            <w:r w:rsidR="00301FB2">
              <w:t>3.septembra</w:t>
            </w:r>
            <w:r w:rsidR="006E463B" w:rsidRPr="008A3221">
              <w:t xml:space="preserve"> vēstuli Nr.2-2.</w:t>
            </w:r>
            <w:r w:rsidR="00301FB2">
              <w:t>33</w:t>
            </w:r>
            <w:r w:rsidR="006E463B" w:rsidRPr="008A3221">
              <w:t>/</w:t>
            </w:r>
            <w:r w:rsidR="00301FB2">
              <w:t>2318</w:t>
            </w:r>
            <w:r w:rsidR="006E463B" w:rsidRPr="008A3221">
              <w:t xml:space="preserve"> ir sniedzis informāciju, ka </w:t>
            </w:r>
            <w:bookmarkStart w:id="1" w:name="_GoBack"/>
            <w:bookmarkEnd w:id="1"/>
            <w:r w:rsidR="006E463B" w:rsidRPr="008A3221">
              <w:t xml:space="preserve">universālo </w:t>
            </w:r>
            <w:r w:rsidR="00CD5826">
              <w:t xml:space="preserve">pasta </w:t>
            </w:r>
            <w:r w:rsidR="006E463B" w:rsidRPr="008A3221">
              <w:t>pakalpojumu ir sniedzis viens pasta komersants</w:t>
            </w:r>
            <w:r w:rsidR="00157924">
              <w:t>, bet</w:t>
            </w:r>
            <w:r w:rsidR="006E463B" w:rsidRPr="008A3221">
              <w:t xml:space="preserve"> universālajam pasta pakalpojumam pielīdzināmos pasta pakalpojumus ir snieguši </w:t>
            </w:r>
            <w:r w:rsidR="00301FB2">
              <w:t>6</w:t>
            </w:r>
            <w:r w:rsidR="006E463B" w:rsidRPr="008A3221">
              <w:t xml:space="preserve"> pasta </w:t>
            </w:r>
            <w:r w:rsidR="004D2D96" w:rsidRPr="008A3221">
              <w:t>komersanti</w:t>
            </w:r>
            <w:r w:rsidR="006E463B" w:rsidRPr="008A3221">
              <w:t>.</w:t>
            </w:r>
          </w:p>
        </w:tc>
      </w:tr>
      <w:tr w:rsidR="002B4569" w:rsidRPr="00DD49B6" w14:paraId="1247624F" w14:textId="77777777" w:rsidTr="00E810F2">
        <w:trPr>
          <w:trHeight w:val="523"/>
        </w:trPr>
        <w:tc>
          <w:tcPr>
            <w:tcW w:w="425" w:type="dxa"/>
          </w:tcPr>
          <w:p w14:paraId="09993E09" w14:textId="77777777" w:rsidR="002B4569" w:rsidRPr="00DD49B6" w:rsidRDefault="002B4569" w:rsidP="000437B9">
            <w:pPr>
              <w:pStyle w:val="naiskr"/>
              <w:spacing w:before="0" w:after="0"/>
              <w:ind w:left="57" w:right="57"/>
              <w:jc w:val="both"/>
            </w:pPr>
            <w:r w:rsidRPr="00DD49B6">
              <w:t>2.</w:t>
            </w:r>
          </w:p>
        </w:tc>
        <w:tc>
          <w:tcPr>
            <w:tcW w:w="2547" w:type="dxa"/>
          </w:tcPr>
          <w:p w14:paraId="56ED8748" w14:textId="77777777" w:rsidR="002B4569" w:rsidRPr="00DD49B6" w:rsidRDefault="002B4569" w:rsidP="000437B9">
            <w:pPr>
              <w:pStyle w:val="naiskr"/>
              <w:spacing w:before="0" w:after="0"/>
              <w:ind w:left="57" w:right="57"/>
            </w:pPr>
            <w:r w:rsidRPr="00DD49B6">
              <w:t>Tiesiskā regulējuma ietekme uz tautsaimniecību un administratīvo slogu</w:t>
            </w:r>
          </w:p>
        </w:tc>
        <w:tc>
          <w:tcPr>
            <w:tcW w:w="6379" w:type="dxa"/>
          </w:tcPr>
          <w:p w14:paraId="4B1F7E91" w14:textId="542FE6C2" w:rsidR="00974262" w:rsidRPr="00DD49B6" w:rsidRDefault="002B4569" w:rsidP="00301FB2">
            <w:pPr>
              <w:shd w:val="clear" w:color="auto" w:fill="FFFFFF"/>
              <w:ind w:left="57" w:right="57"/>
              <w:jc w:val="both"/>
              <w:rPr>
                <w:lang w:eastAsia="lv-LV"/>
              </w:rPr>
            </w:pPr>
            <w:r w:rsidRPr="00B3779C">
              <w:t xml:space="preserve">Projekts </w:t>
            </w:r>
            <w:r w:rsidR="00B3779C" w:rsidRPr="00B3779C">
              <w:t>ne</w:t>
            </w:r>
            <w:r w:rsidR="00B65C7E" w:rsidRPr="00B3779C">
              <w:t xml:space="preserve">rada papildu administratīvo slogu, jo </w:t>
            </w:r>
            <w:proofErr w:type="gramStart"/>
            <w:r w:rsidR="00B65C7E" w:rsidRPr="00B3779C">
              <w:t>20</w:t>
            </w:r>
            <w:r w:rsidR="00974262" w:rsidRPr="00B3779C">
              <w:t>2</w:t>
            </w:r>
            <w:r w:rsidR="00301FB2">
              <w:t>1</w:t>
            </w:r>
            <w:r w:rsidR="00B65C7E" w:rsidRPr="00B3779C">
              <w:t>.gadā</w:t>
            </w:r>
            <w:proofErr w:type="gramEnd"/>
            <w:r w:rsidR="00B65C7E" w:rsidRPr="00B3779C">
              <w:t xml:space="preserve"> maksājamās valsts nodevas likmes apmērs tiek noteikts</w:t>
            </w:r>
            <w:r w:rsidR="00B65C7E" w:rsidRPr="00B65C7E">
              <w:t xml:space="preserve"> </w:t>
            </w:r>
            <w:r w:rsidR="00B3779C">
              <w:t>nulle</w:t>
            </w:r>
            <w:r w:rsidR="00974262">
              <w:t xml:space="preserve"> </w:t>
            </w:r>
            <w:r w:rsidR="00B65C7E" w:rsidRPr="00B65C7E">
              <w:t xml:space="preserve">procentu no </w:t>
            </w:r>
            <w:r w:rsidR="00157924">
              <w:t xml:space="preserve">universālā pakalpojuma un </w:t>
            </w:r>
            <w:r w:rsidR="00B65C7E" w:rsidRPr="00B65C7E">
              <w:t>universālajam pasta pakalpojumam pielīdzināmo pasta pakalpojumu neto apgrozījuma 20</w:t>
            </w:r>
            <w:r w:rsidR="00301FB2">
              <w:t>20</w:t>
            </w:r>
            <w:r w:rsidR="00B65C7E" w:rsidRPr="00B65C7E">
              <w:t>.gadā</w:t>
            </w:r>
            <w:r w:rsidR="00B65C7E">
              <w:t>.</w:t>
            </w:r>
            <w:r w:rsidR="00E810F2">
              <w:t xml:space="preserve"> </w:t>
            </w:r>
            <w:r w:rsidR="00B65C7E">
              <w:t>Projekt</w:t>
            </w:r>
            <w:r w:rsidR="00FC3C77">
              <w:t xml:space="preserve">s nodrošina </w:t>
            </w:r>
            <w:r w:rsidR="00B65C7E" w:rsidRPr="00B65C7E">
              <w:t>Pasta likuma 31.</w:t>
            </w:r>
            <w:r w:rsidR="00B65C7E" w:rsidRPr="00B65C7E">
              <w:rPr>
                <w:vertAlign w:val="superscript"/>
              </w:rPr>
              <w:t>2</w:t>
            </w:r>
            <w:r w:rsidR="00B65C7E" w:rsidRPr="00B65C7E">
              <w:t xml:space="preserve"> panta ceturtaj</w:t>
            </w:r>
            <w:r w:rsidR="00B65C7E">
              <w:t>ā daļā paredzētā uzdevuma izpild</w:t>
            </w:r>
            <w:r w:rsidR="00FC3C77">
              <w:t>i</w:t>
            </w:r>
            <w:r w:rsidR="00B65C7E">
              <w:t xml:space="preserve">. </w:t>
            </w:r>
          </w:p>
        </w:tc>
      </w:tr>
      <w:tr w:rsidR="002B4569" w:rsidRPr="00DD49B6" w14:paraId="65D7CED6" w14:textId="77777777" w:rsidTr="00E810F2">
        <w:trPr>
          <w:trHeight w:val="523"/>
        </w:trPr>
        <w:tc>
          <w:tcPr>
            <w:tcW w:w="425" w:type="dxa"/>
          </w:tcPr>
          <w:p w14:paraId="57933E2D" w14:textId="77777777" w:rsidR="002B4569" w:rsidRPr="00DD49B6" w:rsidRDefault="002B4569" w:rsidP="000437B9">
            <w:pPr>
              <w:pStyle w:val="naiskr"/>
              <w:spacing w:before="0" w:after="0"/>
              <w:ind w:left="57" w:right="57"/>
              <w:jc w:val="both"/>
            </w:pPr>
            <w:r w:rsidRPr="00DD49B6">
              <w:t>3.</w:t>
            </w:r>
          </w:p>
        </w:tc>
        <w:tc>
          <w:tcPr>
            <w:tcW w:w="2547" w:type="dxa"/>
          </w:tcPr>
          <w:p w14:paraId="46C51725" w14:textId="77777777" w:rsidR="002B4569" w:rsidRPr="00DD49B6" w:rsidRDefault="002B4569" w:rsidP="000437B9">
            <w:pPr>
              <w:pStyle w:val="naiskr"/>
              <w:spacing w:before="0" w:after="0"/>
              <w:ind w:left="57" w:right="57"/>
            </w:pPr>
            <w:r w:rsidRPr="00DD49B6">
              <w:t>Administratīvo izmaksu monetārs novērtējums</w:t>
            </w:r>
          </w:p>
        </w:tc>
        <w:tc>
          <w:tcPr>
            <w:tcW w:w="6379" w:type="dxa"/>
          </w:tcPr>
          <w:p w14:paraId="1215B545" w14:textId="77777777" w:rsidR="002B4569" w:rsidRPr="00DD49B6" w:rsidRDefault="002B4569" w:rsidP="000437B9">
            <w:pPr>
              <w:shd w:val="clear" w:color="auto" w:fill="FFFFFF"/>
              <w:ind w:left="57" w:right="57"/>
              <w:rPr>
                <w:lang w:eastAsia="lv-LV"/>
              </w:rPr>
            </w:pPr>
            <w:r>
              <w:t>Projekts šo jomu neskar</w:t>
            </w:r>
            <w:r w:rsidR="00697F4D">
              <w:t>.</w:t>
            </w:r>
          </w:p>
        </w:tc>
      </w:tr>
      <w:tr w:rsidR="00E810F2" w:rsidRPr="00DD49B6" w14:paraId="4B31D7EF" w14:textId="77777777" w:rsidTr="00E810F2">
        <w:trPr>
          <w:trHeight w:val="523"/>
        </w:trPr>
        <w:tc>
          <w:tcPr>
            <w:tcW w:w="425" w:type="dxa"/>
          </w:tcPr>
          <w:p w14:paraId="47F6501F" w14:textId="72C7A99E" w:rsidR="00E810F2" w:rsidRPr="00DD49B6" w:rsidRDefault="00E810F2" w:rsidP="000437B9">
            <w:pPr>
              <w:pStyle w:val="naiskr"/>
              <w:spacing w:before="0" w:after="0"/>
              <w:ind w:left="57" w:right="57"/>
              <w:jc w:val="both"/>
            </w:pPr>
            <w:r>
              <w:t>4.</w:t>
            </w:r>
          </w:p>
        </w:tc>
        <w:tc>
          <w:tcPr>
            <w:tcW w:w="2547" w:type="dxa"/>
          </w:tcPr>
          <w:p w14:paraId="4F6C9791" w14:textId="71A213ED" w:rsidR="00E810F2" w:rsidRPr="00DD49B6" w:rsidRDefault="00E810F2" w:rsidP="000437B9">
            <w:pPr>
              <w:pStyle w:val="naiskr"/>
              <w:spacing w:before="0" w:after="0"/>
              <w:ind w:left="57" w:right="57"/>
            </w:pPr>
            <w:r w:rsidRPr="00E810F2">
              <w:t>Atbilstības izmaksu monetārs novērtējums</w:t>
            </w:r>
          </w:p>
        </w:tc>
        <w:tc>
          <w:tcPr>
            <w:tcW w:w="6379" w:type="dxa"/>
          </w:tcPr>
          <w:p w14:paraId="13FF7B82" w14:textId="16F56448" w:rsidR="00E810F2" w:rsidRDefault="001A6BD2" w:rsidP="000437B9">
            <w:pPr>
              <w:shd w:val="clear" w:color="auto" w:fill="FFFFFF"/>
              <w:ind w:left="57" w:right="57"/>
            </w:pPr>
            <w:r>
              <w:t>Projekts šo jomu neskar.</w:t>
            </w:r>
          </w:p>
        </w:tc>
      </w:tr>
      <w:tr w:rsidR="002B4569" w:rsidRPr="00DD49B6" w14:paraId="7AEB6C69" w14:textId="77777777" w:rsidTr="00E810F2">
        <w:trPr>
          <w:trHeight w:val="357"/>
        </w:trPr>
        <w:tc>
          <w:tcPr>
            <w:tcW w:w="425" w:type="dxa"/>
          </w:tcPr>
          <w:p w14:paraId="2326DF7B" w14:textId="065CF351" w:rsidR="002B4569" w:rsidRPr="00DD49B6" w:rsidRDefault="00E810F2" w:rsidP="000437B9">
            <w:pPr>
              <w:pStyle w:val="naiskr"/>
              <w:spacing w:before="0" w:after="0"/>
              <w:ind w:left="57" w:right="57"/>
              <w:jc w:val="both"/>
            </w:pPr>
            <w:r>
              <w:t>5</w:t>
            </w:r>
            <w:r w:rsidR="002B4569" w:rsidRPr="00DD49B6">
              <w:t>.</w:t>
            </w:r>
          </w:p>
        </w:tc>
        <w:tc>
          <w:tcPr>
            <w:tcW w:w="2547" w:type="dxa"/>
          </w:tcPr>
          <w:p w14:paraId="25582F34" w14:textId="77777777" w:rsidR="002B4569" w:rsidRPr="00DD49B6" w:rsidRDefault="002B4569" w:rsidP="000437B9">
            <w:pPr>
              <w:pStyle w:val="naiskr"/>
              <w:spacing w:before="0" w:after="0"/>
              <w:ind w:left="57" w:right="57"/>
            </w:pPr>
            <w:r w:rsidRPr="00DD49B6">
              <w:t>Cita informācija</w:t>
            </w:r>
          </w:p>
        </w:tc>
        <w:tc>
          <w:tcPr>
            <w:tcW w:w="6379" w:type="dxa"/>
          </w:tcPr>
          <w:p w14:paraId="4317963D" w14:textId="77777777" w:rsidR="002B4569" w:rsidRPr="00DD49B6" w:rsidRDefault="002B4569" w:rsidP="000437B9">
            <w:pPr>
              <w:shd w:val="clear" w:color="auto" w:fill="FFFFFF"/>
              <w:ind w:left="57" w:right="57"/>
              <w:rPr>
                <w:lang w:eastAsia="lv-LV"/>
              </w:rPr>
            </w:pPr>
            <w:r>
              <w:t>Nav</w:t>
            </w:r>
            <w:r w:rsidR="00697F4D">
              <w:t>.</w:t>
            </w:r>
          </w:p>
        </w:tc>
      </w:tr>
    </w:tbl>
    <w:p w14:paraId="34AAF893" w14:textId="77777777" w:rsidR="00A34666" w:rsidRDefault="00A34666" w:rsidP="000437B9">
      <w:pPr>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1"/>
      </w:tblGrid>
      <w:tr w:rsidR="003C143A" w:rsidRPr="003C143A" w14:paraId="3BAB3D2B" w14:textId="77777777" w:rsidTr="00E810F2">
        <w:trPr>
          <w:trHeight w:val="421"/>
          <w:jc w:val="center"/>
        </w:trPr>
        <w:tc>
          <w:tcPr>
            <w:tcW w:w="9351" w:type="dxa"/>
            <w:vAlign w:val="center"/>
          </w:tcPr>
          <w:p w14:paraId="1E0EDFC5" w14:textId="77777777" w:rsidR="003C143A" w:rsidRPr="003C143A" w:rsidRDefault="003C143A" w:rsidP="000437B9">
            <w:pPr>
              <w:pStyle w:val="naisnod"/>
              <w:spacing w:before="0" w:after="0"/>
              <w:ind w:left="57" w:right="57"/>
            </w:pPr>
            <w:r w:rsidRPr="003C143A">
              <w:t>III. Tiesību akta projekta ietekme uz valsts budžetu un pašvaldību budžetiem</w:t>
            </w:r>
          </w:p>
        </w:tc>
      </w:tr>
      <w:tr w:rsidR="003C143A" w:rsidRPr="00DD49B6" w14:paraId="13F004E0" w14:textId="77777777" w:rsidTr="00E810F2">
        <w:trPr>
          <w:trHeight w:val="421"/>
          <w:jc w:val="center"/>
        </w:trPr>
        <w:tc>
          <w:tcPr>
            <w:tcW w:w="9351" w:type="dxa"/>
            <w:vAlign w:val="center"/>
          </w:tcPr>
          <w:p w14:paraId="335661BB" w14:textId="77777777" w:rsidR="003C143A" w:rsidRPr="003C143A" w:rsidRDefault="003C143A" w:rsidP="000437B9">
            <w:pPr>
              <w:pStyle w:val="naisnod"/>
              <w:spacing w:before="0" w:after="0"/>
              <w:ind w:left="57" w:right="57"/>
              <w:rPr>
                <w:b w:val="0"/>
              </w:rPr>
            </w:pPr>
            <w:r w:rsidRPr="003C143A">
              <w:rPr>
                <w:b w:val="0"/>
              </w:rPr>
              <w:t>Projekts šo jomu neskar.</w:t>
            </w:r>
          </w:p>
        </w:tc>
      </w:tr>
    </w:tbl>
    <w:p w14:paraId="79F7B2DA" w14:textId="77777777" w:rsidR="00A34666" w:rsidRDefault="00A34666" w:rsidP="000437B9">
      <w:pPr>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1"/>
      </w:tblGrid>
      <w:tr w:rsidR="003C143A" w:rsidRPr="00DD49B6" w14:paraId="33728AF0" w14:textId="77777777" w:rsidTr="00E810F2">
        <w:trPr>
          <w:trHeight w:val="421"/>
          <w:jc w:val="center"/>
        </w:trPr>
        <w:tc>
          <w:tcPr>
            <w:tcW w:w="9351" w:type="dxa"/>
            <w:vAlign w:val="center"/>
          </w:tcPr>
          <w:p w14:paraId="2E955F37" w14:textId="77777777" w:rsidR="003C143A" w:rsidRPr="00DD49B6" w:rsidRDefault="003C143A" w:rsidP="000437B9">
            <w:pPr>
              <w:pStyle w:val="naisnod"/>
              <w:spacing w:before="0" w:after="0"/>
              <w:ind w:left="57" w:right="57"/>
            </w:pPr>
            <w:r>
              <w:t>IV</w:t>
            </w:r>
            <w:r w:rsidRPr="00DD49B6">
              <w:t xml:space="preserve">. </w:t>
            </w:r>
            <w:r w:rsidRPr="003C143A">
              <w:t>Tiesību akta projekta ietekme uz spēkā esošo tiesību normu sistēmu</w:t>
            </w:r>
          </w:p>
        </w:tc>
      </w:tr>
      <w:tr w:rsidR="003C143A" w:rsidRPr="00DD49B6" w14:paraId="217B74F0" w14:textId="77777777" w:rsidTr="00E810F2">
        <w:trPr>
          <w:trHeight w:val="421"/>
          <w:jc w:val="center"/>
        </w:trPr>
        <w:tc>
          <w:tcPr>
            <w:tcW w:w="9351" w:type="dxa"/>
            <w:vAlign w:val="center"/>
          </w:tcPr>
          <w:p w14:paraId="4C48D761" w14:textId="77777777" w:rsidR="003C143A" w:rsidRPr="003C143A" w:rsidRDefault="003C143A" w:rsidP="000437B9">
            <w:pPr>
              <w:pStyle w:val="naisnod"/>
              <w:spacing w:before="0" w:after="0"/>
              <w:ind w:left="57" w:right="57"/>
              <w:rPr>
                <w:b w:val="0"/>
              </w:rPr>
            </w:pPr>
            <w:r w:rsidRPr="003C143A">
              <w:rPr>
                <w:b w:val="0"/>
              </w:rPr>
              <w:t>Projekts šo jomu neskar.</w:t>
            </w:r>
          </w:p>
        </w:tc>
      </w:tr>
    </w:tbl>
    <w:p w14:paraId="1841E6B8" w14:textId="77777777" w:rsidR="00A34666" w:rsidRDefault="00A34666" w:rsidP="000437B9">
      <w:pPr>
        <w:rPr>
          <w:color w:val="000000"/>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02"/>
      </w:tblGrid>
      <w:tr w:rsidR="003C143A" w:rsidRPr="00DD49B6" w14:paraId="40341941" w14:textId="77777777" w:rsidTr="000437B9">
        <w:trPr>
          <w:trHeight w:val="421"/>
          <w:jc w:val="center"/>
        </w:trPr>
        <w:tc>
          <w:tcPr>
            <w:tcW w:w="9302" w:type="dxa"/>
            <w:vAlign w:val="center"/>
          </w:tcPr>
          <w:p w14:paraId="333CD7EB" w14:textId="77777777" w:rsidR="003C143A" w:rsidRPr="00DD49B6" w:rsidRDefault="003C143A" w:rsidP="000437B9">
            <w:pPr>
              <w:pStyle w:val="naisnod"/>
              <w:spacing w:before="0" w:after="0"/>
              <w:ind w:left="57" w:right="57"/>
            </w:pPr>
            <w:r>
              <w:t>V</w:t>
            </w:r>
            <w:r w:rsidRPr="00DD49B6">
              <w:t xml:space="preserve">. </w:t>
            </w:r>
            <w:r w:rsidR="00A34666" w:rsidRPr="00A34666">
              <w:t>Tiesību akta projekta atbilstība Latvijas Republikas starptautiskajām saistībām</w:t>
            </w:r>
          </w:p>
        </w:tc>
      </w:tr>
      <w:tr w:rsidR="003C143A" w:rsidRPr="00DD49B6" w14:paraId="52227AEF" w14:textId="77777777" w:rsidTr="000437B9">
        <w:trPr>
          <w:trHeight w:val="421"/>
          <w:jc w:val="center"/>
        </w:trPr>
        <w:tc>
          <w:tcPr>
            <w:tcW w:w="9302" w:type="dxa"/>
            <w:vAlign w:val="center"/>
          </w:tcPr>
          <w:p w14:paraId="29B9A603" w14:textId="77777777" w:rsidR="003C143A" w:rsidRPr="003C143A" w:rsidRDefault="003C143A" w:rsidP="000437B9">
            <w:pPr>
              <w:pStyle w:val="naisnod"/>
              <w:spacing w:before="0" w:after="0"/>
              <w:ind w:left="57" w:right="57"/>
              <w:rPr>
                <w:b w:val="0"/>
              </w:rPr>
            </w:pPr>
            <w:r w:rsidRPr="003C143A">
              <w:rPr>
                <w:b w:val="0"/>
              </w:rPr>
              <w:t>Projekts šo jomu neskar.</w:t>
            </w:r>
          </w:p>
        </w:tc>
      </w:tr>
    </w:tbl>
    <w:p w14:paraId="2D81486E" w14:textId="70589965" w:rsidR="007A1283" w:rsidRDefault="00D23EF1" w:rsidP="000437B9">
      <w:pPr>
        <w:suppressAutoHyphens w:val="0"/>
        <w:rPr>
          <w:lang w:eastAsia="lv-LV"/>
        </w:rPr>
      </w:pPr>
      <w:r w:rsidRPr="00D166EA">
        <w:rPr>
          <w:lang w:eastAsia="lv-LV"/>
        </w:rPr>
        <w:t> </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2764"/>
        <w:gridCol w:w="6187"/>
      </w:tblGrid>
      <w:tr w:rsidR="002B4569" w:rsidRPr="00DD49B6" w14:paraId="31635271" w14:textId="77777777" w:rsidTr="00F67BA8">
        <w:trPr>
          <w:trHeight w:val="421"/>
          <w:jc w:val="center"/>
        </w:trPr>
        <w:tc>
          <w:tcPr>
            <w:tcW w:w="9377" w:type="dxa"/>
            <w:gridSpan w:val="3"/>
            <w:vAlign w:val="center"/>
          </w:tcPr>
          <w:p w14:paraId="53C46BAB" w14:textId="77777777" w:rsidR="002B4569" w:rsidRPr="00DD49B6" w:rsidRDefault="002B4569" w:rsidP="000437B9">
            <w:pPr>
              <w:pStyle w:val="naisnod"/>
              <w:spacing w:before="0" w:after="0"/>
              <w:ind w:left="57" w:right="57"/>
            </w:pPr>
            <w:r w:rsidRPr="00DD49B6">
              <w:t>VI. Sabiedrības līdzdalība un komunikācijas aktivitātes</w:t>
            </w:r>
          </w:p>
        </w:tc>
      </w:tr>
      <w:tr w:rsidR="002B4569" w:rsidRPr="00DD49B6" w14:paraId="5451B86E" w14:textId="77777777" w:rsidTr="00F67BA8">
        <w:trPr>
          <w:trHeight w:val="553"/>
          <w:jc w:val="center"/>
        </w:trPr>
        <w:tc>
          <w:tcPr>
            <w:tcW w:w="426" w:type="dxa"/>
          </w:tcPr>
          <w:p w14:paraId="4A5E924A" w14:textId="77777777" w:rsidR="002B4569" w:rsidRPr="00DD49B6" w:rsidRDefault="002B4569" w:rsidP="000437B9">
            <w:pPr>
              <w:ind w:left="57" w:right="57"/>
              <w:jc w:val="both"/>
              <w:rPr>
                <w:bCs/>
              </w:rPr>
            </w:pPr>
            <w:r w:rsidRPr="00DD49B6">
              <w:rPr>
                <w:bCs/>
              </w:rPr>
              <w:lastRenderedPageBreak/>
              <w:t>1.</w:t>
            </w:r>
          </w:p>
        </w:tc>
        <w:tc>
          <w:tcPr>
            <w:tcW w:w="2764" w:type="dxa"/>
          </w:tcPr>
          <w:p w14:paraId="291F0789" w14:textId="77777777" w:rsidR="002B4569" w:rsidRPr="00DD49B6" w:rsidRDefault="002B4569" w:rsidP="000437B9">
            <w:pPr>
              <w:tabs>
                <w:tab w:val="left" w:pos="170"/>
              </w:tabs>
              <w:ind w:left="57" w:right="57"/>
              <w:rPr>
                <w:lang w:eastAsia="lv-LV"/>
              </w:rPr>
            </w:pPr>
            <w:r w:rsidRPr="00DD49B6">
              <w:rPr>
                <w:lang w:eastAsia="lv-LV"/>
              </w:rPr>
              <w:t>Plānotās sabiedrības līdzdalības un komunikācijas aktivitātes saistībā ar projektu</w:t>
            </w:r>
          </w:p>
        </w:tc>
        <w:tc>
          <w:tcPr>
            <w:tcW w:w="6187" w:type="dxa"/>
          </w:tcPr>
          <w:p w14:paraId="0E76AF6F" w14:textId="6B5B4484" w:rsidR="00974262" w:rsidRDefault="00974262" w:rsidP="00974262">
            <w:pPr>
              <w:shd w:val="clear" w:color="auto" w:fill="FFFFFF"/>
              <w:ind w:left="169"/>
              <w:jc w:val="both"/>
              <w:rPr>
                <w:lang w:eastAsia="lv-LV"/>
              </w:rPr>
            </w:pPr>
            <w:bookmarkStart w:id="2" w:name="p61"/>
            <w:bookmarkEnd w:id="2"/>
            <w:r w:rsidRPr="00E413C3">
              <w:rPr>
                <w:lang w:eastAsia="lv-LV"/>
              </w:rPr>
              <w:t xml:space="preserve">Atbilstoši Ministru kabineta </w:t>
            </w:r>
            <w:proofErr w:type="gramStart"/>
            <w:r w:rsidRPr="00E413C3">
              <w:rPr>
                <w:lang w:eastAsia="lv-LV"/>
              </w:rPr>
              <w:t>2009.gada</w:t>
            </w:r>
            <w:proofErr w:type="gramEnd"/>
            <w:r w:rsidRPr="00E413C3">
              <w:rPr>
                <w:lang w:eastAsia="lv-LV"/>
              </w:rPr>
              <w:t xml:space="preserve"> 25.augusta noteikumiem Nr.970 „Sabiedrības līdzdalības kārtība attīstības plānošanas procesā” 7.4.</w:t>
            </w:r>
            <w:r w:rsidRPr="00E413C3">
              <w:rPr>
                <w:vertAlign w:val="superscript"/>
                <w:lang w:eastAsia="lv-LV"/>
              </w:rPr>
              <w:t>1</w:t>
            </w:r>
            <w:r w:rsidRPr="00E413C3">
              <w:rPr>
                <w:lang w:eastAsia="lv-LV"/>
              </w:rPr>
              <w:t xml:space="preserve"> apakšpunktu sabiedrībai tik</w:t>
            </w:r>
            <w:r w:rsidR="00567B93">
              <w:rPr>
                <w:lang w:eastAsia="lv-LV"/>
              </w:rPr>
              <w:t>a</w:t>
            </w:r>
            <w:r w:rsidRPr="00E413C3">
              <w:rPr>
                <w:lang w:eastAsia="lv-LV"/>
              </w:rPr>
              <w:t xml:space="preserve"> dota iespēja rakstiski sniegt viedokli par noteikumu projektu tā izstrādes stadijā.</w:t>
            </w:r>
          </w:p>
          <w:p w14:paraId="2670E6C4" w14:textId="59A9C019" w:rsidR="002B4569" w:rsidRPr="00DD49B6" w:rsidRDefault="002B4569" w:rsidP="000437B9">
            <w:pPr>
              <w:shd w:val="clear" w:color="auto" w:fill="FFFFFF"/>
              <w:ind w:left="169" w:right="85"/>
              <w:jc w:val="both"/>
              <w:rPr>
                <w:lang w:eastAsia="lv-LV"/>
              </w:rPr>
            </w:pPr>
          </w:p>
        </w:tc>
      </w:tr>
      <w:tr w:rsidR="002B4569" w:rsidRPr="00DD49B6" w14:paraId="40892EB9" w14:textId="77777777" w:rsidTr="00F67BA8">
        <w:trPr>
          <w:trHeight w:val="339"/>
          <w:jc w:val="center"/>
        </w:trPr>
        <w:tc>
          <w:tcPr>
            <w:tcW w:w="426" w:type="dxa"/>
          </w:tcPr>
          <w:p w14:paraId="5E1D3BE3" w14:textId="77777777" w:rsidR="002B4569" w:rsidRPr="00DD49B6" w:rsidRDefault="002B4569" w:rsidP="000437B9">
            <w:pPr>
              <w:ind w:left="57" w:right="57"/>
              <w:jc w:val="both"/>
              <w:rPr>
                <w:bCs/>
              </w:rPr>
            </w:pPr>
            <w:r w:rsidRPr="00DD49B6">
              <w:rPr>
                <w:bCs/>
              </w:rPr>
              <w:t>2.</w:t>
            </w:r>
          </w:p>
        </w:tc>
        <w:tc>
          <w:tcPr>
            <w:tcW w:w="2764" w:type="dxa"/>
          </w:tcPr>
          <w:p w14:paraId="228F4AD5" w14:textId="77777777" w:rsidR="002B4569" w:rsidRPr="00DD49B6" w:rsidRDefault="002B4569" w:rsidP="000437B9">
            <w:pPr>
              <w:ind w:left="57" w:right="57"/>
              <w:rPr>
                <w:lang w:eastAsia="lv-LV"/>
              </w:rPr>
            </w:pPr>
            <w:r w:rsidRPr="00DD49B6">
              <w:rPr>
                <w:lang w:eastAsia="lv-LV"/>
              </w:rPr>
              <w:t>Sabiedrības līdzdalība projekta izstrādē</w:t>
            </w:r>
          </w:p>
        </w:tc>
        <w:tc>
          <w:tcPr>
            <w:tcW w:w="6187" w:type="dxa"/>
          </w:tcPr>
          <w:p w14:paraId="6449E045" w14:textId="14C4BF2C" w:rsidR="00974262" w:rsidRDefault="00974262" w:rsidP="000437B9">
            <w:pPr>
              <w:shd w:val="clear" w:color="auto" w:fill="FFFFFF"/>
              <w:ind w:left="169"/>
              <w:jc w:val="both"/>
              <w:rPr>
                <w:lang w:eastAsia="lv-LV"/>
              </w:rPr>
            </w:pPr>
            <w:bookmarkStart w:id="3" w:name="p62"/>
            <w:bookmarkEnd w:id="3"/>
            <w:r w:rsidRPr="00D30EEA">
              <w:rPr>
                <w:lang w:eastAsia="lv-LV"/>
              </w:rPr>
              <w:t xml:space="preserve">Paziņojums par līdzdalības iespējām tiesību akta izstrādes procesā </w:t>
            </w:r>
            <w:r w:rsidR="00567B93">
              <w:rPr>
                <w:lang w:eastAsia="lv-LV"/>
              </w:rPr>
              <w:t>tika</w:t>
            </w:r>
            <w:r>
              <w:rPr>
                <w:lang w:eastAsia="lv-LV"/>
              </w:rPr>
              <w:t xml:space="preserve"> </w:t>
            </w:r>
            <w:r w:rsidRPr="00D30EEA">
              <w:rPr>
                <w:lang w:eastAsia="lv-LV"/>
              </w:rPr>
              <w:t>ievietots Satiksmes ministrijas tīmekļa vietnē</w:t>
            </w:r>
            <w:proofErr w:type="gramStart"/>
            <w:r w:rsidR="00301FB2">
              <w:rPr>
                <w:lang w:eastAsia="lv-LV"/>
              </w:rPr>
              <w:t xml:space="preserve">   </w:t>
            </w:r>
            <w:r w:rsidRPr="00D30EEA">
              <w:rPr>
                <w:lang w:eastAsia="lv-LV"/>
              </w:rPr>
              <w:t xml:space="preserve"> </w:t>
            </w:r>
            <w:r w:rsidR="00301FB2">
              <w:rPr>
                <w:lang w:eastAsia="lv-LV"/>
              </w:rPr>
              <w:t xml:space="preserve">     </w:t>
            </w:r>
            <w:proofErr w:type="gramEnd"/>
            <w:hyperlink r:id="rId7" w:history="1">
              <w:r w:rsidR="00301FB2" w:rsidRPr="00CB2363">
                <w:rPr>
                  <w:rStyle w:val="Hyperlink"/>
                  <w:lang w:eastAsia="lv-LV"/>
                </w:rPr>
                <w:t>https://www.sam.gov.lv/lv/izstrade-esosie-attistibas-planosanas-dokumenti-un-tiesibu-akti</w:t>
              </w:r>
            </w:hyperlink>
            <w:r w:rsidR="00301FB2">
              <w:rPr>
                <w:lang w:eastAsia="lv-LV"/>
              </w:rPr>
              <w:t xml:space="preserve"> </w:t>
            </w:r>
            <w:r w:rsidRPr="00A770FA">
              <w:rPr>
                <w:lang w:eastAsia="lv-LV"/>
              </w:rPr>
              <w:t>20</w:t>
            </w:r>
            <w:r w:rsidR="00301FB2">
              <w:rPr>
                <w:lang w:eastAsia="lv-LV"/>
              </w:rPr>
              <w:t>20</w:t>
            </w:r>
            <w:r w:rsidRPr="00A770FA">
              <w:rPr>
                <w:lang w:eastAsia="lv-LV"/>
              </w:rPr>
              <w:t xml:space="preserve">.gada </w:t>
            </w:r>
            <w:r w:rsidR="00301FB2">
              <w:rPr>
                <w:lang w:eastAsia="lv-LV"/>
              </w:rPr>
              <w:t>20</w:t>
            </w:r>
            <w:r w:rsidRPr="00A770FA">
              <w:rPr>
                <w:lang w:eastAsia="lv-LV"/>
              </w:rPr>
              <w:t>.</w:t>
            </w:r>
            <w:r w:rsidR="00A770FA" w:rsidRPr="00A770FA">
              <w:rPr>
                <w:lang w:eastAsia="lv-LV"/>
              </w:rPr>
              <w:t>novembrī</w:t>
            </w:r>
            <w:r w:rsidRPr="00A770FA">
              <w:rPr>
                <w:lang w:eastAsia="lv-LV"/>
              </w:rPr>
              <w:t>.</w:t>
            </w:r>
          </w:p>
          <w:p w14:paraId="6E369F46" w14:textId="350036FA" w:rsidR="00974262" w:rsidRPr="00DD49B6" w:rsidRDefault="00974262" w:rsidP="000437B9">
            <w:pPr>
              <w:shd w:val="clear" w:color="auto" w:fill="FFFFFF"/>
              <w:ind w:left="169"/>
              <w:jc w:val="both"/>
              <w:rPr>
                <w:lang w:eastAsia="lv-LV"/>
              </w:rPr>
            </w:pPr>
          </w:p>
        </w:tc>
      </w:tr>
      <w:tr w:rsidR="002B4569" w:rsidRPr="00DD49B6" w14:paraId="6E7A2FC3" w14:textId="77777777" w:rsidTr="00F67BA8">
        <w:trPr>
          <w:trHeight w:val="476"/>
          <w:jc w:val="center"/>
        </w:trPr>
        <w:tc>
          <w:tcPr>
            <w:tcW w:w="426" w:type="dxa"/>
          </w:tcPr>
          <w:p w14:paraId="69D2576E" w14:textId="77777777" w:rsidR="002B4569" w:rsidRPr="00DD49B6" w:rsidRDefault="002B4569" w:rsidP="000437B9">
            <w:pPr>
              <w:ind w:left="57" w:right="57"/>
              <w:jc w:val="both"/>
              <w:rPr>
                <w:bCs/>
              </w:rPr>
            </w:pPr>
            <w:r w:rsidRPr="00DD49B6">
              <w:rPr>
                <w:bCs/>
              </w:rPr>
              <w:t>3.</w:t>
            </w:r>
          </w:p>
        </w:tc>
        <w:tc>
          <w:tcPr>
            <w:tcW w:w="2764" w:type="dxa"/>
          </w:tcPr>
          <w:p w14:paraId="45710A33" w14:textId="77777777" w:rsidR="002B4569" w:rsidRPr="00DD49B6" w:rsidRDefault="002B4569" w:rsidP="000437B9">
            <w:pPr>
              <w:ind w:left="57" w:right="57"/>
              <w:rPr>
                <w:lang w:eastAsia="lv-LV"/>
              </w:rPr>
            </w:pPr>
            <w:r w:rsidRPr="00DD49B6">
              <w:rPr>
                <w:lang w:eastAsia="lv-LV"/>
              </w:rPr>
              <w:t>Sabiedrības līdzdalības rezultāti</w:t>
            </w:r>
          </w:p>
        </w:tc>
        <w:tc>
          <w:tcPr>
            <w:tcW w:w="6187" w:type="dxa"/>
          </w:tcPr>
          <w:p w14:paraId="1CA12E4E" w14:textId="22D62256" w:rsidR="002B4569" w:rsidRPr="00DD49B6" w:rsidRDefault="00301FB2" w:rsidP="000437B9">
            <w:pPr>
              <w:shd w:val="clear" w:color="auto" w:fill="FFFFFF"/>
              <w:ind w:left="169"/>
              <w:jc w:val="both"/>
              <w:rPr>
                <w:lang w:eastAsia="lv-LV"/>
              </w:rPr>
            </w:pPr>
            <w:r>
              <w:t>Tiks papildināts</w:t>
            </w:r>
            <w:r w:rsidR="00567B93">
              <w:t>.</w:t>
            </w:r>
          </w:p>
        </w:tc>
      </w:tr>
      <w:tr w:rsidR="002B4569" w:rsidRPr="00DD49B6" w14:paraId="18C2FA85" w14:textId="77777777" w:rsidTr="00F67BA8">
        <w:trPr>
          <w:trHeight w:val="476"/>
          <w:jc w:val="center"/>
        </w:trPr>
        <w:tc>
          <w:tcPr>
            <w:tcW w:w="426" w:type="dxa"/>
          </w:tcPr>
          <w:p w14:paraId="60874C57" w14:textId="77777777" w:rsidR="002B4569" w:rsidRPr="00DD49B6" w:rsidRDefault="002B4569" w:rsidP="000437B9">
            <w:pPr>
              <w:ind w:left="57" w:right="57"/>
              <w:jc w:val="both"/>
              <w:rPr>
                <w:bCs/>
              </w:rPr>
            </w:pPr>
            <w:r w:rsidRPr="00DD49B6">
              <w:rPr>
                <w:bCs/>
              </w:rPr>
              <w:t>4.</w:t>
            </w:r>
          </w:p>
        </w:tc>
        <w:tc>
          <w:tcPr>
            <w:tcW w:w="2764" w:type="dxa"/>
          </w:tcPr>
          <w:p w14:paraId="4188933A" w14:textId="77777777" w:rsidR="002B4569" w:rsidRPr="00DD49B6" w:rsidRDefault="002B4569" w:rsidP="000437B9">
            <w:pPr>
              <w:ind w:left="57" w:right="57"/>
              <w:rPr>
                <w:lang w:eastAsia="lv-LV"/>
              </w:rPr>
            </w:pPr>
            <w:r w:rsidRPr="00DD49B6">
              <w:rPr>
                <w:lang w:eastAsia="lv-LV"/>
              </w:rPr>
              <w:t>Cita informācija</w:t>
            </w:r>
          </w:p>
        </w:tc>
        <w:tc>
          <w:tcPr>
            <w:tcW w:w="6187" w:type="dxa"/>
          </w:tcPr>
          <w:p w14:paraId="2F84E7F2" w14:textId="77777777" w:rsidR="002B4569" w:rsidRPr="00DD49B6" w:rsidRDefault="00D74F0F" w:rsidP="000437B9">
            <w:pPr>
              <w:ind w:left="169" w:right="57"/>
              <w:jc w:val="both"/>
              <w:rPr>
                <w:lang w:eastAsia="lv-LV"/>
              </w:rPr>
            </w:pPr>
            <w:r>
              <w:rPr>
                <w:lang w:eastAsia="lv-LV"/>
              </w:rPr>
              <w:t>Nav.</w:t>
            </w:r>
          </w:p>
        </w:tc>
      </w:tr>
    </w:tbl>
    <w:p w14:paraId="0B117E5C" w14:textId="77777777" w:rsidR="00A34666" w:rsidRDefault="00A34666" w:rsidP="000437B9">
      <w:pPr>
        <w:suppressAutoHyphens w:val="0"/>
        <w:rPr>
          <w:iCs/>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6"/>
      </w:tblGrid>
      <w:tr w:rsidR="00A34666" w:rsidRPr="00DD49B6" w14:paraId="0142A8D9" w14:textId="77777777" w:rsidTr="00F67BA8">
        <w:trPr>
          <w:trHeight w:val="421"/>
          <w:jc w:val="center"/>
        </w:trPr>
        <w:tc>
          <w:tcPr>
            <w:tcW w:w="9396" w:type="dxa"/>
            <w:vAlign w:val="center"/>
          </w:tcPr>
          <w:p w14:paraId="3929522F" w14:textId="77777777" w:rsidR="00A34666" w:rsidRPr="00DD49B6" w:rsidRDefault="00A34666" w:rsidP="000437B9">
            <w:pPr>
              <w:pStyle w:val="naisnod"/>
              <w:spacing w:before="0" w:after="0"/>
              <w:ind w:left="57" w:right="57"/>
            </w:pPr>
            <w:r>
              <w:t>VII</w:t>
            </w:r>
            <w:r w:rsidRPr="00DD49B6">
              <w:t>.</w:t>
            </w:r>
            <w:r>
              <w:t xml:space="preserve"> </w:t>
            </w:r>
            <w:r w:rsidRPr="00A34666">
              <w:t>Tiesību akta projekta izpildes nodrošināšana un tās ietekme uz institūcijām</w:t>
            </w:r>
            <w:r w:rsidRPr="00DD49B6">
              <w:t xml:space="preserve"> </w:t>
            </w:r>
          </w:p>
        </w:tc>
      </w:tr>
      <w:tr w:rsidR="00A34666" w:rsidRPr="00DD49B6" w14:paraId="3CA12375" w14:textId="77777777" w:rsidTr="00F67BA8">
        <w:trPr>
          <w:trHeight w:val="421"/>
          <w:jc w:val="center"/>
        </w:trPr>
        <w:tc>
          <w:tcPr>
            <w:tcW w:w="9396" w:type="dxa"/>
            <w:vAlign w:val="center"/>
          </w:tcPr>
          <w:p w14:paraId="75544327" w14:textId="77777777" w:rsidR="00A34666" w:rsidRPr="003C143A" w:rsidRDefault="00A34666" w:rsidP="000437B9">
            <w:pPr>
              <w:pStyle w:val="naisnod"/>
              <w:spacing w:before="0" w:after="0"/>
              <w:ind w:left="57" w:right="57"/>
              <w:rPr>
                <w:b w:val="0"/>
              </w:rPr>
            </w:pPr>
            <w:r w:rsidRPr="003C143A">
              <w:rPr>
                <w:b w:val="0"/>
              </w:rPr>
              <w:t>Projekts šo jomu neskar.</w:t>
            </w:r>
          </w:p>
        </w:tc>
      </w:tr>
    </w:tbl>
    <w:p w14:paraId="0CDA214A" w14:textId="77777777" w:rsidR="00126FE0" w:rsidRDefault="00126FE0" w:rsidP="000437B9">
      <w:pPr>
        <w:pStyle w:val="Footer"/>
      </w:pPr>
    </w:p>
    <w:p w14:paraId="273BC8EF" w14:textId="77777777" w:rsidR="00B65C7E" w:rsidRPr="00D166EA" w:rsidRDefault="00B65C7E" w:rsidP="000437B9">
      <w:pPr>
        <w:pStyle w:val="Footer"/>
      </w:pPr>
    </w:p>
    <w:p w14:paraId="3B984361" w14:textId="2A17DA8C" w:rsidR="00370A0D" w:rsidRPr="00370A0D" w:rsidRDefault="00370A0D" w:rsidP="000437B9">
      <w:pPr>
        <w:suppressAutoHyphens w:val="0"/>
        <w:jc w:val="both"/>
        <w:rPr>
          <w:szCs w:val="28"/>
          <w:lang w:eastAsia="lv-LV"/>
        </w:rPr>
      </w:pPr>
      <w:r w:rsidRPr="00370A0D">
        <w:rPr>
          <w:szCs w:val="28"/>
          <w:lang w:eastAsia="lv-LV"/>
        </w:rPr>
        <w:t>Satiksmes ministr</w:t>
      </w:r>
      <w:r w:rsidR="00FF65AA">
        <w:rPr>
          <w:szCs w:val="28"/>
          <w:lang w:eastAsia="lv-LV"/>
        </w:rPr>
        <w:t>s</w:t>
      </w:r>
      <w:r w:rsidRPr="00370A0D">
        <w:rPr>
          <w:szCs w:val="28"/>
          <w:lang w:eastAsia="lv-LV"/>
        </w:rPr>
        <w:tab/>
      </w:r>
      <w:r w:rsidRPr="00370A0D">
        <w:rPr>
          <w:szCs w:val="28"/>
          <w:lang w:eastAsia="lv-LV"/>
        </w:rPr>
        <w:tab/>
      </w:r>
      <w:r w:rsidRPr="00370A0D">
        <w:rPr>
          <w:szCs w:val="28"/>
          <w:lang w:eastAsia="lv-LV"/>
        </w:rPr>
        <w:tab/>
      </w:r>
      <w:r w:rsidRPr="00370A0D">
        <w:rPr>
          <w:szCs w:val="28"/>
          <w:lang w:eastAsia="lv-LV"/>
        </w:rPr>
        <w:tab/>
      </w:r>
      <w:r w:rsidRPr="00370A0D">
        <w:rPr>
          <w:szCs w:val="28"/>
          <w:lang w:eastAsia="lv-LV"/>
        </w:rPr>
        <w:tab/>
      </w:r>
      <w:r w:rsidRPr="00370A0D">
        <w:rPr>
          <w:szCs w:val="28"/>
          <w:lang w:eastAsia="lv-LV"/>
        </w:rPr>
        <w:tab/>
      </w:r>
      <w:r w:rsidRPr="00370A0D">
        <w:rPr>
          <w:szCs w:val="28"/>
          <w:lang w:eastAsia="lv-LV"/>
        </w:rPr>
        <w:tab/>
      </w:r>
      <w:r w:rsidRPr="00370A0D">
        <w:rPr>
          <w:szCs w:val="28"/>
          <w:lang w:eastAsia="lv-LV"/>
        </w:rPr>
        <w:tab/>
      </w:r>
      <w:proofErr w:type="spellStart"/>
      <w:r w:rsidR="00974262">
        <w:rPr>
          <w:szCs w:val="28"/>
          <w:lang w:eastAsia="lv-LV"/>
        </w:rPr>
        <w:t>T.Linkaits</w:t>
      </w:r>
      <w:proofErr w:type="spellEnd"/>
    </w:p>
    <w:p w14:paraId="5B5DAFD0" w14:textId="77777777" w:rsidR="00B65C7E" w:rsidRPr="00D166EA" w:rsidRDefault="00B65C7E" w:rsidP="000437B9">
      <w:pPr>
        <w:pStyle w:val="Footer"/>
      </w:pPr>
    </w:p>
    <w:p w14:paraId="342E94A8" w14:textId="02DADBB8" w:rsidR="005957CA" w:rsidRPr="005957CA" w:rsidRDefault="005957CA" w:rsidP="000437B9">
      <w:pPr>
        <w:jc w:val="both"/>
      </w:pPr>
      <w:r w:rsidRPr="005957CA">
        <w:t>Vīza:</w:t>
      </w:r>
      <w:r w:rsidR="00FC3C77">
        <w:t xml:space="preserve"> v</w:t>
      </w:r>
      <w:r w:rsidRPr="005957CA">
        <w:t>alsts sekretār</w:t>
      </w:r>
      <w:r w:rsidR="00301FB2">
        <w:t>e</w:t>
      </w:r>
      <w:r w:rsidR="00301FB2">
        <w:tab/>
      </w:r>
      <w:r w:rsidRPr="005957CA">
        <w:tab/>
      </w:r>
      <w:r w:rsidRPr="005957CA">
        <w:tab/>
      </w:r>
      <w:r w:rsidR="00FC3C77">
        <w:tab/>
      </w:r>
      <w:r w:rsidR="00FC3C77">
        <w:tab/>
      </w:r>
      <w:r w:rsidR="00FC3C77">
        <w:tab/>
      </w:r>
      <w:r w:rsidR="00FC3C77">
        <w:tab/>
      </w:r>
      <w:r w:rsidR="00FC3C77">
        <w:tab/>
      </w:r>
      <w:r w:rsidR="00301FB2">
        <w:t>I.Stepanova</w:t>
      </w:r>
    </w:p>
    <w:p w14:paraId="7A09BF8E" w14:textId="77777777" w:rsidR="005957CA" w:rsidRDefault="005957CA" w:rsidP="000437B9">
      <w:pPr>
        <w:jc w:val="both"/>
      </w:pPr>
    </w:p>
    <w:p w14:paraId="63069236" w14:textId="77777777" w:rsidR="00A34666" w:rsidRDefault="00A34666" w:rsidP="000437B9">
      <w:pPr>
        <w:jc w:val="both"/>
      </w:pPr>
    </w:p>
    <w:p w14:paraId="0E24038D" w14:textId="77777777" w:rsidR="00F67BA8" w:rsidRDefault="00F67BA8" w:rsidP="000437B9">
      <w:pPr>
        <w:jc w:val="both"/>
      </w:pPr>
    </w:p>
    <w:p w14:paraId="12DB8812" w14:textId="77777777" w:rsidR="00814E2A" w:rsidRPr="000A20E8" w:rsidRDefault="000A20E8" w:rsidP="000437B9">
      <w:pPr>
        <w:tabs>
          <w:tab w:val="left" w:pos="5722"/>
        </w:tabs>
        <w:rPr>
          <w:sz w:val="16"/>
          <w:szCs w:val="16"/>
        </w:rPr>
      </w:pPr>
      <w:r>
        <w:rPr>
          <w:sz w:val="16"/>
          <w:szCs w:val="16"/>
        </w:rPr>
        <w:tab/>
      </w:r>
    </w:p>
    <w:sectPr w:rsidR="00814E2A" w:rsidRPr="000A20E8" w:rsidSect="000437B9">
      <w:headerReference w:type="even" r:id="rId8"/>
      <w:headerReference w:type="default" r:id="rId9"/>
      <w:footerReference w:type="default" r:id="rId10"/>
      <w:footerReference w:type="first" r:id="rId11"/>
      <w:pgSz w:w="11905" w:h="16837"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632A" w14:textId="77777777" w:rsidR="00582448" w:rsidRDefault="00582448">
      <w:r>
        <w:separator/>
      </w:r>
    </w:p>
  </w:endnote>
  <w:endnote w:type="continuationSeparator" w:id="0">
    <w:p w14:paraId="2A359D8C" w14:textId="77777777" w:rsidR="00582448" w:rsidRDefault="0058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86FD" w14:textId="0D3BAE10" w:rsidR="001D3928" w:rsidRPr="003A61FA" w:rsidRDefault="003A61FA" w:rsidP="003A61FA">
    <w:pPr>
      <w:pStyle w:val="Footer"/>
      <w:rPr>
        <w:sz w:val="20"/>
        <w:szCs w:val="20"/>
      </w:rPr>
    </w:pPr>
    <w:r>
      <w:rPr>
        <w:sz w:val="20"/>
        <w:szCs w:val="20"/>
      </w:rPr>
      <w:t>SMAnot_</w:t>
    </w:r>
    <w:r w:rsidR="00301FB2">
      <w:rPr>
        <w:sz w:val="20"/>
        <w:szCs w:val="20"/>
      </w:rPr>
      <w:t>1911</w:t>
    </w:r>
    <w:r w:rsidR="003C6D51">
      <w:rPr>
        <w:sz w:val="20"/>
        <w:szCs w:val="20"/>
      </w:rPr>
      <w:t>20</w:t>
    </w:r>
    <w:r>
      <w:rPr>
        <w:sz w:val="20"/>
        <w:szCs w:val="20"/>
      </w:rPr>
      <w:t>_grozUP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073" w14:textId="0DD568A2" w:rsidR="001D3928" w:rsidRPr="003A61FA" w:rsidRDefault="003A61FA" w:rsidP="003A61FA">
    <w:pPr>
      <w:pStyle w:val="Footer"/>
      <w:rPr>
        <w:sz w:val="20"/>
        <w:szCs w:val="20"/>
      </w:rPr>
    </w:pPr>
    <w:r>
      <w:rPr>
        <w:sz w:val="20"/>
        <w:szCs w:val="20"/>
      </w:rPr>
      <w:t>SMAnot_</w:t>
    </w:r>
    <w:r w:rsidR="00301FB2">
      <w:rPr>
        <w:sz w:val="20"/>
        <w:szCs w:val="20"/>
      </w:rPr>
      <w:t>1911</w:t>
    </w:r>
    <w:r w:rsidR="003C6D51">
      <w:rPr>
        <w:sz w:val="20"/>
        <w:szCs w:val="20"/>
      </w:rPr>
      <w:t>20</w:t>
    </w:r>
    <w:r>
      <w:rPr>
        <w:sz w:val="20"/>
        <w:szCs w:val="20"/>
      </w:rPr>
      <w:t>_grozUP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C85AB" w14:textId="77777777" w:rsidR="00582448" w:rsidRDefault="00582448">
      <w:r>
        <w:separator/>
      </w:r>
    </w:p>
  </w:footnote>
  <w:footnote w:type="continuationSeparator" w:id="0">
    <w:p w14:paraId="66C94F2B" w14:textId="77777777" w:rsidR="00582448" w:rsidRDefault="0058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4A2F" w14:textId="77777777" w:rsidR="001D3928" w:rsidRDefault="001D3928" w:rsidP="00F471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45E376" w14:textId="77777777" w:rsidR="001D3928" w:rsidRDefault="001D3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14F2" w14:textId="77777777" w:rsidR="001D3928" w:rsidRDefault="001D3928" w:rsidP="00F471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FB2">
      <w:rPr>
        <w:rStyle w:val="PageNumber"/>
        <w:noProof/>
      </w:rPr>
      <w:t>3</w:t>
    </w:r>
    <w:r>
      <w:rPr>
        <w:rStyle w:val="PageNumber"/>
      </w:rPr>
      <w:fldChar w:fldCharType="end"/>
    </w:r>
  </w:p>
  <w:p w14:paraId="52624B6C" w14:textId="77777777" w:rsidR="001D3928" w:rsidRDefault="00680AB7">
    <w:pPr>
      <w:pStyle w:val="Header"/>
    </w:pPr>
    <w:r>
      <w:rPr>
        <w:noProof/>
        <w:lang w:val="en-GB" w:eastAsia="en-GB"/>
      </w:rPr>
      <mc:AlternateContent>
        <mc:Choice Requires="wps">
          <w:drawing>
            <wp:anchor distT="0" distB="0" distL="0" distR="0" simplePos="0" relativeHeight="251657728" behindDoc="0" locked="0" layoutInCell="1" allowOverlap="1" wp14:anchorId="680BD64C" wp14:editId="29291992">
              <wp:simplePos x="0" y="0"/>
              <wp:positionH relativeFrom="margin">
                <wp:align>center</wp:align>
              </wp:positionH>
              <wp:positionV relativeFrom="paragraph">
                <wp:posOffset>635</wp:posOffset>
              </wp:positionV>
              <wp:extent cx="76200" cy="174625"/>
              <wp:effectExtent l="7620" t="63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6C876" w14:textId="77777777" w:rsidR="001D3928" w:rsidRDefault="001D3928">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0BD64C"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" stroked="f">
              <v:fill opacity="0"/>
              <v:textbox inset="0,0,0,0">
                <w:txbxContent>
                  <w:p w14:paraId="28C6C876" w14:textId="77777777" w:rsidR="001D3928" w:rsidRDefault="001D3928">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845DF7"/>
    <w:multiLevelType w:val="hybridMultilevel"/>
    <w:tmpl w:val="EFFC4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4228F4"/>
    <w:multiLevelType w:val="hybridMultilevel"/>
    <w:tmpl w:val="9E9AF284"/>
    <w:lvl w:ilvl="0" w:tplc="04260001">
      <w:start w:val="1"/>
      <w:numFmt w:val="bullet"/>
      <w:lvlText w:val=""/>
      <w:lvlJc w:val="left"/>
      <w:pPr>
        <w:tabs>
          <w:tab w:val="num" w:pos="831"/>
        </w:tabs>
        <w:ind w:left="831" w:hanging="360"/>
      </w:pPr>
      <w:rPr>
        <w:rFonts w:ascii="Symbol" w:hAnsi="Symbol" w:hint="default"/>
      </w:rPr>
    </w:lvl>
    <w:lvl w:ilvl="1" w:tplc="04260003" w:tentative="1">
      <w:start w:val="1"/>
      <w:numFmt w:val="bullet"/>
      <w:lvlText w:val="o"/>
      <w:lvlJc w:val="left"/>
      <w:pPr>
        <w:tabs>
          <w:tab w:val="num" w:pos="1551"/>
        </w:tabs>
        <w:ind w:left="1551" w:hanging="360"/>
      </w:pPr>
      <w:rPr>
        <w:rFonts w:ascii="Courier New" w:hAnsi="Courier New" w:cs="Courier New" w:hint="default"/>
      </w:rPr>
    </w:lvl>
    <w:lvl w:ilvl="2" w:tplc="04260005" w:tentative="1">
      <w:start w:val="1"/>
      <w:numFmt w:val="bullet"/>
      <w:lvlText w:val=""/>
      <w:lvlJc w:val="left"/>
      <w:pPr>
        <w:tabs>
          <w:tab w:val="num" w:pos="2271"/>
        </w:tabs>
        <w:ind w:left="2271" w:hanging="360"/>
      </w:pPr>
      <w:rPr>
        <w:rFonts w:ascii="Wingdings" w:hAnsi="Wingdings" w:hint="default"/>
      </w:rPr>
    </w:lvl>
    <w:lvl w:ilvl="3" w:tplc="04260001" w:tentative="1">
      <w:start w:val="1"/>
      <w:numFmt w:val="bullet"/>
      <w:lvlText w:val=""/>
      <w:lvlJc w:val="left"/>
      <w:pPr>
        <w:tabs>
          <w:tab w:val="num" w:pos="2991"/>
        </w:tabs>
        <w:ind w:left="2991" w:hanging="360"/>
      </w:pPr>
      <w:rPr>
        <w:rFonts w:ascii="Symbol" w:hAnsi="Symbol" w:hint="default"/>
      </w:rPr>
    </w:lvl>
    <w:lvl w:ilvl="4" w:tplc="04260003" w:tentative="1">
      <w:start w:val="1"/>
      <w:numFmt w:val="bullet"/>
      <w:lvlText w:val="o"/>
      <w:lvlJc w:val="left"/>
      <w:pPr>
        <w:tabs>
          <w:tab w:val="num" w:pos="3711"/>
        </w:tabs>
        <w:ind w:left="3711" w:hanging="360"/>
      </w:pPr>
      <w:rPr>
        <w:rFonts w:ascii="Courier New" w:hAnsi="Courier New" w:cs="Courier New" w:hint="default"/>
      </w:rPr>
    </w:lvl>
    <w:lvl w:ilvl="5" w:tplc="04260005" w:tentative="1">
      <w:start w:val="1"/>
      <w:numFmt w:val="bullet"/>
      <w:lvlText w:val=""/>
      <w:lvlJc w:val="left"/>
      <w:pPr>
        <w:tabs>
          <w:tab w:val="num" w:pos="4431"/>
        </w:tabs>
        <w:ind w:left="4431" w:hanging="360"/>
      </w:pPr>
      <w:rPr>
        <w:rFonts w:ascii="Wingdings" w:hAnsi="Wingdings" w:hint="default"/>
      </w:rPr>
    </w:lvl>
    <w:lvl w:ilvl="6" w:tplc="04260001" w:tentative="1">
      <w:start w:val="1"/>
      <w:numFmt w:val="bullet"/>
      <w:lvlText w:val=""/>
      <w:lvlJc w:val="left"/>
      <w:pPr>
        <w:tabs>
          <w:tab w:val="num" w:pos="5151"/>
        </w:tabs>
        <w:ind w:left="5151" w:hanging="360"/>
      </w:pPr>
      <w:rPr>
        <w:rFonts w:ascii="Symbol" w:hAnsi="Symbol" w:hint="default"/>
      </w:rPr>
    </w:lvl>
    <w:lvl w:ilvl="7" w:tplc="04260003" w:tentative="1">
      <w:start w:val="1"/>
      <w:numFmt w:val="bullet"/>
      <w:lvlText w:val="o"/>
      <w:lvlJc w:val="left"/>
      <w:pPr>
        <w:tabs>
          <w:tab w:val="num" w:pos="5871"/>
        </w:tabs>
        <w:ind w:left="5871" w:hanging="360"/>
      </w:pPr>
      <w:rPr>
        <w:rFonts w:ascii="Courier New" w:hAnsi="Courier New" w:cs="Courier New" w:hint="default"/>
      </w:rPr>
    </w:lvl>
    <w:lvl w:ilvl="8" w:tplc="04260005" w:tentative="1">
      <w:start w:val="1"/>
      <w:numFmt w:val="bullet"/>
      <w:lvlText w:val=""/>
      <w:lvlJc w:val="left"/>
      <w:pPr>
        <w:tabs>
          <w:tab w:val="num" w:pos="6591"/>
        </w:tabs>
        <w:ind w:left="6591" w:hanging="360"/>
      </w:pPr>
      <w:rPr>
        <w:rFonts w:ascii="Wingdings" w:hAnsi="Wingdings" w:hint="default"/>
      </w:rPr>
    </w:lvl>
  </w:abstractNum>
  <w:abstractNum w:abstractNumId="3" w15:restartNumberingAfterBreak="0">
    <w:nsid w:val="2DA12A71"/>
    <w:multiLevelType w:val="hybridMultilevel"/>
    <w:tmpl w:val="DB32BD94"/>
    <w:lvl w:ilvl="0" w:tplc="5022A378">
      <w:start w:val="1"/>
      <w:numFmt w:val="bullet"/>
      <w:lvlText w:val="-"/>
      <w:lvlJc w:val="left"/>
      <w:pPr>
        <w:tabs>
          <w:tab w:val="num" w:pos="372"/>
        </w:tabs>
        <w:ind w:left="372" w:hanging="360"/>
      </w:pPr>
      <w:rPr>
        <w:rFonts w:ascii="Times New Roman" w:eastAsia="Times New Roman" w:hAnsi="Times New Roman" w:cs="Times New Roman" w:hint="default"/>
      </w:rPr>
    </w:lvl>
    <w:lvl w:ilvl="1" w:tplc="04260003" w:tentative="1">
      <w:start w:val="1"/>
      <w:numFmt w:val="bullet"/>
      <w:lvlText w:val="o"/>
      <w:lvlJc w:val="left"/>
      <w:pPr>
        <w:tabs>
          <w:tab w:val="num" w:pos="1092"/>
        </w:tabs>
        <w:ind w:left="1092" w:hanging="360"/>
      </w:pPr>
      <w:rPr>
        <w:rFonts w:ascii="Courier New" w:hAnsi="Courier New" w:cs="Courier New" w:hint="default"/>
      </w:rPr>
    </w:lvl>
    <w:lvl w:ilvl="2" w:tplc="04260005" w:tentative="1">
      <w:start w:val="1"/>
      <w:numFmt w:val="bullet"/>
      <w:lvlText w:val=""/>
      <w:lvlJc w:val="left"/>
      <w:pPr>
        <w:tabs>
          <w:tab w:val="num" w:pos="1812"/>
        </w:tabs>
        <w:ind w:left="1812" w:hanging="360"/>
      </w:pPr>
      <w:rPr>
        <w:rFonts w:ascii="Wingdings" w:hAnsi="Wingdings" w:hint="default"/>
      </w:rPr>
    </w:lvl>
    <w:lvl w:ilvl="3" w:tplc="04260001" w:tentative="1">
      <w:start w:val="1"/>
      <w:numFmt w:val="bullet"/>
      <w:lvlText w:val=""/>
      <w:lvlJc w:val="left"/>
      <w:pPr>
        <w:tabs>
          <w:tab w:val="num" w:pos="2532"/>
        </w:tabs>
        <w:ind w:left="2532" w:hanging="360"/>
      </w:pPr>
      <w:rPr>
        <w:rFonts w:ascii="Symbol" w:hAnsi="Symbol" w:hint="default"/>
      </w:rPr>
    </w:lvl>
    <w:lvl w:ilvl="4" w:tplc="04260003" w:tentative="1">
      <w:start w:val="1"/>
      <w:numFmt w:val="bullet"/>
      <w:lvlText w:val="o"/>
      <w:lvlJc w:val="left"/>
      <w:pPr>
        <w:tabs>
          <w:tab w:val="num" w:pos="3252"/>
        </w:tabs>
        <w:ind w:left="3252" w:hanging="360"/>
      </w:pPr>
      <w:rPr>
        <w:rFonts w:ascii="Courier New" w:hAnsi="Courier New" w:cs="Courier New" w:hint="default"/>
      </w:rPr>
    </w:lvl>
    <w:lvl w:ilvl="5" w:tplc="04260005" w:tentative="1">
      <w:start w:val="1"/>
      <w:numFmt w:val="bullet"/>
      <w:lvlText w:val=""/>
      <w:lvlJc w:val="left"/>
      <w:pPr>
        <w:tabs>
          <w:tab w:val="num" w:pos="3972"/>
        </w:tabs>
        <w:ind w:left="3972" w:hanging="360"/>
      </w:pPr>
      <w:rPr>
        <w:rFonts w:ascii="Wingdings" w:hAnsi="Wingdings" w:hint="default"/>
      </w:rPr>
    </w:lvl>
    <w:lvl w:ilvl="6" w:tplc="04260001" w:tentative="1">
      <w:start w:val="1"/>
      <w:numFmt w:val="bullet"/>
      <w:lvlText w:val=""/>
      <w:lvlJc w:val="left"/>
      <w:pPr>
        <w:tabs>
          <w:tab w:val="num" w:pos="4692"/>
        </w:tabs>
        <w:ind w:left="4692" w:hanging="360"/>
      </w:pPr>
      <w:rPr>
        <w:rFonts w:ascii="Symbol" w:hAnsi="Symbol" w:hint="default"/>
      </w:rPr>
    </w:lvl>
    <w:lvl w:ilvl="7" w:tplc="04260003" w:tentative="1">
      <w:start w:val="1"/>
      <w:numFmt w:val="bullet"/>
      <w:lvlText w:val="o"/>
      <w:lvlJc w:val="left"/>
      <w:pPr>
        <w:tabs>
          <w:tab w:val="num" w:pos="5412"/>
        </w:tabs>
        <w:ind w:left="5412" w:hanging="360"/>
      </w:pPr>
      <w:rPr>
        <w:rFonts w:ascii="Courier New" w:hAnsi="Courier New" w:cs="Courier New" w:hint="default"/>
      </w:rPr>
    </w:lvl>
    <w:lvl w:ilvl="8" w:tplc="0426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92"/>
    <w:rsid w:val="000015DA"/>
    <w:rsid w:val="00004977"/>
    <w:rsid w:val="00007257"/>
    <w:rsid w:val="000101A2"/>
    <w:rsid w:val="000150F4"/>
    <w:rsid w:val="000162CE"/>
    <w:rsid w:val="00017633"/>
    <w:rsid w:val="00022CEB"/>
    <w:rsid w:val="00022D5B"/>
    <w:rsid w:val="000249BE"/>
    <w:rsid w:val="000253D1"/>
    <w:rsid w:val="0002542C"/>
    <w:rsid w:val="00027DAA"/>
    <w:rsid w:val="000320B5"/>
    <w:rsid w:val="0003258F"/>
    <w:rsid w:val="00037C47"/>
    <w:rsid w:val="000437B9"/>
    <w:rsid w:val="00043EE2"/>
    <w:rsid w:val="00045216"/>
    <w:rsid w:val="0004794C"/>
    <w:rsid w:val="000503B0"/>
    <w:rsid w:val="0005113A"/>
    <w:rsid w:val="00051658"/>
    <w:rsid w:val="00051B4C"/>
    <w:rsid w:val="00055B02"/>
    <w:rsid w:val="00062D39"/>
    <w:rsid w:val="0006625C"/>
    <w:rsid w:val="000730AD"/>
    <w:rsid w:val="000778ED"/>
    <w:rsid w:val="00080648"/>
    <w:rsid w:val="000831D4"/>
    <w:rsid w:val="000846AE"/>
    <w:rsid w:val="00084884"/>
    <w:rsid w:val="00084966"/>
    <w:rsid w:val="00085B2E"/>
    <w:rsid w:val="000872ED"/>
    <w:rsid w:val="0009109E"/>
    <w:rsid w:val="00093F97"/>
    <w:rsid w:val="00094C7E"/>
    <w:rsid w:val="00094F60"/>
    <w:rsid w:val="00095AA4"/>
    <w:rsid w:val="00097D3C"/>
    <w:rsid w:val="000A1153"/>
    <w:rsid w:val="000A20E8"/>
    <w:rsid w:val="000A5288"/>
    <w:rsid w:val="000A54CF"/>
    <w:rsid w:val="000A55F1"/>
    <w:rsid w:val="000A6043"/>
    <w:rsid w:val="000A60AA"/>
    <w:rsid w:val="000A6EB6"/>
    <w:rsid w:val="000B1539"/>
    <w:rsid w:val="000B20AA"/>
    <w:rsid w:val="000B43C3"/>
    <w:rsid w:val="000B4F98"/>
    <w:rsid w:val="000B5C4E"/>
    <w:rsid w:val="000C07E8"/>
    <w:rsid w:val="000C21B5"/>
    <w:rsid w:val="000C2469"/>
    <w:rsid w:val="000C278E"/>
    <w:rsid w:val="000C48CC"/>
    <w:rsid w:val="000C6B51"/>
    <w:rsid w:val="000D04DB"/>
    <w:rsid w:val="000D0BF1"/>
    <w:rsid w:val="000D1D2A"/>
    <w:rsid w:val="000D5584"/>
    <w:rsid w:val="000E03DA"/>
    <w:rsid w:val="000E4C96"/>
    <w:rsid w:val="000E5331"/>
    <w:rsid w:val="000E667C"/>
    <w:rsid w:val="000F3440"/>
    <w:rsid w:val="000F54AC"/>
    <w:rsid w:val="000F592C"/>
    <w:rsid w:val="00101D0D"/>
    <w:rsid w:val="001026E4"/>
    <w:rsid w:val="0010367F"/>
    <w:rsid w:val="00105228"/>
    <w:rsid w:val="00105DDC"/>
    <w:rsid w:val="0011573A"/>
    <w:rsid w:val="001203D4"/>
    <w:rsid w:val="00126FE0"/>
    <w:rsid w:val="00131B9B"/>
    <w:rsid w:val="00132030"/>
    <w:rsid w:val="00132C4C"/>
    <w:rsid w:val="00136962"/>
    <w:rsid w:val="00137949"/>
    <w:rsid w:val="001400FA"/>
    <w:rsid w:val="001441C2"/>
    <w:rsid w:val="0014509F"/>
    <w:rsid w:val="001454AC"/>
    <w:rsid w:val="0014613D"/>
    <w:rsid w:val="001519F0"/>
    <w:rsid w:val="00151B72"/>
    <w:rsid w:val="00153CEE"/>
    <w:rsid w:val="0015654F"/>
    <w:rsid w:val="001576BA"/>
    <w:rsid w:val="00157924"/>
    <w:rsid w:val="001621D5"/>
    <w:rsid w:val="00162A38"/>
    <w:rsid w:val="001643DC"/>
    <w:rsid w:val="001651C5"/>
    <w:rsid w:val="00170A1A"/>
    <w:rsid w:val="001711CB"/>
    <w:rsid w:val="00174966"/>
    <w:rsid w:val="00183BCC"/>
    <w:rsid w:val="00184A0E"/>
    <w:rsid w:val="00184C95"/>
    <w:rsid w:val="00192C25"/>
    <w:rsid w:val="001A0B8E"/>
    <w:rsid w:val="001A1D96"/>
    <w:rsid w:val="001A3FC0"/>
    <w:rsid w:val="001A6854"/>
    <w:rsid w:val="001A6BD2"/>
    <w:rsid w:val="001A71DE"/>
    <w:rsid w:val="001A7910"/>
    <w:rsid w:val="001B2E29"/>
    <w:rsid w:val="001B2FB7"/>
    <w:rsid w:val="001B42A7"/>
    <w:rsid w:val="001B6599"/>
    <w:rsid w:val="001B75B6"/>
    <w:rsid w:val="001B7946"/>
    <w:rsid w:val="001C0553"/>
    <w:rsid w:val="001C32F0"/>
    <w:rsid w:val="001C616D"/>
    <w:rsid w:val="001C6BF5"/>
    <w:rsid w:val="001D135F"/>
    <w:rsid w:val="001D3928"/>
    <w:rsid w:val="001D7616"/>
    <w:rsid w:val="001E1E84"/>
    <w:rsid w:val="001E4DDA"/>
    <w:rsid w:val="001E70D8"/>
    <w:rsid w:val="001E722D"/>
    <w:rsid w:val="001F6938"/>
    <w:rsid w:val="00200CA9"/>
    <w:rsid w:val="00202DE7"/>
    <w:rsid w:val="00203B67"/>
    <w:rsid w:val="002059D3"/>
    <w:rsid w:val="00206D7A"/>
    <w:rsid w:val="00213947"/>
    <w:rsid w:val="00216A3B"/>
    <w:rsid w:val="00217CF4"/>
    <w:rsid w:val="00222BED"/>
    <w:rsid w:val="00223B81"/>
    <w:rsid w:val="002245C1"/>
    <w:rsid w:val="002279CB"/>
    <w:rsid w:val="00230D4F"/>
    <w:rsid w:val="00231D81"/>
    <w:rsid w:val="00233731"/>
    <w:rsid w:val="00234AB9"/>
    <w:rsid w:val="002351BE"/>
    <w:rsid w:val="00235253"/>
    <w:rsid w:val="002423B1"/>
    <w:rsid w:val="00243253"/>
    <w:rsid w:val="002467C8"/>
    <w:rsid w:val="00251D32"/>
    <w:rsid w:val="002531C3"/>
    <w:rsid w:val="00253257"/>
    <w:rsid w:val="00253D57"/>
    <w:rsid w:val="002548D0"/>
    <w:rsid w:val="00256C9D"/>
    <w:rsid w:val="002618B2"/>
    <w:rsid w:val="00262304"/>
    <w:rsid w:val="00264430"/>
    <w:rsid w:val="002649A3"/>
    <w:rsid w:val="002676D1"/>
    <w:rsid w:val="00272A8A"/>
    <w:rsid w:val="00274AC2"/>
    <w:rsid w:val="00276399"/>
    <w:rsid w:val="0027680F"/>
    <w:rsid w:val="0028022D"/>
    <w:rsid w:val="00283916"/>
    <w:rsid w:val="002905F7"/>
    <w:rsid w:val="002934C5"/>
    <w:rsid w:val="00296AB0"/>
    <w:rsid w:val="002A707E"/>
    <w:rsid w:val="002A7799"/>
    <w:rsid w:val="002B01C1"/>
    <w:rsid w:val="002B026A"/>
    <w:rsid w:val="002B22F4"/>
    <w:rsid w:val="002B43F7"/>
    <w:rsid w:val="002B44F3"/>
    <w:rsid w:val="002B4569"/>
    <w:rsid w:val="002B46B9"/>
    <w:rsid w:val="002B65B9"/>
    <w:rsid w:val="002C0AB7"/>
    <w:rsid w:val="002C111F"/>
    <w:rsid w:val="002C187C"/>
    <w:rsid w:val="002C1A45"/>
    <w:rsid w:val="002C1D85"/>
    <w:rsid w:val="002C785F"/>
    <w:rsid w:val="002D0A05"/>
    <w:rsid w:val="002D1E4F"/>
    <w:rsid w:val="002D32B0"/>
    <w:rsid w:val="002D6C64"/>
    <w:rsid w:val="002E4098"/>
    <w:rsid w:val="002E4E04"/>
    <w:rsid w:val="002E6011"/>
    <w:rsid w:val="002F24A1"/>
    <w:rsid w:val="002F4BA4"/>
    <w:rsid w:val="002F61AE"/>
    <w:rsid w:val="003019E7"/>
    <w:rsid w:val="00301FB2"/>
    <w:rsid w:val="003027EA"/>
    <w:rsid w:val="00302D56"/>
    <w:rsid w:val="00303758"/>
    <w:rsid w:val="00307953"/>
    <w:rsid w:val="00313866"/>
    <w:rsid w:val="00314C78"/>
    <w:rsid w:val="0031785F"/>
    <w:rsid w:val="00317B0D"/>
    <w:rsid w:val="00320BFD"/>
    <w:rsid w:val="00322222"/>
    <w:rsid w:val="00323E38"/>
    <w:rsid w:val="00324423"/>
    <w:rsid w:val="00324554"/>
    <w:rsid w:val="00324DF2"/>
    <w:rsid w:val="0032695D"/>
    <w:rsid w:val="003269FA"/>
    <w:rsid w:val="003308A3"/>
    <w:rsid w:val="00331954"/>
    <w:rsid w:val="00340509"/>
    <w:rsid w:val="00341854"/>
    <w:rsid w:val="00342A1F"/>
    <w:rsid w:val="0034450E"/>
    <w:rsid w:val="00350D20"/>
    <w:rsid w:val="00351EE3"/>
    <w:rsid w:val="003557D2"/>
    <w:rsid w:val="00356BCC"/>
    <w:rsid w:val="00360F20"/>
    <w:rsid w:val="003617C9"/>
    <w:rsid w:val="00361CA7"/>
    <w:rsid w:val="00362822"/>
    <w:rsid w:val="00367C7E"/>
    <w:rsid w:val="00370A0D"/>
    <w:rsid w:val="00371B0A"/>
    <w:rsid w:val="003753A7"/>
    <w:rsid w:val="00380F45"/>
    <w:rsid w:val="0038306A"/>
    <w:rsid w:val="003830F6"/>
    <w:rsid w:val="00385C08"/>
    <w:rsid w:val="00387212"/>
    <w:rsid w:val="00387974"/>
    <w:rsid w:val="003912CE"/>
    <w:rsid w:val="003928EC"/>
    <w:rsid w:val="00397946"/>
    <w:rsid w:val="00397A8D"/>
    <w:rsid w:val="00397C87"/>
    <w:rsid w:val="003A282A"/>
    <w:rsid w:val="003A29FC"/>
    <w:rsid w:val="003A5F13"/>
    <w:rsid w:val="003A61FA"/>
    <w:rsid w:val="003B77ED"/>
    <w:rsid w:val="003C06A8"/>
    <w:rsid w:val="003C0FA9"/>
    <w:rsid w:val="003C143A"/>
    <w:rsid w:val="003C6D51"/>
    <w:rsid w:val="003D32DA"/>
    <w:rsid w:val="003D3C88"/>
    <w:rsid w:val="003D63A6"/>
    <w:rsid w:val="003D7EE3"/>
    <w:rsid w:val="003E0A75"/>
    <w:rsid w:val="003E4AD7"/>
    <w:rsid w:val="003E6138"/>
    <w:rsid w:val="003F0E39"/>
    <w:rsid w:val="003F2648"/>
    <w:rsid w:val="003F600C"/>
    <w:rsid w:val="0040134B"/>
    <w:rsid w:val="004069B6"/>
    <w:rsid w:val="00410E98"/>
    <w:rsid w:val="004113A1"/>
    <w:rsid w:val="0041227C"/>
    <w:rsid w:val="00412916"/>
    <w:rsid w:val="004215FC"/>
    <w:rsid w:val="00421AB8"/>
    <w:rsid w:val="00421F56"/>
    <w:rsid w:val="00422540"/>
    <w:rsid w:val="004241E7"/>
    <w:rsid w:val="00424FDE"/>
    <w:rsid w:val="00425131"/>
    <w:rsid w:val="00425E4B"/>
    <w:rsid w:val="00427A57"/>
    <w:rsid w:val="00432228"/>
    <w:rsid w:val="00433D06"/>
    <w:rsid w:val="0043679A"/>
    <w:rsid w:val="00437F78"/>
    <w:rsid w:val="00440B2C"/>
    <w:rsid w:val="00442C60"/>
    <w:rsid w:val="00445128"/>
    <w:rsid w:val="00451C9A"/>
    <w:rsid w:val="00454C9D"/>
    <w:rsid w:val="00455042"/>
    <w:rsid w:val="00455D43"/>
    <w:rsid w:val="00463DB7"/>
    <w:rsid w:val="00465499"/>
    <w:rsid w:val="00471575"/>
    <w:rsid w:val="00473F23"/>
    <w:rsid w:val="0047447C"/>
    <w:rsid w:val="00474A8A"/>
    <w:rsid w:val="00475583"/>
    <w:rsid w:val="004761E5"/>
    <w:rsid w:val="0048223A"/>
    <w:rsid w:val="00483EC6"/>
    <w:rsid w:val="004858CD"/>
    <w:rsid w:val="00492360"/>
    <w:rsid w:val="00494E67"/>
    <w:rsid w:val="00497247"/>
    <w:rsid w:val="004A03A4"/>
    <w:rsid w:val="004A4A8F"/>
    <w:rsid w:val="004A4C2F"/>
    <w:rsid w:val="004B0A71"/>
    <w:rsid w:val="004B11E5"/>
    <w:rsid w:val="004B1D16"/>
    <w:rsid w:val="004C12E0"/>
    <w:rsid w:val="004C3BFB"/>
    <w:rsid w:val="004C7290"/>
    <w:rsid w:val="004D1FF5"/>
    <w:rsid w:val="004D2D96"/>
    <w:rsid w:val="004D56D9"/>
    <w:rsid w:val="004D6C8A"/>
    <w:rsid w:val="004D6C90"/>
    <w:rsid w:val="004E0C09"/>
    <w:rsid w:val="004E212D"/>
    <w:rsid w:val="004E5D28"/>
    <w:rsid w:val="004F1F6B"/>
    <w:rsid w:val="004F3184"/>
    <w:rsid w:val="004F47C9"/>
    <w:rsid w:val="004F4A3B"/>
    <w:rsid w:val="004F5403"/>
    <w:rsid w:val="004F6EE0"/>
    <w:rsid w:val="004F7513"/>
    <w:rsid w:val="0050006F"/>
    <w:rsid w:val="00502F84"/>
    <w:rsid w:val="00503C19"/>
    <w:rsid w:val="00503FA2"/>
    <w:rsid w:val="00505606"/>
    <w:rsid w:val="005066C3"/>
    <w:rsid w:val="00506CE7"/>
    <w:rsid w:val="00510463"/>
    <w:rsid w:val="0051287D"/>
    <w:rsid w:val="00512BCF"/>
    <w:rsid w:val="005131B5"/>
    <w:rsid w:val="005137FF"/>
    <w:rsid w:val="00513802"/>
    <w:rsid w:val="00516337"/>
    <w:rsid w:val="005170C1"/>
    <w:rsid w:val="00517157"/>
    <w:rsid w:val="005201E6"/>
    <w:rsid w:val="0052793A"/>
    <w:rsid w:val="005317B7"/>
    <w:rsid w:val="00532D73"/>
    <w:rsid w:val="0053388C"/>
    <w:rsid w:val="00534A30"/>
    <w:rsid w:val="005356C7"/>
    <w:rsid w:val="0053601F"/>
    <w:rsid w:val="00542916"/>
    <w:rsid w:val="00543A0D"/>
    <w:rsid w:val="00544123"/>
    <w:rsid w:val="00554A6D"/>
    <w:rsid w:val="005565F1"/>
    <w:rsid w:val="00560E97"/>
    <w:rsid w:val="00561A13"/>
    <w:rsid w:val="005627A3"/>
    <w:rsid w:val="00563E74"/>
    <w:rsid w:val="00567B51"/>
    <w:rsid w:val="00567B93"/>
    <w:rsid w:val="00570DAA"/>
    <w:rsid w:val="00572569"/>
    <w:rsid w:val="00574B74"/>
    <w:rsid w:val="00576469"/>
    <w:rsid w:val="00582448"/>
    <w:rsid w:val="00583A74"/>
    <w:rsid w:val="00583CC5"/>
    <w:rsid w:val="0058564B"/>
    <w:rsid w:val="005870B6"/>
    <w:rsid w:val="00587516"/>
    <w:rsid w:val="0058798F"/>
    <w:rsid w:val="0059299D"/>
    <w:rsid w:val="005956FF"/>
    <w:rsid w:val="005957CA"/>
    <w:rsid w:val="00595D28"/>
    <w:rsid w:val="00597394"/>
    <w:rsid w:val="005A1A86"/>
    <w:rsid w:val="005A1FF0"/>
    <w:rsid w:val="005B0F07"/>
    <w:rsid w:val="005B1A3D"/>
    <w:rsid w:val="005B1B67"/>
    <w:rsid w:val="005B29EB"/>
    <w:rsid w:val="005B309F"/>
    <w:rsid w:val="005B6F9C"/>
    <w:rsid w:val="005B79C5"/>
    <w:rsid w:val="005C0286"/>
    <w:rsid w:val="005C285A"/>
    <w:rsid w:val="005C441A"/>
    <w:rsid w:val="005C49A3"/>
    <w:rsid w:val="005C731A"/>
    <w:rsid w:val="005D055D"/>
    <w:rsid w:val="005D1941"/>
    <w:rsid w:val="005D67D7"/>
    <w:rsid w:val="005E0F23"/>
    <w:rsid w:val="005E3DBE"/>
    <w:rsid w:val="005E433C"/>
    <w:rsid w:val="005F0B98"/>
    <w:rsid w:val="005F2784"/>
    <w:rsid w:val="005F7FAD"/>
    <w:rsid w:val="00601108"/>
    <w:rsid w:val="00601192"/>
    <w:rsid w:val="006017E2"/>
    <w:rsid w:val="0060385A"/>
    <w:rsid w:val="00603C8F"/>
    <w:rsid w:val="00604E50"/>
    <w:rsid w:val="0060550E"/>
    <w:rsid w:val="00610DCD"/>
    <w:rsid w:val="006117DA"/>
    <w:rsid w:val="00616D85"/>
    <w:rsid w:val="00620995"/>
    <w:rsid w:val="00620BA0"/>
    <w:rsid w:val="00621C43"/>
    <w:rsid w:val="00625B99"/>
    <w:rsid w:val="00632965"/>
    <w:rsid w:val="00632B59"/>
    <w:rsid w:val="00633F70"/>
    <w:rsid w:val="006353A5"/>
    <w:rsid w:val="00640858"/>
    <w:rsid w:val="00644BFC"/>
    <w:rsid w:val="00646A2A"/>
    <w:rsid w:val="006473DD"/>
    <w:rsid w:val="00651B63"/>
    <w:rsid w:val="00651C1D"/>
    <w:rsid w:val="0065247D"/>
    <w:rsid w:val="006526FC"/>
    <w:rsid w:val="00652DB1"/>
    <w:rsid w:val="00657DBC"/>
    <w:rsid w:val="0066105C"/>
    <w:rsid w:val="00661C2C"/>
    <w:rsid w:val="00664F7B"/>
    <w:rsid w:val="006676D7"/>
    <w:rsid w:val="00675C4F"/>
    <w:rsid w:val="00676CA7"/>
    <w:rsid w:val="006803AF"/>
    <w:rsid w:val="00680AB7"/>
    <w:rsid w:val="006823F0"/>
    <w:rsid w:val="00682FB9"/>
    <w:rsid w:val="00683901"/>
    <w:rsid w:val="00683D23"/>
    <w:rsid w:val="00683F9C"/>
    <w:rsid w:val="006857DE"/>
    <w:rsid w:val="00686001"/>
    <w:rsid w:val="0068641F"/>
    <w:rsid w:val="006864CC"/>
    <w:rsid w:val="006867D6"/>
    <w:rsid w:val="00691BE7"/>
    <w:rsid w:val="00691DCB"/>
    <w:rsid w:val="00697F4D"/>
    <w:rsid w:val="006A26C0"/>
    <w:rsid w:val="006A39DA"/>
    <w:rsid w:val="006A475B"/>
    <w:rsid w:val="006B0776"/>
    <w:rsid w:val="006B32AF"/>
    <w:rsid w:val="006B3451"/>
    <w:rsid w:val="006B7E40"/>
    <w:rsid w:val="006C2151"/>
    <w:rsid w:val="006C3D4C"/>
    <w:rsid w:val="006C5464"/>
    <w:rsid w:val="006C6CDB"/>
    <w:rsid w:val="006D484B"/>
    <w:rsid w:val="006D597D"/>
    <w:rsid w:val="006E21D6"/>
    <w:rsid w:val="006E3968"/>
    <w:rsid w:val="006E39FD"/>
    <w:rsid w:val="006E463B"/>
    <w:rsid w:val="006E5165"/>
    <w:rsid w:val="006E55F6"/>
    <w:rsid w:val="006E5FF2"/>
    <w:rsid w:val="006F07D2"/>
    <w:rsid w:val="006F53B8"/>
    <w:rsid w:val="006F6865"/>
    <w:rsid w:val="00700FE1"/>
    <w:rsid w:val="00701AA3"/>
    <w:rsid w:val="00703903"/>
    <w:rsid w:val="00706D79"/>
    <w:rsid w:val="00707DFC"/>
    <w:rsid w:val="007104D8"/>
    <w:rsid w:val="00711C7C"/>
    <w:rsid w:val="007169E5"/>
    <w:rsid w:val="00722DB6"/>
    <w:rsid w:val="00732D57"/>
    <w:rsid w:val="00733696"/>
    <w:rsid w:val="00734521"/>
    <w:rsid w:val="007366C1"/>
    <w:rsid w:val="00743036"/>
    <w:rsid w:val="007440A4"/>
    <w:rsid w:val="00746D2F"/>
    <w:rsid w:val="00750DF3"/>
    <w:rsid w:val="007515EF"/>
    <w:rsid w:val="00751F24"/>
    <w:rsid w:val="00752F68"/>
    <w:rsid w:val="0076457E"/>
    <w:rsid w:val="00766282"/>
    <w:rsid w:val="007675DC"/>
    <w:rsid w:val="00770A56"/>
    <w:rsid w:val="007710B0"/>
    <w:rsid w:val="00775430"/>
    <w:rsid w:val="0077595A"/>
    <w:rsid w:val="007816E8"/>
    <w:rsid w:val="007933E9"/>
    <w:rsid w:val="0079471C"/>
    <w:rsid w:val="007952F6"/>
    <w:rsid w:val="00795628"/>
    <w:rsid w:val="007A1283"/>
    <w:rsid w:val="007A12FB"/>
    <w:rsid w:val="007A1524"/>
    <w:rsid w:val="007A175C"/>
    <w:rsid w:val="007A17EE"/>
    <w:rsid w:val="007A24D6"/>
    <w:rsid w:val="007A2A46"/>
    <w:rsid w:val="007A2D18"/>
    <w:rsid w:val="007B247E"/>
    <w:rsid w:val="007B4C82"/>
    <w:rsid w:val="007B5D2A"/>
    <w:rsid w:val="007C04FB"/>
    <w:rsid w:val="007C1EC7"/>
    <w:rsid w:val="007C4638"/>
    <w:rsid w:val="007C6275"/>
    <w:rsid w:val="007C6A08"/>
    <w:rsid w:val="007D0F46"/>
    <w:rsid w:val="007D3177"/>
    <w:rsid w:val="007D329E"/>
    <w:rsid w:val="007D5A2B"/>
    <w:rsid w:val="007E09C4"/>
    <w:rsid w:val="007E1D5E"/>
    <w:rsid w:val="007E2ADE"/>
    <w:rsid w:val="007E5F3C"/>
    <w:rsid w:val="007E66FE"/>
    <w:rsid w:val="007E76AD"/>
    <w:rsid w:val="007F32E2"/>
    <w:rsid w:val="007F504C"/>
    <w:rsid w:val="007F631B"/>
    <w:rsid w:val="007F68A7"/>
    <w:rsid w:val="007F725C"/>
    <w:rsid w:val="0080237A"/>
    <w:rsid w:val="00807184"/>
    <w:rsid w:val="00807D77"/>
    <w:rsid w:val="008111F7"/>
    <w:rsid w:val="00811741"/>
    <w:rsid w:val="00814E2A"/>
    <w:rsid w:val="00815EF2"/>
    <w:rsid w:val="008219E6"/>
    <w:rsid w:val="00821C77"/>
    <w:rsid w:val="00824B8B"/>
    <w:rsid w:val="0082634A"/>
    <w:rsid w:val="00826AD1"/>
    <w:rsid w:val="00826D50"/>
    <w:rsid w:val="008300E0"/>
    <w:rsid w:val="008304CE"/>
    <w:rsid w:val="0083365C"/>
    <w:rsid w:val="00833F09"/>
    <w:rsid w:val="00834CED"/>
    <w:rsid w:val="00836BD1"/>
    <w:rsid w:val="00836CE2"/>
    <w:rsid w:val="008434E9"/>
    <w:rsid w:val="00843F47"/>
    <w:rsid w:val="008440D2"/>
    <w:rsid w:val="008453FA"/>
    <w:rsid w:val="008462A7"/>
    <w:rsid w:val="00851B6C"/>
    <w:rsid w:val="00853BDA"/>
    <w:rsid w:val="0086029C"/>
    <w:rsid w:val="008607DB"/>
    <w:rsid w:val="00864796"/>
    <w:rsid w:val="008678EB"/>
    <w:rsid w:val="008701C0"/>
    <w:rsid w:val="00870EE5"/>
    <w:rsid w:val="00872924"/>
    <w:rsid w:val="0087298E"/>
    <w:rsid w:val="0087391A"/>
    <w:rsid w:val="00876119"/>
    <w:rsid w:val="008852E0"/>
    <w:rsid w:val="0089245F"/>
    <w:rsid w:val="00893F43"/>
    <w:rsid w:val="0089430C"/>
    <w:rsid w:val="008964F8"/>
    <w:rsid w:val="008A2198"/>
    <w:rsid w:val="008A3221"/>
    <w:rsid w:val="008A6B44"/>
    <w:rsid w:val="008B058F"/>
    <w:rsid w:val="008B0D66"/>
    <w:rsid w:val="008B3152"/>
    <w:rsid w:val="008B78F6"/>
    <w:rsid w:val="008C1424"/>
    <w:rsid w:val="008D0829"/>
    <w:rsid w:val="008D0B05"/>
    <w:rsid w:val="008D348F"/>
    <w:rsid w:val="008E1F45"/>
    <w:rsid w:val="008E2701"/>
    <w:rsid w:val="008E2A5C"/>
    <w:rsid w:val="008E64C2"/>
    <w:rsid w:val="008E6880"/>
    <w:rsid w:val="008E7803"/>
    <w:rsid w:val="008E7B44"/>
    <w:rsid w:val="008F2B1C"/>
    <w:rsid w:val="008F2C69"/>
    <w:rsid w:val="008F3355"/>
    <w:rsid w:val="008F5993"/>
    <w:rsid w:val="008F7919"/>
    <w:rsid w:val="00900CF9"/>
    <w:rsid w:val="00902F41"/>
    <w:rsid w:val="00903773"/>
    <w:rsid w:val="0090583F"/>
    <w:rsid w:val="00906CF0"/>
    <w:rsid w:val="009073CD"/>
    <w:rsid w:val="0091322F"/>
    <w:rsid w:val="00913AF4"/>
    <w:rsid w:val="00917520"/>
    <w:rsid w:val="00922180"/>
    <w:rsid w:val="00922985"/>
    <w:rsid w:val="00923263"/>
    <w:rsid w:val="00923940"/>
    <w:rsid w:val="00926A33"/>
    <w:rsid w:val="009310B4"/>
    <w:rsid w:val="009331CD"/>
    <w:rsid w:val="00934B89"/>
    <w:rsid w:val="00950A3F"/>
    <w:rsid w:val="00950AD4"/>
    <w:rsid w:val="009519F2"/>
    <w:rsid w:val="00951EDE"/>
    <w:rsid w:val="0095308E"/>
    <w:rsid w:val="009555F4"/>
    <w:rsid w:val="00955B2D"/>
    <w:rsid w:val="00957730"/>
    <w:rsid w:val="00970608"/>
    <w:rsid w:val="009716F3"/>
    <w:rsid w:val="009724E4"/>
    <w:rsid w:val="00972890"/>
    <w:rsid w:val="009729FB"/>
    <w:rsid w:val="00974262"/>
    <w:rsid w:val="00974746"/>
    <w:rsid w:val="009805F2"/>
    <w:rsid w:val="009843FA"/>
    <w:rsid w:val="00990F3A"/>
    <w:rsid w:val="009915B3"/>
    <w:rsid w:val="00991E0D"/>
    <w:rsid w:val="009920D0"/>
    <w:rsid w:val="00993177"/>
    <w:rsid w:val="0099456F"/>
    <w:rsid w:val="00994E4B"/>
    <w:rsid w:val="00997091"/>
    <w:rsid w:val="00997D2B"/>
    <w:rsid w:val="009A14B0"/>
    <w:rsid w:val="009A7388"/>
    <w:rsid w:val="009A7AC1"/>
    <w:rsid w:val="009A7EEE"/>
    <w:rsid w:val="009B45EB"/>
    <w:rsid w:val="009B6450"/>
    <w:rsid w:val="009B682A"/>
    <w:rsid w:val="009C0D27"/>
    <w:rsid w:val="009C1CF8"/>
    <w:rsid w:val="009C1D9D"/>
    <w:rsid w:val="009C489F"/>
    <w:rsid w:val="009C7B1E"/>
    <w:rsid w:val="009D1361"/>
    <w:rsid w:val="009D1E08"/>
    <w:rsid w:val="009D4330"/>
    <w:rsid w:val="009D5B7B"/>
    <w:rsid w:val="009D63B0"/>
    <w:rsid w:val="009D7059"/>
    <w:rsid w:val="009E0E2F"/>
    <w:rsid w:val="009E6508"/>
    <w:rsid w:val="009F5324"/>
    <w:rsid w:val="009F5B07"/>
    <w:rsid w:val="00A00AC4"/>
    <w:rsid w:val="00A0158E"/>
    <w:rsid w:val="00A018B1"/>
    <w:rsid w:val="00A02F0F"/>
    <w:rsid w:val="00A03287"/>
    <w:rsid w:val="00A05575"/>
    <w:rsid w:val="00A07E09"/>
    <w:rsid w:val="00A14E7E"/>
    <w:rsid w:val="00A15719"/>
    <w:rsid w:val="00A212B4"/>
    <w:rsid w:val="00A21392"/>
    <w:rsid w:val="00A2267E"/>
    <w:rsid w:val="00A239B0"/>
    <w:rsid w:val="00A245A2"/>
    <w:rsid w:val="00A24A22"/>
    <w:rsid w:val="00A25685"/>
    <w:rsid w:val="00A314C6"/>
    <w:rsid w:val="00A322EF"/>
    <w:rsid w:val="00A34666"/>
    <w:rsid w:val="00A4064C"/>
    <w:rsid w:val="00A40C3D"/>
    <w:rsid w:val="00A41090"/>
    <w:rsid w:val="00A41868"/>
    <w:rsid w:val="00A41E75"/>
    <w:rsid w:val="00A45EED"/>
    <w:rsid w:val="00A517DE"/>
    <w:rsid w:val="00A52F44"/>
    <w:rsid w:val="00A5403E"/>
    <w:rsid w:val="00A5484E"/>
    <w:rsid w:val="00A57749"/>
    <w:rsid w:val="00A6299B"/>
    <w:rsid w:val="00A636DA"/>
    <w:rsid w:val="00A66DC6"/>
    <w:rsid w:val="00A71354"/>
    <w:rsid w:val="00A72EAB"/>
    <w:rsid w:val="00A73B9A"/>
    <w:rsid w:val="00A760AE"/>
    <w:rsid w:val="00A770FA"/>
    <w:rsid w:val="00A77B72"/>
    <w:rsid w:val="00A80C4F"/>
    <w:rsid w:val="00A82017"/>
    <w:rsid w:val="00A84DFB"/>
    <w:rsid w:val="00A859A9"/>
    <w:rsid w:val="00A91E7D"/>
    <w:rsid w:val="00A92A49"/>
    <w:rsid w:val="00A95AB8"/>
    <w:rsid w:val="00A97D72"/>
    <w:rsid w:val="00AA0141"/>
    <w:rsid w:val="00AA01BC"/>
    <w:rsid w:val="00AA3619"/>
    <w:rsid w:val="00AA3F36"/>
    <w:rsid w:val="00AA5473"/>
    <w:rsid w:val="00AA772B"/>
    <w:rsid w:val="00AB01CA"/>
    <w:rsid w:val="00AB1215"/>
    <w:rsid w:val="00AB3043"/>
    <w:rsid w:val="00AB352A"/>
    <w:rsid w:val="00AB4B4C"/>
    <w:rsid w:val="00AB54CD"/>
    <w:rsid w:val="00AB71DD"/>
    <w:rsid w:val="00AB7B0E"/>
    <w:rsid w:val="00AC365C"/>
    <w:rsid w:val="00AC52F4"/>
    <w:rsid w:val="00AC6E0A"/>
    <w:rsid w:val="00AC7DC5"/>
    <w:rsid w:val="00AD161B"/>
    <w:rsid w:val="00AD1CCF"/>
    <w:rsid w:val="00AD1E2B"/>
    <w:rsid w:val="00AD23CF"/>
    <w:rsid w:val="00AD24F0"/>
    <w:rsid w:val="00AD48BF"/>
    <w:rsid w:val="00AD4F27"/>
    <w:rsid w:val="00AD5F22"/>
    <w:rsid w:val="00AD6B3B"/>
    <w:rsid w:val="00AD79BD"/>
    <w:rsid w:val="00AE2708"/>
    <w:rsid w:val="00AE44B3"/>
    <w:rsid w:val="00AE4D4A"/>
    <w:rsid w:val="00AE613B"/>
    <w:rsid w:val="00AE6E7D"/>
    <w:rsid w:val="00AE6FCE"/>
    <w:rsid w:val="00AF2743"/>
    <w:rsid w:val="00AF403D"/>
    <w:rsid w:val="00AF6BC2"/>
    <w:rsid w:val="00AF6EF2"/>
    <w:rsid w:val="00B02342"/>
    <w:rsid w:val="00B024BC"/>
    <w:rsid w:val="00B03ADE"/>
    <w:rsid w:val="00B06AB4"/>
    <w:rsid w:val="00B10135"/>
    <w:rsid w:val="00B10898"/>
    <w:rsid w:val="00B1143C"/>
    <w:rsid w:val="00B119C1"/>
    <w:rsid w:val="00B14DA4"/>
    <w:rsid w:val="00B16506"/>
    <w:rsid w:val="00B214BF"/>
    <w:rsid w:val="00B22C4E"/>
    <w:rsid w:val="00B30E6C"/>
    <w:rsid w:val="00B31E0D"/>
    <w:rsid w:val="00B34B1E"/>
    <w:rsid w:val="00B3779C"/>
    <w:rsid w:val="00B4310F"/>
    <w:rsid w:val="00B451C7"/>
    <w:rsid w:val="00B462C7"/>
    <w:rsid w:val="00B5031A"/>
    <w:rsid w:val="00B506E0"/>
    <w:rsid w:val="00B51603"/>
    <w:rsid w:val="00B51EEA"/>
    <w:rsid w:val="00B547B3"/>
    <w:rsid w:val="00B56642"/>
    <w:rsid w:val="00B57FDA"/>
    <w:rsid w:val="00B60CAF"/>
    <w:rsid w:val="00B6230F"/>
    <w:rsid w:val="00B6392A"/>
    <w:rsid w:val="00B63976"/>
    <w:rsid w:val="00B65C7E"/>
    <w:rsid w:val="00B7190B"/>
    <w:rsid w:val="00B71B22"/>
    <w:rsid w:val="00B71C77"/>
    <w:rsid w:val="00B72465"/>
    <w:rsid w:val="00B72F9E"/>
    <w:rsid w:val="00B74D2B"/>
    <w:rsid w:val="00B74E04"/>
    <w:rsid w:val="00B77793"/>
    <w:rsid w:val="00B8071D"/>
    <w:rsid w:val="00B84B09"/>
    <w:rsid w:val="00B85A49"/>
    <w:rsid w:val="00B866FB"/>
    <w:rsid w:val="00B87067"/>
    <w:rsid w:val="00B87781"/>
    <w:rsid w:val="00B90FEA"/>
    <w:rsid w:val="00B9116B"/>
    <w:rsid w:val="00B91FE5"/>
    <w:rsid w:val="00B97A1C"/>
    <w:rsid w:val="00BA2A54"/>
    <w:rsid w:val="00BB135E"/>
    <w:rsid w:val="00BB3C78"/>
    <w:rsid w:val="00BB49F0"/>
    <w:rsid w:val="00BB7CBB"/>
    <w:rsid w:val="00BB7CE5"/>
    <w:rsid w:val="00BC1DAD"/>
    <w:rsid w:val="00BC3ECE"/>
    <w:rsid w:val="00BC461D"/>
    <w:rsid w:val="00BC6F5F"/>
    <w:rsid w:val="00BD0B4E"/>
    <w:rsid w:val="00BD130B"/>
    <w:rsid w:val="00BD22D3"/>
    <w:rsid w:val="00BE25D6"/>
    <w:rsid w:val="00BE4036"/>
    <w:rsid w:val="00BE4EF5"/>
    <w:rsid w:val="00BE5617"/>
    <w:rsid w:val="00BE6161"/>
    <w:rsid w:val="00BF36C6"/>
    <w:rsid w:val="00BF60EF"/>
    <w:rsid w:val="00C05AAC"/>
    <w:rsid w:val="00C07BEF"/>
    <w:rsid w:val="00C12834"/>
    <w:rsid w:val="00C201C1"/>
    <w:rsid w:val="00C20EFC"/>
    <w:rsid w:val="00C26139"/>
    <w:rsid w:val="00C3065B"/>
    <w:rsid w:val="00C329DD"/>
    <w:rsid w:val="00C338CD"/>
    <w:rsid w:val="00C3411F"/>
    <w:rsid w:val="00C34521"/>
    <w:rsid w:val="00C353E3"/>
    <w:rsid w:val="00C3718A"/>
    <w:rsid w:val="00C41D33"/>
    <w:rsid w:val="00C457AF"/>
    <w:rsid w:val="00C45978"/>
    <w:rsid w:val="00C464ED"/>
    <w:rsid w:val="00C51326"/>
    <w:rsid w:val="00C51531"/>
    <w:rsid w:val="00C541B6"/>
    <w:rsid w:val="00C54A9B"/>
    <w:rsid w:val="00C54D48"/>
    <w:rsid w:val="00C609F4"/>
    <w:rsid w:val="00C6168D"/>
    <w:rsid w:val="00C62CBA"/>
    <w:rsid w:val="00C62E55"/>
    <w:rsid w:val="00C6400F"/>
    <w:rsid w:val="00C66258"/>
    <w:rsid w:val="00C675E9"/>
    <w:rsid w:val="00C67DD1"/>
    <w:rsid w:val="00C73A0A"/>
    <w:rsid w:val="00C813AA"/>
    <w:rsid w:val="00C90093"/>
    <w:rsid w:val="00C901AD"/>
    <w:rsid w:val="00C9318E"/>
    <w:rsid w:val="00C932BE"/>
    <w:rsid w:val="00C95E0C"/>
    <w:rsid w:val="00C96BAA"/>
    <w:rsid w:val="00C97F88"/>
    <w:rsid w:val="00CA1EA3"/>
    <w:rsid w:val="00CA5DFC"/>
    <w:rsid w:val="00CB12AC"/>
    <w:rsid w:val="00CB462B"/>
    <w:rsid w:val="00CC2D67"/>
    <w:rsid w:val="00CC3DCD"/>
    <w:rsid w:val="00CC4000"/>
    <w:rsid w:val="00CC6F0A"/>
    <w:rsid w:val="00CC79F5"/>
    <w:rsid w:val="00CD2971"/>
    <w:rsid w:val="00CD5826"/>
    <w:rsid w:val="00CD6870"/>
    <w:rsid w:val="00CE1285"/>
    <w:rsid w:val="00CE328C"/>
    <w:rsid w:val="00CE3EC8"/>
    <w:rsid w:val="00CE4C8E"/>
    <w:rsid w:val="00CE6DB5"/>
    <w:rsid w:val="00CF17DC"/>
    <w:rsid w:val="00CF3FF3"/>
    <w:rsid w:val="00CF55B1"/>
    <w:rsid w:val="00CF6BAA"/>
    <w:rsid w:val="00CF70D3"/>
    <w:rsid w:val="00CF7A15"/>
    <w:rsid w:val="00D003CC"/>
    <w:rsid w:val="00D166EA"/>
    <w:rsid w:val="00D17608"/>
    <w:rsid w:val="00D20FE8"/>
    <w:rsid w:val="00D23306"/>
    <w:rsid w:val="00D23B04"/>
    <w:rsid w:val="00D23EF1"/>
    <w:rsid w:val="00D25A5E"/>
    <w:rsid w:val="00D30EEA"/>
    <w:rsid w:val="00D32A98"/>
    <w:rsid w:val="00D367A5"/>
    <w:rsid w:val="00D430DB"/>
    <w:rsid w:val="00D43CD7"/>
    <w:rsid w:val="00D43DA8"/>
    <w:rsid w:val="00D45247"/>
    <w:rsid w:val="00D454C8"/>
    <w:rsid w:val="00D475B2"/>
    <w:rsid w:val="00D477C8"/>
    <w:rsid w:val="00D51CC2"/>
    <w:rsid w:val="00D535A3"/>
    <w:rsid w:val="00D53B23"/>
    <w:rsid w:val="00D54B39"/>
    <w:rsid w:val="00D5607A"/>
    <w:rsid w:val="00D6104E"/>
    <w:rsid w:val="00D630EC"/>
    <w:rsid w:val="00D63A3A"/>
    <w:rsid w:val="00D67BC5"/>
    <w:rsid w:val="00D71809"/>
    <w:rsid w:val="00D74A6B"/>
    <w:rsid w:val="00D74F0F"/>
    <w:rsid w:val="00D75367"/>
    <w:rsid w:val="00D76EF3"/>
    <w:rsid w:val="00D77BDD"/>
    <w:rsid w:val="00D80BAD"/>
    <w:rsid w:val="00D80DA6"/>
    <w:rsid w:val="00D828C3"/>
    <w:rsid w:val="00D856B2"/>
    <w:rsid w:val="00D8696C"/>
    <w:rsid w:val="00D93438"/>
    <w:rsid w:val="00D9477F"/>
    <w:rsid w:val="00D97CE9"/>
    <w:rsid w:val="00DA0C88"/>
    <w:rsid w:val="00DA1973"/>
    <w:rsid w:val="00DA3356"/>
    <w:rsid w:val="00DA5D69"/>
    <w:rsid w:val="00DA7E28"/>
    <w:rsid w:val="00DB1243"/>
    <w:rsid w:val="00DB4896"/>
    <w:rsid w:val="00DB62EF"/>
    <w:rsid w:val="00DB63E4"/>
    <w:rsid w:val="00DC5CED"/>
    <w:rsid w:val="00DC6DC1"/>
    <w:rsid w:val="00DD3054"/>
    <w:rsid w:val="00DD5C9D"/>
    <w:rsid w:val="00DD7FAD"/>
    <w:rsid w:val="00DE0629"/>
    <w:rsid w:val="00DE4A18"/>
    <w:rsid w:val="00DF0F7C"/>
    <w:rsid w:val="00DF133F"/>
    <w:rsid w:val="00DF2035"/>
    <w:rsid w:val="00DF439D"/>
    <w:rsid w:val="00DF67CB"/>
    <w:rsid w:val="00DF6EAC"/>
    <w:rsid w:val="00E00F67"/>
    <w:rsid w:val="00E01305"/>
    <w:rsid w:val="00E06AE8"/>
    <w:rsid w:val="00E071E2"/>
    <w:rsid w:val="00E07394"/>
    <w:rsid w:val="00E11B31"/>
    <w:rsid w:val="00E12178"/>
    <w:rsid w:val="00E14DA0"/>
    <w:rsid w:val="00E165FE"/>
    <w:rsid w:val="00E16F46"/>
    <w:rsid w:val="00E177D5"/>
    <w:rsid w:val="00E22210"/>
    <w:rsid w:val="00E23657"/>
    <w:rsid w:val="00E25321"/>
    <w:rsid w:val="00E25FAD"/>
    <w:rsid w:val="00E30EA5"/>
    <w:rsid w:val="00E31DF1"/>
    <w:rsid w:val="00E413C3"/>
    <w:rsid w:val="00E422EF"/>
    <w:rsid w:val="00E423A1"/>
    <w:rsid w:val="00E436F6"/>
    <w:rsid w:val="00E45183"/>
    <w:rsid w:val="00E45F15"/>
    <w:rsid w:val="00E478D7"/>
    <w:rsid w:val="00E50F80"/>
    <w:rsid w:val="00E559C4"/>
    <w:rsid w:val="00E62546"/>
    <w:rsid w:val="00E626AE"/>
    <w:rsid w:val="00E645E1"/>
    <w:rsid w:val="00E661EF"/>
    <w:rsid w:val="00E663E9"/>
    <w:rsid w:val="00E743FC"/>
    <w:rsid w:val="00E759E9"/>
    <w:rsid w:val="00E77635"/>
    <w:rsid w:val="00E77E13"/>
    <w:rsid w:val="00E810F2"/>
    <w:rsid w:val="00E81617"/>
    <w:rsid w:val="00E82B31"/>
    <w:rsid w:val="00E83506"/>
    <w:rsid w:val="00E8489B"/>
    <w:rsid w:val="00E84EF4"/>
    <w:rsid w:val="00E8521A"/>
    <w:rsid w:val="00E9281B"/>
    <w:rsid w:val="00E9313D"/>
    <w:rsid w:val="00E94E0E"/>
    <w:rsid w:val="00EA0EC3"/>
    <w:rsid w:val="00EA19D4"/>
    <w:rsid w:val="00EA7258"/>
    <w:rsid w:val="00EC0221"/>
    <w:rsid w:val="00EC16E9"/>
    <w:rsid w:val="00EC1E90"/>
    <w:rsid w:val="00EC23D0"/>
    <w:rsid w:val="00EC25DE"/>
    <w:rsid w:val="00EC5A70"/>
    <w:rsid w:val="00ED2327"/>
    <w:rsid w:val="00ED4DCD"/>
    <w:rsid w:val="00EE0654"/>
    <w:rsid w:val="00EE7406"/>
    <w:rsid w:val="00EE7A5A"/>
    <w:rsid w:val="00EF1185"/>
    <w:rsid w:val="00EF294A"/>
    <w:rsid w:val="00EF2A6E"/>
    <w:rsid w:val="00EF3B45"/>
    <w:rsid w:val="00EF6677"/>
    <w:rsid w:val="00EF67B1"/>
    <w:rsid w:val="00EF6944"/>
    <w:rsid w:val="00F0246B"/>
    <w:rsid w:val="00F032CB"/>
    <w:rsid w:val="00F0572C"/>
    <w:rsid w:val="00F1640A"/>
    <w:rsid w:val="00F169C8"/>
    <w:rsid w:val="00F16BB7"/>
    <w:rsid w:val="00F178A4"/>
    <w:rsid w:val="00F22174"/>
    <w:rsid w:val="00F236CB"/>
    <w:rsid w:val="00F2758F"/>
    <w:rsid w:val="00F278F2"/>
    <w:rsid w:val="00F31565"/>
    <w:rsid w:val="00F3331C"/>
    <w:rsid w:val="00F366DE"/>
    <w:rsid w:val="00F4210A"/>
    <w:rsid w:val="00F43133"/>
    <w:rsid w:val="00F44815"/>
    <w:rsid w:val="00F4586C"/>
    <w:rsid w:val="00F45B76"/>
    <w:rsid w:val="00F471A7"/>
    <w:rsid w:val="00F56EA0"/>
    <w:rsid w:val="00F61488"/>
    <w:rsid w:val="00F62D97"/>
    <w:rsid w:val="00F63A5C"/>
    <w:rsid w:val="00F64744"/>
    <w:rsid w:val="00F649F7"/>
    <w:rsid w:val="00F66345"/>
    <w:rsid w:val="00F67BA8"/>
    <w:rsid w:val="00F72196"/>
    <w:rsid w:val="00F7228D"/>
    <w:rsid w:val="00F80BF3"/>
    <w:rsid w:val="00F81F33"/>
    <w:rsid w:val="00F82862"/>
    <w:rsid w:val="00F854EC"/>
    <w:rsid w:val="00F85A1F"/>
    <w:rsid w:val="00F938CD"/>
    <w:rsid w:val="00F95EC5"/>
    <w:rsid w:val="00FA20DA"/>
    <w:rsid w:val="00FA3B4B"/>
    <w:rsid w:val="00FB1A67"/>
    <w:rsid w:val="00FB2113"/>
    <w:rsid w:val="00FB2EE5"/>
    <w:rsid w:val="00FB5192"/>
    <w:rsid w:val="00FB5887"/>
    <w:rsid w:val="00FB5F66"/>
    <w:rsid w:val="00FB60A2"/>
    <w:rsid w:val="00FB7681"/>
    <w:rsid w:val="00FC3C77"/>
    <w:rsid w:val="00FC3F42"/>
    <w:rsid w:val="00FC6963"/>
    <w:rsid w:val="00FC7D9C"/>
    <w:rsid w:val="00FD0537"/>
    <w:rsid w:val="00FD0DE3"/>
    <w:rsid w:val="00FD208F"/>
    <w:rsid w:val="00FD3265"/>
    <w:rsid w:val="00FD3764"/>
    <w:rsid w:val="00FD687A"/>
    <w:rsid w:val="00FE05F2"/>
    <w:rsid w:val="00FE187A"/>
    <w:rsid w:val="00FE5438"/>
    <w:rsid w:val="00FF1AF0"/>
    <w:rsid w:val="00FF2C73"/>
    <w:rsid w:val="00FF2E79"/>
    <w:rsid w:val="00FF4E35"/>
    <w:rsid w:val="00FF65AA"/>
    <w:rsid w:val="00FF6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BA02AC"/>
  <w15:docId w15:val="{1F48D18C-F799-490B-9B9A-8DE68BD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A66DC6"/>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
    <w:qFormat/>
    <w:rsid w:val="002B4569"/>
    <w:pPr>
      <w:suppressAutoHyphens w:val="0"/>
      <w:spacing w:before="100" w:beforeAutospacing="1" w:after="100" w:afterAutospacing="1"/>
      <w:outlineLvl w:val="2"/>
    </w:pPr>
    <w:rPr>
      <w:b/>
      <w:bCs/>
      <w:sz w:val="27"/>
      <w:szCs w:val="27"/>
      <w:lang w:eastAsia="lv-LV"/>
    </w:rPr>
  </w:style>
  <w:style w:type="paragraph" w:styleId="Heading4">
    <w:name w:val="heading 4"/>
    <w:basedOn w:val="Normal"/>
    <w:next w:val="BodyText"/>
    <w:qFormat/>
    <w:pPr>
      <w:tabs>
        <w:tab w:val="num" w:pos="864"/>
      </w:tabs>
      <w:spacing w:before="280" w:after="280"/>
      <w:ind w:left="864" w:hanging="86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FF"/>
      <w:u w:val="single"/>
    </w:rPr>
  </w:style>
  <w:style w:type="character" w:styleId="PageNumber">
    <w:name w:val="page number"/>
    <w:basedOn w:val="DefaultParagraphFont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jc w:val="both"/>
    </w:pPr>
    <w:rPr>
      <w:color w:val="000000"/>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naisf">
    <w:name w:val="naisf"/>
    <w:basedOn w:val="Normal"/>
    <w:rsid w:val="00A21392"/>
    <w:pPr>
      <w:spacing w:before="75" w:after="75"/>
      <w:ind w:firstLine="375"/>
      <w:jc w:val="both"/>
    </w:pPr>
  </w:style>
  <w:style w:type="paragraph" w:customStyle="1" w:styleId="naiskr">
    <w:name w:val="naiskr"/>
    <w:basedOn w:val="Normal"/>
    <w:rsid w:val="004B0A71"/>
    <w:pPr>
      <w:suppressAutoHyphens w:val="0"/>
      <w:spacing w:before="75" w:after="75"/>
    </w:pPr>
    <w:rPr>
      <w:lang w:eastAsia="lv-LV"/>
    </w:rPr>
  </w:style>
  <w:style w:type="paragraph" w:customStyle="1" w:styleId="naispant">
    <w:name w:val="naispant"/>
    <w:basedOn w:val="Normal"/>
    <w:rsid w:val="00FB60A2"/>
    <w:pPr>
      <w:suppressAutoHyphens w:val="0"/>
      <w:spacing w:before="75" w:after="75"/>
      <w:ind w:left="375" w:firstLine="375"/>
      <w:jc w:val="both"/>
    </w:pPr>
    <w:rPr>
      <w:b/>
      <w:bCs/>
      <w:lang w:eastAsia="lv-LV"/>
    </w:rPr>
  </w:style>
  <w:style w:type="paragraph" w:styleId="CommentText">
    <w:name w:val="annotation text"/>
    <w:basedOn w:val="Normal"/>
    <w:semiHidden/>
    <w:rsid w:val="008219E6"/>
    <w:pPr>
      <w:suppressAutoHyphens w:val="0"/>
    </w:pPr>
    <w:rPr>
      <w:sz w:val="20"/>
      <w:szCs w:val="20"/>
      <w:lang w:eastAsia="lv-LV"/>
    </w:rPr>
  </w:style>
  <w:style w:type="paragraph" w:customStyle="1" w:styleId="naisc">
    <w:name w:val="naisc"/>
    <w:basedOn w:val="Normal"/>
    <w:rsid w:val="006857DE"/>
    <w:pPr>
      <w:suppressAutoHyphens w:val="0"/>
      <w:spacing w:before="75" w:after="75"/>
      <w:jc w:val="center"/>
    </w:pPr>
    <w:rPr>
      <w:lang w:eastAsia="lv-LV"/>
    </w:rPr>
  </w:style>
  <w:style w:type="paragraph" w:customStyle="1" w:styleId="naisnod">
    <w:name w:val="naisnod"/>
    <w:basedOn w:val="Normal"/>
    <w:rsid w:val="001C6BF5"/>
    <w:pPr>
      <w:suppressAutoHyphens w:val="0"/>
      <w:spacing w:before="115" w:after="115"/>
      <w:jc w:val="center"/>
    </w:pPr>
    <w:rPr>
      <w:b/>
      <w:bCs/>
      <w:lang w:eastAsia="lv-LV"/>
    </w:rPr>
  </w:style>
  <w:style w:type="character" w:customStyle="1" w:styleId="FooterChar">
    <w:name w:val="Footer Char"/>
    <w:link w:val="Footer"/>
    <w:rsid w:val="00A66DC6"/>
    <w:rPr>
      <w:sz w:val="24"/>
      <w:szCs w:val="24"/>
      <w:lang w:val="lv-LV" w:eastAsia="ar-SA" w:bidi="ar-SA"/>
    </w:rPr>
  </w:style>
  <w:style w:type="character" w:styleId="CommentReference">
    <w:name w:val="annotation reference"/>
    <w:semiHidden/>
    <w:rsid w:val="00FC6963"/>
    <w:rPr>
      <w:sz w:val="16"/>
      <w:szCs w:val="16"/>
    </w:rPr>
  </w:style>
  <w:style w:type="paragraph" w:styleId="CommentSubject">
    <w:name w:val="annotation subject"/>
    <w:basedOn w:val="CommentText"/>
    <w:next w:val="CommentText"/>
    <w:semiHidden/>
    <w:rsid w:val="00FC6963"/>
    <w:pPr>
      <w:suppressAutoHyphens/>
    </w:pPr>
    <w:rPr>
      <w:b/>
      <w:bCs/>
      <w:lang w:eastAsia="ar-SA"/>
    </w:rPr>
  </w:style>
  <w:style w:type="paragraph" w:styleId="BalloonText">
    <w:name w:val="Balloon Text"/>
    <w:basedOn w:val="Normal"/>
    <w:semiHidden/>
    <w:rsid w:val="00FC6963"/>
    <w:rPr>
      <w:rFonts w:ascii="Tahoma" w:hAnsi="Tahoma" w:cs="Tahoma"/>
      <w:sz w:val="16"/>
      <w:szCs w:val="16"/>
    </w:rPr>
  </w:style>
  <w:style w:type="paragraph" w:styleId="BodyText2">
    <w:name w:val="Body Text 2"/>
    <w:basedOn w:val="Normal"/>
    <w:rsid w:val="00262304"/>
    <w:pPr>
      <w:spacing w:after="120" w:line="480" w:lineRule="auto"/>
    </w:pPr>
  </w:style>
  <w:style w:type="paragraph" w:customStyle="1" w:styleId="StyleHeading11">
    <w:name w:val="Style Heading 1 +1"/>
    <w:basedOn w:val="Heading1"/>
    <w:autoRedefine/>
    <w:rsid w:val="00262304"/>
    <w:pPr>
      <w:suppressAutoHyphens w:val="0"/>
      <w:spacing w:before="0" w:after="0"/>
      <w:ind w:left="4140"/>
      <w:jc w:val="right"/>
    </w:pPr>
    <w:rPr>
      <w:rFonts w:ascii="Times New Roman" w:hAnsi="Times New Roman"/>
      <w:kern w:val="0"/>
      <w:sz w:val="28"/>
      <w:lang w:val="en-US" w:eastAsia="en-US"/>
    </w:rPr>
  </w:style>
  <w:style w:type="paragraph" w:styleId="BodyTextIndent">
    <w:name w:val="Body Text Indent"/>
    <w:basedOn w:val="Normal"/>
    <w:rsid w:val="00686001"/>
    <w:pPr>
      <w:spacing w:after="120"/>
      <w:ind w:left="283"/>
    </w:pPr>
  </w:style>
  <w:style w:type="character" w:customStyle="1" w:styleId="NormalTimesNewRomanChar">
    <w:name w:val="Normal;Times New Roman Char"/>
    <w:rsid w:val="00CF17DC"/>
    <w:rPr>
      <w:sz w:val="28"/>
      <w:szCs w:val="28"/>
      <w:lang w:val="lv-LV" w:eastAsia="en-US" w:bidi="ar-SA"/>
    </w:rPr>
  </w:style>
  <w:style w:type="paragraph" w:styleId="ListBullet">
    <w:name w:val="List Bullet"/>
    <w:basedOn w:val="Normal"/>
    <w:autoRedefine/>
    <w:rsid w:val="00CF17DC"/>
    <w:pPr>
      <w:suppressAutoHyphens w:val="0"/>
      <w:ind w:left="12" w:firstLine="708"/>
      <w:jc w:val="both"/>
    </w:pPr>
    <w:rPr>
      <w:bCs/>
      <w:iCs/>
      <w:color w:val="000000"/>
      <w:u w:val="single"/>
      <w:lang w:eastAsia="lv-LV"/>
    </w:rPr>
  </w:style>
  <w:style w:type="paragraph" w:customStyle="1" w:styleId="Heading2">
    <w:name w:val="Heading2"/>
    <w:aliases w:val="times New Roman"/>
    <w:basedOn w:val="Normal"/>
    <w:rsid w:val="00AA5473"/>
    <w:pPr>
      <w:suppressAutoHyphens w:val="0"/>
      <w:jc w:val="both"/>
    </w:pPr>
    <w:rPr>
      <w:b/>
      <w:sz w:val="28"/>
      <w:szCs w:val="28"/>
      <w:lang w:eastAsia="en-US"/>
    </w:rPr>
  </w:style>
  <w:style w:type="paragraph" w:customStyle="1" w:styleId="RakstzRakstzRakstzRakstz">
    <w:name w:val="Rakstz. Rakstz. Rakstz. Rakstz."/>
    <w:basedOn w:val="Normal"/>
    <w:rsid w:val="005E0F23"/>
    <w:pPr>
      <w:suppressAutoHyphens w:val="0"/>
      <w:spacing w:before="40"/>
    </w:pPr>
    <w:rPr>
      <w:sz w:val="28"/>
      <w:szCs w:val="20"/>
      <w:lang w:eastAsia="en-US"/>
    </w:rPr>
  </w:style>
  <w:style w:type="paragraph" w:customStyle="1" w:styleId="naisvisr">
    <w:name w:val="naisvisr"/>
    <w:basedOn w:val="Normal"/>
    <w:rsid w:val="00633F70"/>
    <w:pPr>
      <w:suppressAutoHyphens w:val="0"/>
      <w:spacing w:before="100" w:after="100"/>
      <w:jc w:val="center"/>
    </w:pPr>
    <w:rPr>
      <w:b/>
      <w:bCs/>
      <w:sz w:val="28"/>
      <w:szCs w:val="28"/>
      <w:lang w:eastAsia="lv-LV"/>
    </w:rPr>
  </w:style>
  <w:style w:type="paragraph" w:styleId="Subtitle">
    <w:name w:val="Subtitle"/>
    <w:basedOn w:val="Normal"/>
    <w:link w:val="SubtitleChar"/>
    <w:qFormat/>
    <w:rsid w:val="00D43CD7"/>
    <w:pPr>
      <w:suppressAutoHyphens w:val="0"/>
      <w:jc w:val="center"/>
    </w:pPr>
    <w:rPr>
      <w:b/>
      <w:bCs/>
      <w:sz w:val="32"/>
      <w:lang w:eastAsia="en-US"/>
    </w:rPr>
  </w:style>
  <w:style w:type="character" w:customStyle="1" w:styleId="SubtitleChar">
    <w:name w:val="Subtitle Char"/>
    <w:link w:val="Subtitle"/>
    <w:locked/>
    <w:rsid w:val="00D43CD7"/>
    <w:rPr>
      <w:b/>
      <w:bCs/>
      <w:sz w:val="32"/>
      <w:szCs w:val="24"/>
      <w:lang w:val="lv-LV" w:eastAsia="en-US" w:bidi="ar-SA"/>
    </w:rPr>
  </w:style>
  <w:style w:type="paragraph" w:customStyle="1" w:styleId="msolistparagraph0">
    <w:name w:val="msolistparagraph"/>
    <w:basedOn w:val="Normal"/>
    <w:rsid w:val="00DA7E28"/>
    <w:pPr>
      <w:suppressAutoHyphens w:val="0"/>
      <w:ind w:left="720"/>
    </w:pPr>
    <w:rPr>
      <w:lang w:eastAsia="lv-LV"/>
    </w:rPr>
  </w:style>
  <w:style w:type="paragraph" w:styleId="Title">
    <w:name w:val="Title"/>
    <w:basedOn w:val="Normal"/>
    <w:qFormat/>
    <w:rsid w:val="0087391A"/>
    <w:pPr>
      <w:suppressAutoHyphens w:val="0"/>
      <w:jc w:val="center"/>
    </w:pPr>
    <w:rPr>
      <w:b/>
      <w:bCs/>
      <w:sz w:val="28"/>
      <w:lang w:eastAsia="en-US"/>
    </w:rPr>
  </w:style>
  <w:style w:type="paragraph" w:customStyle="1" w:styleId="tv2131">
    <w:name w:val="tv2131"/>
    <w:basedOn w:val="Normal"/>
    <w:rsid w:val="002B46B9"/>
    <w:pPr>
      <w:suppressAutoHyphens w:val="0"/>
      <w:spacing w:line="360" w:lineRule="auto"/>
      <w:ind w:firstLine="300"/>
    </w:pPr>
    <w:rPr>
      <w:color w:val="414142"/>
      <w:sz w:val="20"/>
      <w:szCs w:val="20"/>
      <w:lang w:eastAsia="lv-LV"/>
    </w:rPr>
  </w:style>
  <w:style w:type="character" w:customStyle="1" w:styleId="Heading3Char">
    <w:name w:val="Heading 3 Char"/>
    <w:link w:val="Heading3"/>
    <w:uiPriority w:val="9"/>
    <w:rsid w:val="002B4569"/>
    <w:rPr>
      <w:b/>
      <w:bCs/>
      <w:sz w:val="27"/>
      <w:szCs w:val="27"/>
    </w:rPr>
  </w:style>
  <w:style w:type="paragraph" w:styleId="ListParagraph">
    <w:name w:val="List Paragraph"/>
    <w:basedOn w:val="Normal"/>
    <w:uiPriority w:val="34"/>
    <w:qFormat/>
    <w:rsid w:val="007B5D2A"/>
    <w:pPr>
      <w:ind w:left="720"/>
      <w:contextualSpacing/>
    </w:pPr>
  </w:style>
  <w:style w:type="table" w:styleId="TableGrid">
    <w:name w:val="Table Grid"/>
    <w:basedOn w:val="TableNormal"/>
    <w:rsid w:val="00F6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C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68101">
      <w:bodyDiv w:val="1"/>
      <w:marLeft w:val="0"/>
      <w:marRight w:val="0"/>
      <w:marTop w:val="0"/>
      <w:marBottom w:val="0"/>
      <w:divBdr>
        <w:top w:val="none" w:sz="0" w:space="0" w:color="auto"/>
        <w:left w:val="none" w:sz="0" w:space="0" w:color="auto"/>
        <w:bottom w:val="none" w:sz="0" w:space="0" w:color="auto"/>
        <w:right w:val="none" w:sz="0" w:space="0" w:color="auto"/>
      </w:divBdr>
    </w:div>
    <w:div w:id="637151181">
      <w:bodyDiv w:val="1"/>
      <w:marLeft w:val="0"/>
      <w:marRight w:val="0"/>
      <w:marTop w:val="0"/>
      <w:marBottom w:val="0"/>
      <w:divBdr>
        <w:top w:val="none" w:sz="0" w:space="0" w:color="auto"/>
        <w:left w:val="none" w:sz="0" w:space="0" w:color="auto"/>
        <w:bottom w:val="none" w:sz="0" w:space="0" w:color="auto"/>
        <w:right w:val="none" w:sz="0" w:space="0" w:color="auto"/>
      </w:divBdr>
    </w:div>
    <w:div w:id="658309778">
      <w:bodyDiv w:val="1"/>
      <w:marLeft w:val="0"/>
      <w:marRight w:val="0"/>
      <w:marTop w:val="0"/>
      <w:marBottom w:val="0"/>
      <w:divBdr>
        <w:top w:val="none" w:sz="0" w:space="0" w:color="auto"/>
        <w:left w:val="none" w:sz="0" w:space="0" w:color="auto"/>
        <w:bottom w:val="none" w:sz="0" w:space="0" w:color="auto"/>
        <w:right w:val="none" w:sz="0" w:space="0" w:color="auto"/>
      </w:divBdr>
    </w:div>
    <w:div w:id="959334540">
      <w:bodyDiv w:val="1"/>
      <w:marLeft w:val="0"/>
      <w:marRight w:val="0"/>
      <w:marTop w:val="0"/>
      <w:marBottom w:val="0"/>
      <w:divBdr>
        <w:top w:val="none" w:sz="0" w:space="0" w:color="auto"/>
        <w:left w:val="none" w:sz="0" w:space="0" w:color="auto"/>
        <w:bottom w:val="none" w:sz="0" w:space="0" w:color="auto"/>
        <w:right w:val="none" w:sz="0" w:space="0" w:color="auto"/>
      </w:divBdr>
      <w:divsChild>
        <w:div w:id="558904572">
          <w:marLeft w:val="0"/>
          <w:marRight w:val="0"/>
          <w:marTop w:val="0"/>
          <w:marBottom w:val="0"/>
          <w:divBdr>
            <w:top w:val="none" w:sz="0" w:space="0" w:color="auto"/>
            <w:left w:val="none" w:sz="0" w:space="0" w:color="auto"/>
            <w:bottom w:val="none" w:sz="0" w:space="0" w:color="auto"/>
            <w:right w:val="none" w:sz="0" w:space="0" w:color="auto"/>
          </w:divBdr>
          <w:divsChild>
            <w:div w:id="279186877">
              <w:marLeft w:val="0"/>
              <w:marRight w:val="0"/>
              <w:marTop w:val="0"/>
              <w:marBottom w:val="0"/>
              <w:divBdr>
                <w:top w:val="none" w:sz="0" w:space="0" w:color="auto"/>
                <w:left w:val="none" w:sz="0" w:space="0" w:color="auto"/>
                <w:bottom w:val="none" w:sz="0" w:space="0" w:color="auto"/>
                <w:right w:val="none" w:sz="0" w:space="0" w:color="auto"/>
              </w:divBdr>
              <w:divsChild>
                <w:div w:id="935600197">
                  <w:marLeft w:val="0"/>
                  <w:marRight w:val="0"/>
                  <w:marTop w:val="0"/>
                  <w:marBottom w:val="0"/>
                  <w:divBdr>
                    <w:top w:val="none" w:sz="0" w:space="0" w:color="auto"/>
                    <w:left w:val="none" w:sz="0" w:space="0" w:color="auto"/>
                    <w:bottom w:val="none" w:sz="0" w:space="0" w:color="auto"/>
                    <w:right w:val="none" w:sz="0" w:space="0" w:color="auto"/>
                  </w:divBdr>
                  <w:divsChild>
                    <w:div w:id="1568296673">
                      <w:marLeft w:val="0"/>
                      <w:marRight w:val="0"/>
                      <w:marTop w:val="0"/>
                      <w:marBottom w:val="0"/>
                      <w:divBdr>
                        <w:top w:val="none" w:sz="0" w:space="0" w:color="auto"/>
                        <w:left w:val="none" w:sz="0" w:space="0" w:color="auto"/>
                        <w:bottom w:val="none" w:sz="0" w:space="0" w:color="auto"/>
                        <w:right w:val="none" w:sz="0" w:space="0" w:color="auto"/>
                      </w:divBdr>
                      <w:divsChild>
                        <w:div w:id="1146893380">
                          <w:marLeft w:val="0"/>
                          <w:marRight w:val="0"/>
                          <w:marTop w:val="0"/>
                          <w:marBottom w:val="0"/>
                          <w:divBdr>
                            <w:top w:val="none" w:sz="0" w:space="0" w:color="auto"/>
                            <w:left w:val="none" w:sz="0" w:space="0" w:color="auto"/>
                            <w:bottom w:val="none" w:sz="0" w:space="0" w:color="auto"/>
                            <w:right w:val="none" w:sz="0" w:space="0" w:color="auto"/>
                          </w:divBdr>
                          <w:divsChild>
                            <w:div w:id="8305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55">
      <w:bodyDiv w:val="1"/>
      <w:marLeft w:val="0"/>
      <w:marRight w:val="0"/>
      <w:marTop w:val="0"/>
      <w:marBottom w:val="0"/>
      <w:divBdr>
        <w:top w:val="none" w:sz="0" w:space="0" w:color="auto"/>
        <w:left w:val="none" w:sz="0" w:space="0" w:color="auto"/>
        <w:bottom w:val="none" w:sz="0" w:space="0" w:color="auto"/>
        <w:right w:val="none" w:sz="0" w:space="0" w:color="auto"/>
      </w:divBdr>
    </w:div>
    <w:div w:id="1204053352">
      <w:bodyDiv w:val="1"/>
      <w:marLeft w:val="45"/>
      <w:marRight w:val="45"/>
      <w:marTop w:val="90"/>
      <w:marBottom w:val="90"/>
      <w:divBdr>
        <w:top w:val="none" w:sz="0" w:space="0" w:color="auto"/>
        <w:left w:val="none" w:sz="0" w:space="0" w:color="auto"/>
        <w:bottom w:val="none" w:sz="0" w:space="0" w:color="auto"/>
        <w:right w:val="none" w:sz="0" w:space="0" w:color="auto"/>
      </w:divBdr>
      <w:divsChild>
        <w:div w:id="486090553">
          <w:marLeft w:val="0"/>
          <w:marRight w:val="0"/>
          <w:marTop w:val="0"/>
          <w:marBottom w:val="567"/>
          <w:divBdr>
            <w:top w:val="none" w:sz="0" w:space="0" w:color="auto"/>
            <w:left w:val="none" w:sz="0" w:space="0" w:color="auto"/>
            <w:bottom w:val="none" w:sz="0" w:space="0" w:color="auto"/>
            <w:right w:val="none" w:sz="0" w:space="0" w:color="auto"/>
          </w:divBdr>
        </w:div>
      </w:divsChild>
    </w:div>
    <w:div w:id="1279794759">
      <w:bodyDiv w:val="1"/>
      <w:marLeft w:val="0"/>
      <w:marRight w:val="0"/>
      <w:marTop w:val="0"/>
      <w:marBottom w:val="0"/>
      <w:divBdr>
        <w:top w:val="none" w:sz="0" w:space="0" w:color="auto"/>
        <w:left w:val="none" w:sz="0" w:space="0" w:color="auto"/>
        <w:bottom w:val="none" w:sz="0" w:space="0" w:color="auto"/>
        <w:right w:val="none" w:sz="0" w:space="0" w:color="auto"/>
      </w:divBdr>
    </w:div>
    <w:div w:id="1591507294">
      <w:bodyDiv w:val="1"/>
      <w:marLeft w:val="0"/>
      <w:marRight w:val="0"/>
      <w:marTop w:val="0"/>
      <w:marBottom w:val="0"/>
      <w:divBdr>
        <w:top w:val="none" w:sz="0" w:space="0" w:color="auto"/>
        <w:left w:val="none" w:sz="0" w:space="0" w:color="auto"/>
        <w:bottom w:val="none" w:sz="0" w:space="0" w:color="auto"/>
        <w:right w:val="none" w:sz="0" w:space="0" w:color="auto"/>
      </w:divBdr>
      <w:divsChild>
        <w:div w:id="917203698">
          <w:marLeft w:val="0"/>
          <w:marRight w:val="0"/>
          <w:marTop w:val="0"/>
          <w:marBottom w:val="0"/>
          <w:divBdr>
            <w:top w:val="none" w:sz="0" w:space="0" w:color="auto"/>
            <w:left w:val="none" w:sz="0" w:space="0" w:color="auto"/>
            <w:bottom w:val="none" w:sz="0" w:space="0" w:color="auto"/>
            <w:right w:val="none" w:sz="0" w:space="0" w:color="auto"/>
          </w:divBdr>
          <w:divsChild>
            <w:div w:id="311059181">
              <w:marLeft w:val="0"/>
              <w:marRight w:val="0"/>
              <w:marTop w:val="0"/>
              <w:marBottom w:val="0"/>
              <w:divBdr>
                <w:top w:val="none" w:sz="0" w:space="0" w:color="auto"/>
                <w:left w:val="none" w:sz="0" w:space="0" w:color="auto"/>
                <w:bottom w:val="none" w:sz="0" w:space="0" w:color="auto"/>
                <w:right w:val="none" w:sz="0" w:space="0" w:color="auto"/>
              </w:divBdr>
              <w:divsChild>
                <w:div w:id="421296691">
                  <w:marLeft w:val="0"/>
                  <w:marRight w:val="0"/>
                  <w:marTop w:val="0"/>
                  <w:marBottom w:val="0"/>
                  <w:divBdr>
                    <w:top w:val="none" w:sz="0" w:space="0" w:color="auto"/>
                    <w:left w:val="none" w:sz="0" w:space="0" w:color="auto"/>
                    <w:bottom w:val="none" w:sz="0" w:space="0" w:color="auto"/>
                    <w:right w:val="none" w:sz="0" w:space="0" w:color="auto"/>
                  </w:divBdr>
                  <w:divsChild>
                    <w:div w:id="1435321493">
                      <w:marLeft w:val="0"/>
                      <w:marRight w:val="0"/>
                      <w:marTop w:val="0"/>
                      <w:marBottom w:val="0"/>
                      <w:divBdr>
                        <w:top w:val="none" w:sz="0" w:space="0" w:color="auto"/>
                        <w:left w:val="none" w:sz="0" w:space="0" w:color="auto"/>
                        <w:bottom w:val="none" w:sz="0" w:space="0" w:color="auto"/>
                        <w:right w:val="none" w:sz="0" w:space="0" w:color="auto"/>
                      </w:divBdr>
                      <w:divsChild>
                        <w:div w:id="2006933034">
                          <w:marLeft w:val="0"/>
                          <w:marRight w:val="0"/>
                          <w:marTop w:val="0"/>
                          <w:marBottom w:val="0"/>
                          <w:divBdr>
                            <w:top w:val="none" w:sz="0" w:space="0" w:color="auto"/>
                            <w:left w:val="none" w:sz="0" w:space="0" w:color="auto"/>
                            <w:bottom w:val="none" w:sz="0" w:space="0" w:color="auto"/>
                            <w:right w:val="none" w:sz="0" w:space="0" w:color="auto"/>
                          </w:divBdr>
                          <w:divsChild>
                            <w:div w:id="9767618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gov.lv/lv/izstrade-esosie-attistibas-planosanas-dokumenti-un-tiesibu-ak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Ministru kabineta noteikumu projekta „Grozījums Ministru kabineta 2013.gada 3.decembra noteikumos Nr.1393 „Noteikumi par universālā pasta pakalpojuma saistību izpildes tīro izmaksu kompensēšanu”” sākotnējās ietekmes novērtējuma ziņojums (anotācija)</vt:lpstr>
    </vt:vector>
  </TitlesOfParts>
  <Manager/>
  <Company>Satiksmes ministrija</Company>
  <LinksUpToDate>false</LinksUpToDate>
  <CharactersWithSpaces>5726</CharactersWithSpaces>
  <SharedDoc>false</SharedDoc>
  <HLinks>
    <vt:vector size="6" baseType="variant">
      <vt:variant>
        <vt:i4>3801096</vt:i4>
      </vt:variant>
      <vt:variant>
        <vt:i4>0</vt:i4>
      </vt:variant>
      <vt:variant>
        <vt:i4>0</vt:i4>
      </vt:variant>
      <vt:variant>
        <vt:i4>5</vt:i4>
      </vt:variant>
      <vt:variant>
        <vt:lpwstr>mailto:ingrida.igaune@sam.gov.lv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2013.gada 3.decembra noteikumos Nr.1393 „Noteikumi par universālā pasta pakalpojuma saistību izpildes tīro izmaksu kompensēšanu”” sākotnējās ietekmes novērtējuma ziņojums (anotācija)</dc:title>
  <dc:subject>Ministru kabineta noteikumu projekta anotācija</dc:subject>
  <dc:creator>Inese Pakule</dc:creator>
  <dc:description>inese.pakule@sam.gov.lv;
tel. 67028115</dc:description>
  <cp:lastModifiedBy>Inese</cp:lastModifiedBy>
  <cp:revision>3</cp:revision>
  <cp:lastPrinted>2018-11-29T12:26:00Z</cp:lastPrinted>
  <dcterms:created xsi:type="dcterms:W3CDTF">2020-11-19T07:28:00Z</dcterms:created>
  <dcterms:modified xsi:type="dcterms:W3CDTF">2020-11-19T07:38:00Z</dcterms:modified>
</cp:coreProperties>
</file>