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F34B5" w14:textId="6CF12B99" w:rsidR="00B964CB" w:rsidRPr="00595B91" w:rsidRDefault="0082450A" w:rsidP="00B964CB">
      <w:pPr>
        <w:shd w:val="clear" w:color="auto" w:fill="FFFFFF"/>
        <w:spacing w:before="60" w:after="120" w:line="240" w:lineRule="auto"/>
        <w:jc w:val="center"/>
        <w:rPr>
          <w:rFonts w:ascii="Times New Roman" w:eastAsia="Times New Roman" w:hAnsi="Times New Roman" w:cs="Times New Roman"/>
          <w:color w:val="000000"/>
          <w:sz w:val="24"/>
          <w:szCs w:val="24"/>
          <w:lang w:val="lv-LV"/>
        </w:rPr>
      </w:pPr>
      <w:r w:rsidRPr="00595B91">
        <w:rPr>
          <w:rFonts w:ascii="Times New Roman" w:eastAsia="Times New Roman" w:hAnsi="Times New Roman" w:cs="Times New Roman"/>
          <w:color w:val="000000"/>
          <w:sz w:val="24"/>
          <w:szCs w:val="24"/>
          <w:lang w:val="lv-LV"/>
        </w:rPr>
        <w:t xml:space="preserve">Izvērtējums par </w:t>
      </w:r>
      <w:r w:rsidR="0070330D" w:rsidRPr="00595B91">
        <w:rPr>
          <w:rFonts w:ascii="Times New Roman" w:eastAsia="Times New Roman" w:hAnsi="Times New Roman" w:cs="Times New Roman"/>
          <w:color w:val="000000"/>
          <w:sz w:val="24"/>
          <w:szCs w:val="24"/>
          <w:lang w:val="lv-LV"/>
        </w:rPr>
        <w:t xml:space="preserve">“Platjoslas jeb ļoti augstas veiktspējas tīklu “pēdējās jūdzes” infrastruktūras attīstība” </w:t>
      </w:r>
      <w:r w:rsidR="00D92B4F" w:rsidRPr="00595B91">
        <w:rPr>
          <w:rFonts w:ascii="Times New Roman" w:eastAsia="Times New Roman" w:hAnsi="Times New Roman" w:cs="Times New Roman"/>
          <w:color w:val="000000"/>
          <w:sz w:val="24"/>
          <w:szCs w:val="24"/>
          <w:lang w:val="lv-LV"/>
        </w:rPr>
        <w:t>investīciju atbilstību</w:t>
      </w:r>
      <w:r w:rsidR="00EC4D12" w:rsidRPr="00595B91">
        <w:rPr>
          <w:rFonts w:ascii="Times New Roman" w:eastAsia="Times New Roman" w:hAnsi="Times New Roman" w:cs="Times New Roman"/>
          <w:color w:val="000000"/>
          <w:sz w:val="24"/>
          <w:szCs w:val="24"/>
          <w:lang w:val="lv-LV"/>
        </w:rPr>
        <w:t xml:space="preserve"> Eiropas Komisijas </w:t>
      </w:r>
      <w:r w:rsidR="00E270FD" w:rsidRPr="00595B91">
        <w:rPr>
          <w:rFonts w:ascii="Times New Roman" w:eastAsia="Times New Roman" w:hAnsi="Times New Roman" w:cs="Times New Roman"/>
          <w:color w:val="000000"/>
          <w:sz w:val="24"/>
          <w:szCs w:val="24"/>
          <w:lang w:val="lv-LV"/>
        </w:rPr>
        <w:t xml:space="preserve">2023. gada 23. jūnijs </w:t>
      </w:r>
      <w:r w:rsidR="00EC4D12" w:rsidRPr="00595B91">
        <w:rPr>
          <w:rFonts w:ascii="Times New Roman" w:eastAsia="Times New Roman" w:hAnsi="Times New Roman" w:cs="Times New Roman"/>
          <w:color w:val="000000"/>
          <w:sz w:val="24"/>
          <w:szCs w:val="24"/>
          <w:lang w:val="lv-LV"/>
        </w:rPr>
        <w:t>regulas</w:t>
      </w:r>
      <w:r w:rsidR="00E270FD" w:rsidRPr="00595B91">
        <w:rPr>
          <w:rFonts w:ascii="Times New Roman" w:eastAsia="Times New Roman" w:hAnsi="Times New Roman" w:cs="Times New Roman"/>
          <w:color w:val="000000"/>
          <w:sz w:val="24"/>
          <w:szCs w:val="24"/>
          <w:lang w:val="lv-LV"/>
        </w:rPr>
        <w:t xml:space="preserve"> Nr. </w:t>
      </w:r>
      <w:r w:rsidR="00EC4D12" w:rsidRPr="00595B91">
        <w:rPr>
          <w:rFonts w:ascii="Times New Roman" w:eastAsia="Times New Roman" w:hAnsi="Times New Roman" w:cs="Times New Roman"/>
          <w:color w:val="000000"/>
          <w:sz w:val="24"/>
          <w:szCs w:val="24"/>
          <w:lang w:val="lv-LV"/>
        </w:rPr>
        <w:t xml:space="preserve"> 2023/1315</w:t>
      </w:r>
      <w:r w:rsidR="00E270FD" w:rsidRPr="00595B91">
        <w:rPr>
          <w:rFonts w:ascii="Times New Roman" w:eastAsia="Times New Roman" w:hAnsi="Times New Roman" w:cs="Times New Roman"/>
          <w:color w:val="000000"/>
          <w:sz w:val="24"/>
          <w:szCs w:val="24"/>
          <w:lang w:val="lv-LV"/>
        </w:rPr>
        <w:t xml:space="preserve">, </w:t>
      </w:r>
      <w:r w:rsidR="00EC4D12" w:rsidRPr="00595B91">
        <w:rPr>
          <w:rFonts w:ascii="Times New Roman" w:eastAsia="Times New Roman" w:hAnsi="Times New Roman" w:cs="Times New Roman"/>
          <w:i/>
          <w:iCs/>
          <w:color w:val="000000"/>
          <w:sz w:val="24"/>
          <w:szCs w:val="24"/>
          <w:lang w:val="lv-LV"/>
        </w:rPr>
        <w:t>ar kuru groza Regulu (ES) Nr. 651/2014, ar ko noteiktas atbalsta kategorijas atzīst par saderīgām ar iekšējo tirgu, piemērojot Līguma 107. un 108. pantu, un Regulu (ES) 2022/2473, ar kuru, piemērojot Līguma 107. un 108. pantu, dažu kategoriju atbalstu uzņēmumiem, kas nodarbojas ar zvejas un akvakultūras produktu ražošanu, apstrādi un tirdzniecību, atzīst par saderīgu ar iekšējo tirgu</w:t>
      </w:r>
      <w:r w:rsidR="00D92B4F" w:rsidRPr="00595B91">
        <w:rPr>
          <w:rFonts w:ascii="Times New Roman" w:eastAsia="Times New Roman" w:hAnsi="Times New Roman" w:cs="Times New Roman"/>
          <w:color w:val="000000"/>
          <w:sz w:val="24"/>
          <w:szCs w:val="24"/>
          <w:lang w:val="lv-LV"/>
        </w:rPr>
        <w:t xml:space="preserve"> </w:t>
      </w:r>
      <w:r w:rsidR="00B964CB" w:rsidRPr="00595B91">
        <w:rPr>
          <w:rFonts w:ascii="Times New Roman" w:eastAsia="Times New Roman" w:hAnsi="Times New Roman" w:cs="Times New Roman"/>
          <w:color w:val="000000"/>
          <w:sz w:val="24"/>
          <w:szCs w:val="24"/>
          <w:lang w:val="lv-LV"/>
        </w:rPr>
        <w:t xml:space="preserve">52. </w:t>
      </w:r>
      <w:r w:rsidR="0048218D" w:rsidRPr="00595B91">
        <w:rPr>
          <w:rFonts w:ascii="Times New Roman" w:eastAsia="Times New Roman" w:hAnsi="Times New Roman" w:cs="Times New Roman"/>
          <w:color w:val="000000"/>
          <w:sz w:val="24"/>
          <w:szCs w:val="24"/>
          <w:lang w:val="lv-LV"/>
        </w:rPr>
        <w:t>p</w:t>
      </w:r>
      <w:r w:rsidR="00B964CB" w:rsidRPr="00595B91">
        <w:rPr>
          <w:rFonts w:ascii="Times New Roman" w:eastAsia="Times New Roman" w:hAnsi="Times New Roman" w:cs="Times New Roman"/>
          <w:color w:val="000000"/>
          <w:sz w:val="24"/>
          <w:szCs w:val="24"/>
          <w:lang w:val="lv-LV"/>
        </w:rPr>
        <w:t>antam</w:t>
      </w:r>
      <w:r w:rsidR="0048218D" w:rsidRPr="00595B91">
        <w:rPr>
          <w:rFonts w:ascii="Times New Roman" w:eastAsia="Times New Roman" w:hAnsi="Times New Roman" w:cs="Times New Roman"/>
          <w:color w:val="000000"/>
          <w:sz w:val="24"/>
          <w:szCs w:val="24"/>
          <w:lang w:val="lv-LV"/>
        </w:rPr>
        <w:t>.</w:t>
      </w:r>
    </w:p>
    <w:p w14:paraId="6598B325" w14:textId="05AF12F8" w:rsidR="000E391A" w:rsidRPr="00595B91" w:rsidRDefault="00723857" w:rsidP="006F55F0">
      <w:pPr>
        <w:shd w:val="clear" w:color="auto" w:fill="D9D9D9" w:themeFill="background1" w:themeFillShade="D9"/>
        <w:spacing w:before="120" w:after="0" w:line="240" w:lineRule="auto"/>
        <w:jc w:val="both"/>
        <w:rPr>
          <w:rFonts w:ascii="inherit" w:eastAsia="Times New Roman" w:hAnsi="inherit" w:cs="Times New Roman"/>
          <w:color w:val="000000"/>
          <w:sz w:val="24"/>
          <w:szCs w:val="24"/>
          <w:lang w:val="lv-LV"/>
        </w:rPr>
      </w:pPr>
      <w:r w:rsidRPr="00595B91">
        <w:rPr>
          <w:rFonts w:ascii="inherit" w:eastAsia="Times New Roman" w:hAnsi="inherit" w:cs="Times New Roman"/>
          <w:color w:val="000000"/>
          <w:sz w:val="24"/>
          <w:szCs w:val="24"/>
          <w:lang w:val="lv-LV"/>
        </w:rPr>
        <w:t>1.   Atbalsts fiksēto platjoslas tīklu izvēršanai ir saderīgs ar iekšējo tirgu Līguma 107. panta 3. punkta nozīmē un ir atbrīvots no Līguma 108. panta 3. punktā noteiktās paziņošanas prasības, ja ir izpildīti šajā pantā un I nodaļā paredzētie nosacījumi.</w:t>
      </w:r>
    </w:p>
    <w:p w14:paraId="5C61EC67" w14:textId="77885D82" w:rsidR="00E365BA" w:rsidRPr="00595B91" w:rsidRDefault="00D80FD3" w:rsidP="00415010">
      <w:pPr>
        <w:shd w:val="clear" w:color="auto" w:fill="FFFFFF"/>
        <w:spacing w:before="120" w:after="0" w:line="240" w:lineRule="auto"/>
        <w:jc w:val="both"/>
        <w:rPr>
          <w:rFonts w:ascii="inherit" w:eastAsia="Times New Roman" w:hAnsi="inherit" w:cs="Times New Roman"/>
          <w:color w:val="000000"/>
          <w:sz w:val="24"/>
          <w:szCs w:val="24"/>
          <w:lang w:val="lv-LV"/>
        </w:rPr>
      </w:pPr>
      <w:r w:rsidRPr="00595B91">
        <w:rPr>
          <w:rFonts w:ascii="inherit" w:eastAsia="Times New Roman" w:hAnsi="inherit" w:cs="Times New Roman"/>
          <w:color w:val="000000"/>
          <w:sz w:val="24"/>
          <w:szCs w:val="24"/>
          <w:lang w:val="lv-LV"/>
        </w:rPr>
        <w:t xml:space="preserve">Atbilst </w:t>
      </w:r>
      <w:r w:rsidR="00415010" w:rsidRPr="00595B91">
        <w:rPr>
          <w:rFonts w:ascii="inherit" w:eastAsia="Times New Roman" w:hAnsi="inherit" w:cs="Times New Roman"/>
          <w:color w:val="000000"/>
          <w:sz w:val="24"/>
          <w:szCs w:val="24"/>
          <w:lang w:val="lv-LV"/>
        </w:rPr>
        <w:t>Eiropas Komisijas 2014. gada 17. jūnija regulas Nr. 651/2014</w:t>
      </w:r>
      <w:r w:rsidR="00415010" w:rsidRPr="00595B91">
        <w:rPr>
          <w:rFonts w:ascii="inherit" w:eastAsia="Times New Roman" w:hAnsi="inherit" w:cs="Times New Roman"/>
          <w:i/>
          <w:iCs/>
          <w:color w:val="000000"/>
          <w:sz w:val="24"/>
          <w:szCs w:val="24"/>
          <w:lang w:val="lv-LV"/>
        </w:rPr>
        <w:t xml:space="preserve">, ar ko noteiktas atbalsta kategorijas atzīst par saderīgām ar iekšējo tirgu, piemērojot Līguma 107. un 108. </w:t>
      </w:r>
      <w:r w:rsidR="006E3871" w:rsidRPr="00595B91">
        <w:rPr>
          <w:rFonts w:ascii="inherit" w:eastAsia="Times New Roman" w:hAnsi="inherit" w:cs="Times New Roman"/>
          <w:i/>
          <w:iCs/>
          <w:color w:val="000000"/>
          <w:sz w:val="24"/>
          <w:szCs w:val="24"/>
          <w:lang w:val="lv-LV"/>
        </w:rPr>
        <w:t>p</w:t>
      </w:r>
      <w:r w:rsidR="00415010" w:rsidRPr="00595B91">
        <w:rPr>
          <w:rFonts w:ascii="inherit" w:eastAsia="Times New Roman" w:hAnsi="inherit" w:cs="Times New Roman"/>
          <w:i/>
          <w:iCs/>
          <w:color w:val="000000"/>
          <w:sz w:val="24"/>
          <w:szCs w:val="24"/>
          <w:lang w:val="lv-LV"/>
        </w:rPr>
        <w:t>antu</w:t>
      </w:r>
      <w:r w:rsidR="006E3871" w:rsidRPr="00595B91">
        <w:rPr>
          <w:rFonts w:ascii="inherit" w:eastAsia="Times New Roman" w:hAnsi="inherit" w:cs="Times New Roman"/>
          <w:i/>
          <w:iCs/>
          <w:color w:val="000000"/>
          <w:sz w:val="24"/>
          <w:szCs w:val="24"/>
          <w:lang w:val="lv-LV"/>
        </w:rPr>
        <w:t>,</w:t>
      </w:r>
      <w:r w:rsidR="00415010" w:rsidRPr="00595B91">
        <w:rPr>
          <w:rFonts w:ascii="inherit" w:eastAsia="Times New Roman" w:hAnsi="inherit" w:cs="Times New Roman"/>
          <w:i/>
          <w:iCs/>
          <w:color w:val="000000"/>
          <w:sz w:val="24"/>
          <w:szCs w:val="24"/>
          <w:lang w:val="lv-LV"/>
        </w:rPr>
        <w:t xml:space="preserve"> </w:t>
      </w:r>
      <w:r w:rsidR="00D469EF" w:rsidRPr="00595B91">
        <w:rPr>
          <w:rFonts w:ascii="inherit" w:eastAsia="Times New Roman" w:hAnsi="inherit" w:cs="Times New Roman"/>
          <w:i/>
          <w:iCs/>
          <w:color w:val="000000"/>
          <w:sz w:val="24"/>
          <w:szCs w:val="24"/>
          <w:lang w:val="lv-LV"/>
        </w:rPr>
        <w:t>(turpmāk – regula Nr.</w:t>
      </w:r>
      <w:r w:rsidR="006E3871" w:rsidRPr="00595B91">
        <w:rPr>
          <w:rFonts w:ascii="inherit" w:eastAsia="Times New Roman" w:hAnsi="inherit" w:cs="Times New Roman"/>
          <w:i/>
          <w:iCs/>
          <w:color w:val="000000"/>
          <w:sz w:val="24"/>
          <w:szCs w:val="24"/>
          <w:lang w:val="lv-LV"/>
        </w:rPr>
        <w:t xml:space="preserve">651/2014) </w:t>
      </w:r>
      <w:r w:rsidRPr="00595B91">
        <w:rPr>
          <w:rFonts w:ascii="inherit" w:eastAsia="Times New Roman" w:hAnsi="inherit" w:cs="Times New Roman"/>
          <w:color w:val="000000"/>
          <w:sz w:val="24"/>
          <w:szCs w:val="24"/>
          <w:lang w:val="lv-LV"/>
        </w:rPr>
        <w:t>I nodaļā paredzētajiem nosacījumiem</w:t>
      </w:r>
      <w:r w:rsidR="00FD7123" w:rsidRPr="00595B91">
        <w:rPr>
          <w:rFonts w:ascii="inherit" w:eastAsia="Times New Roman" w:hAnsi="inherit" w:cs="Times New Roman"/>
          <w:color w:val="000000"/>
          <w:sz w:val="24"/>
          <w:szCs w:val="24"/>
          <w:lang w:val="lv-LV"/>
        </w:rPr>
        <w:t xml:space="preserve"> </w:t>
      </w:r>
      <w:r w:rsidRPr="00595B91">
        <w:rPr>
          <w:rFonts w:ascii="inherit" w:eastAsia="Times New Roman" w:hAnsi="inherit" w:cs="Times New Roman"/>
          <w:color w:val="000000"/>
          <w:sz w:val="24"/>
          <w:szCs w:val="24"/>
          <w:lang w:val="lv-LV"/>
        </w:rPr>
        <w:t>(</w:t>
      </w:r>
      <w:hyperlink r:id="rId11" w:history="1">
        <w:r w:rsidR="00F42DFD" w:rsidRPr="00595B91">
          <w:rPr>
            <w:rStyle w:val="Hyperlink"/>
            <w:rFonts w:ascii="inherit" w:eastAsia="Times New Roman" w:hAnsi="inherit" w:cs="Times New Roman"/>
            <w:sz w:val="24"/>
            <w:szCs w:val="24"/>
            <w:lang w:val="lv-LV"/>
          </w:rPr>
          <w:t>https://eur-lex.europa.eu/legal-content/EN/TXT/?uri=CELEX%3A02014R0651-20230525</w:t>
        </w:r>
      </w:hyperlink>
      <w:r w:rsidR="00F42DFD" w:rsidRPr="00595B91">
        <w:rPr>
          <w:rFonts w:ascii="inherit" w:eastAsia="Times New Roman" w:hAnsi="inherit" w:cs="Times New Roman"/>
          <w:color w:val="000000"/>
          <w:sz w:val="24"/>
          <w:szCs w:val="24"/>
          <w:lang w:val="lv-LV"/>
        </w:rPr>
        <w:t>)</w:t>
      </w:r>
      <w:r w:rsidR="00E365BA" w:rsidRPr="00595B91">
        <w:rPr>
          <w:rFonts w:ascii="inherit" w:eastAsia="Times New Roman" w:hAnsi="inherit" w:cs="Times New Roman"/>
          <w:color w:val="000000"/>
          <w:sz w:val="24"/>
          <w:szCs w:val="24"/>
          <w:lang w:val="lv-LV"/>
        </w:rPr>
        <w:t>:</w:t>
      </w:r>
    </w:p>
    <w:p w14:paraId="49779977" w14:textId="4EF703CF" w:rsidR="002D68EA" w:rsidRPr="00595B91" w:rsidRDefault="00DD0BBA" w:rsidP="00FD7123">
      <w:pPr>
        <w:pStyle w:val="ListParagraph"/>
        <w:numPr>
          <w:ilvl w:val="1"/>
          <w:numId w:val="1"/>
        </w:numPr>
        <w:shd w:val="clear" w:color="auto" w:fill="FFFFFF"/>
        <w:tabs>
          <w:tab w:val="left" w:pos="426"/>
        </w:tabs>
        <w:spacing w:before="120" w:after="0" w:line="240" w:lineRule="auto"/>
        <w:ind w:left="0" w:firstLine="0"/>
        <w:jc w:val="both"/>
        <w:rPr>
          <w:rFonts w:ascii="inherit" w:eastAsia="Times New Roman" w:hAnsi="inherit" w:cs="Times New Roman"/>
          <w:color w:val="000000"/>
          <w:sz w:val="24"/>
          <w:szCs w:val="24"/>
          <w:lang w:val="lv-LV"/>
        </w:rPr>
      </w:pPr>
      <w:r w:rsidRPr="00595B91">
        <w:rPr>
          <w:rFonts w:ascii="inherit" w:eastAsia="Times New Roman" w:hAnsi="inherit" w:cs="Times New Roman"/>
          <w:color w:val="000000"/>
          <w:sz w:val="24"/>
          <w:szCs w:val="24"/>
          <w:lang w:val="lv-LV"/>
        </w:rPr>
        <w:t xml:space="preserve">Atbilst regulas Nr.651/2014 1. </w:t>
      </w:r>
      <w:r w:rsidR="007B7EEC" w:rsidRPr="00595B91">
        <w:rPr>
          <w:rFonts w:ascii="inherit" w:eastAsia="Times New Roman" w:hAnsi="inherit" w:cs="Times New Roman"/>
          <w:color w:val="000000"/>
          <w:sz w:val="24"/>
          <w:szCs w:val="24"/>
          <w:lang w:val="lv-LV"/>
        </w:rPr>
        <w:t>p</w:t>
      </w:r>
      <w:r w:rsidRPr="00595B91">
        <w:rPr>
          <w:rFonts w:ascii="inherit" w:eastAsia="Times New Roman" w:hAnsi="inherit" w:cs="Times New Roman"/>
          <w:color w:val="000000"/>
          <w:sz w:val="24"/>
          <w:szCs w:val="24"/>
          <w:lang w:val="lv-LV"/>
        </w:rPr>
        <w:t>ant</w:t>
      </w:r>
      <w:r w:rsidR="007B7EEC" w:rsidRPr="00595B91">
        <w:rPr>
          <w:rFonts w:ascii="inherit" w:eastAsia="Times New Roman" w:hAnsi="inherit" w:cs="Times New Roman"/>
          <w:color w:val="000000"/>
          <w:sz w:val="24"/>
          <w:szCs w:val="24"/>
          <w:lang w:val="lv-LV"/>
        </w:rPr>
        <w:t>a 1</w:t>
      </w:r>
      <w:r w:rsidR="00084394" w:rsidRPr="00595B91">
        <w:rPr>
          <w:rFonts w:ascii="inherit" w:eastAsia="Times New Roman" w:hAnsi="inherit" w:cs="Times New Roman"/>
          <w:color w:val="000000"/>
          <w:sz w:val="24"/>
          <w:szCs w:val="24"/>
          <w:lang w:val="lv-LV"/>
        </w:rPr>
        <w:t>. punkta</w:t>
      </w:r>
      <w:r w:rsidR="007B7EEC" w:rsidRPr="00595B91">
        <w:rPr>
          <w:rFonts w:ascii="inherit" w:eastAsia="Times New Roman" w:hAnsi="inherit" w:cs="Times New Roman"/>
          <w:color w:val="000000"/>
          <w:sz w:val="24"/>
          <w:szCs w:val="24"/>
          <w:lang w:val="lv-LV"/>
        </w:rPr>
        <w:t xml:space="preserve"> i) apakšpunkta darbības jomai - </w:t>
      </w:r>
      <w:r w:rsidR="002D68EA" w:rsidRPr="00595B91">
        <w:rPr>
          <w:rFonts w:ascii="inherit" w:eastAsia="Times New Roman" w:hAnsi="inherit" w:cs="Times New Roman"/>
          <w:color w:val="000000"/>
          <w:sz w:val="24"/>
          <w:szCs w:val="24"/>
          <w:lang w:val="lv-LV"/>
        </w:rPr>
        <w:t>atbalsts platjoslas infrastruktūrai;</w:t>
      </w:r>
      <w:r w:rsidR="004524F8" w:rsidRPr="00595B91">
        <w:rPr>
          <w:rFonts w:ascii="inherit" w:eastAsia="Times New Roman" w:hAnsi="inherit" w:cs="Times New Roman"/>
          <w:color w:val="000000"/>
          <w:sz w:val="24"/>
          <w:szCs w:val="24"/>
          <w:lang w:val="lv-LV"/>
        </w:rPr>
        <w:t xml:space="preserve"> </w:t>
      </w:r>
      <w:r w:rsidR="00084394" w:rsidRPr="00595B91">
        <w:rPr>
          <w:rFonts w:ascii="inherit" w:eastAsia="Times New Roman" w:hAnsi="inherit" w:cs="Times New Roman"/>
          <w:color w:val="000000"/>
          <w:sz w:val="24"/>
          <w:szCs w:val="24"/>
          <w:lang w:val="lv-LV"/>
        </w:rPr>
        <w:t>nav</w:t>
      </w:r>
      <w:r w:rsidR="004524F8" w:rsidRPr="00595B91">
        <w:rPr>
          <w:rFonts w:ascii="inherit" w:eastAsia="Times New Roman" w:hAnsi="inherit" w:cs="Times New Roman"/>
          <w:color w:val="000000"/>
          <w:sz w:val="24"/>
          <w:szCs w:val="24"/>
          <w:lang w:val="lv-LV"/>
        </w:rPr>
        <w:t xml:space="preserve"> attiecināmas šīs regulas 1. </w:t>
      </w:r>
      <w:r w:rsidR="00084394" w:rsidRPr="00595B91">
        <w:rPr>
          <w:rFonts w:ascii="inherit" w:eastAsia="Times New Roman" w:hAnsi="inherit" w:cs="Times New Roman"/>
          <w:color w:val="000000"/>
          <w:sz w:val="24"/>
          <w:szCs w:val="24"/>
          <w:lang w:val="lv-LV"/>
        </w:rPr>
        <w:t>p</w:t>
      </w:r>
      <w:r w:rsidR="004524F8" w:rsidRPr="00595B91">
        <w:rPr>
          <w:rFonts w:ascii="inherit" w:eastAsia="Times New Roman" w:hAnsi="inherit" w:cs="Times New Roman"/>
          <w:color w:val="000000"/>
          <w:sz w:val="24"/>
          <w:szCs w:val="24"/>
          <w:lang w:val="lv-LV"/>
        </w:rPr>
        <w:t xml:space="preserve">anta 2. </w:t>
      </w:r>
      <w:r w:rsidR="00084394" w:rsidRPr="00595B91">
        <w:rPr>
          <w:rFonts w:ascii="inherit" w:eastAsia="Times New Roman" w:hAnsi="inherit" w:cs="Times New Roman"/>
          <w:color w:val="000000"/>
          <w:sz w:val="24"/>
          <w:szCs w:val="24"/>
          <w:lang w:val="lv-LV"/>
        </w:rPr>
        <w:t>p</w:t>
      </w:r>
      <w:r w:rsidR="004524F8" w:rsidRPr="00595B91">
        <w:rPr>
          <w:rFonts w:ascii="inherit" w:eastAsia="Times New Roman" w:hAnsi="inherit" w:cs="Times New Roman"/>
          <w:color w:val="000000"/>
          <w:sz w:val="24"/>
          <w:szCs w:val="24"/>
          <w:lang w:val="lv-LV"/>
        </w:rPr>
        <w:t>unk</w:t>
      </w:r>
      <w:r w:rsidR="00084394" w:rsidRPr="00595B91">
        <w:rPr>
          <w:rFonts w:ascii="inherit" w:eastAsia="Times New Roman" w:hAnsi="inherit" w:cs="Times New Roman"/>
          <w:color w:val="000000"/>
          <w:sz w:val="24"/>
          <w:szCs w:val="24"/>
          <w:lang w:val="lv-LV"/>
        </w:rPr>
        <w:t xml:space="preserve">tā atbalsta jomas. </w:t>
      </w:r>
    </w:p>
    <w:p w14:paraId="2A569329" w14:textId="705E01CF" w:rsidR="002A76A4" w:rsidRPr="00595B91" w:rsidRDefault="002A76A4" w:rsidP="00FD7123">
      <w:pPr>
        <w:pStyle w:val="ListParagraph"/>
        <w:numPr>
          <w:ilvl w:val="1"/>
          <w:numId w:val="1"/>
        </w:numPr>
        <w:shd w:val="clear" w:color="auto" w:fill="FFFFFF"/>
        <w:tabs>
          <w:tab w:val="left" w:pos="426"/>
        </w:tabs>
        <w:spacing w:before="120" w:after="0" w:line="240" w:lineRule="auto"/>
        <w:ind w:left="0" w:firstLine="0"/>
        <w:jc w:val="both"/>
        <w:rPr>
          <w:rFonts w:ascii="inherit" w:eastAsia="Times New Roman" w:hAnsi="inherit" w:cs="Times New Roman"/>
          <w:color w:val="000000"/>
          <w:sz w:val="24"/>
          <w:szCs w:val="24"/>
          <w:lang w:val="lv-LV"/>
        </w:rPr>
      </w:pPr>
      <w:r w:rsidRPr="00595B91">
        <w:rPr>
          <w:rFonts w:ascii="inherit" w:eastAsia="Times New Roman" w:hAnsi="inherit" w:cs="Times New Roman"/>
          <w:color w:val="000000"/>
          <w:sz w:val="24"/>
          <w:szCs w:val="24"/>
          <w:lang w:val="lv-LV"/>
        </w:rPr>
        <w:t xml:space="preserve">Terminu lietojums ir atbilstošs </w:t>
      </w:r>
      <w:r w:rsidR="00A53438" w:rsidRPr="00595B91">
        <w:rPr>
          <w:rFonts w:ascii="inherit" w:eastAsia="Times New Roman" w:hAnsi="inherit" w:cs="Times New Roman"/>
          <w:color w:val="000000"/>
          <w:sz w:val="24"/>
          <w:szCs w:val="24"/>
          <w:lang w:val="lv-LV"/>
        </w:rPr>
        <w:t xml:space="preserve">regulas Nr.651/2014 </w:t>
      </w:r>
      <w:r w:rsidRPr="00595B91">
        <w:rPr>
          <w:rFonts w:ascii="inherit" w:eastAsia="Times New Roman" w:hAnsi="inherit" w:cs="Times New Roman"/>
          <w:color w:val="000000"/>
          <w:sz w:val="24"/>
          <w:szCs w:val="24"/>
          <w:lang w:val="lv-LV"/>
        </w:rPr>
        <w:t xml:space="preserve">2. </w:t>
      </w:r>
      <w:r w:rsidR="00A53438" w:rsidRPr="00595B91">
        <w:rPr>
          <w:rFonts w:ascii="inherit" w:eastAsia="Times New Roman" w:hAnsi="inherit" w:cs="Times New Roman"/>
          <w:color w:val="000000"/>
          <w:sz w:val="24"/>
          <w:szCs w:val="24"/>
          <w:lang w:val="lv-LV"/>
        </w:rPr>
        <w:t>p</w:t>
      </w:r>
      <w:r w:rsidRPr="00595B91">
        <w:rPr>
          <w:rFonts w:ascii="inherit" w:eastAsia="Times New Roman" w:hAnsi="inherit" w:cs="Times New Roman"/>
          <w:color w:val="000000"/>
          <w:sz w:val="24"/>
          <w:szCs w:val="24"/>
          <w:lang w:val="lv-LV"/>
        </w:rPr>
        <w:t>ant</w:t>
      </w:r>
      <w:r w:rsidR="00A53438" w:rsidRPr="00595B91">
        <w:rPr>
          <w:rFonts w:ascii="inherit" w:eastAsia="Times New Roman" w:hAnsi="inherit" w:cs="Times New Roman"/>
          <w:color w:val="000000"/>
          <w:sz w:val="24"/>
          <w:szCs w:val="24"/>
          <w:lang w:val="lv-LV"/>
        </w:rPr>
        <w:t>ā uzskaitāmajām definīcijām</w:t>
      </w:r>
      <w:r w:rsidR="00C754A6" w:rsidRPr="00595B91">
        <w:rPr>
          <w:rFonts w:ascii="inherit" w:eastAsia="Times New Roman" w:hAnsi="inherit" w:cs="Times New Roman"/>
          <w:color w:val="000000"/>
          <w:sz w:val="24"/>
          <w:szCs w:val="24"/>
          <w:lang w:val="lv-LV"/>
        </w:rPr>
        <w:t xml:space="preserve"> un 3.panta</w:t>
      </w:r>
      <w:r w:rsidR="001F7BE3" w:rsidRPr="00595B91">
        <w:rPr>
          <w:rFonts w:ascii="inherit" w:eastAsia="Times New Roman" w:hAnsi="inherit" w:cs="Times New Roman"/>
          <w:color w:val="000000"/>
          <w:sz w:val="24"/>
          <w:szCs w:val="24"/>
          <w:lang w:val="lv-LV"/>
        </w:rPr>
        <w:t xml:space="preserve"> atbrīvojuma piešķiršanas nosacījumiem</w:t>
      </w:r>
      <w:r w:rsidR="0052111F" w:rsidRPr="00595B91">
        <w:rPr>
          <w:rFonts w:ascii="inherit" w:eastAsia="Times New Roman" w:hAnsi="inherit" w:cs="Times New Roman"/>
          <w:color w:val="000000"/>
          <w:sz w:val="24"/>
          <w:szCs w:val="24"/>
          <w:lang w:val="lv-LV"/>
        </w:rPr>
        <w:t>, nosakot, ka ”</w:t>
      </w:r>
      <w:r w:rsidR="0052111F" w:rsidRPr="00595B91">
        <w:rPr>
          <w:rFonts w:ascii="inherit" w:eastAsia="Times New Roman" w:hAnsi="inherit" w:cs="Times New Roman"/>
          <w:i/>
          <w:iCs/>
          <w:color w:val="000000"/>
          <w:sz w:val="24"/>
          <w:szCs w:val="24"/>
          <w:lang w:val="lv-LV"/>
        </w:rPr>
        <w:t>atbalstam atbilst visiem šīs regulas I nodaļā paredzētajiem nosacījumiem, kā arī attiecīgajai atbalsta kategorijai noteiktajiem īpašajiem nosacījumiem, kas paredzēti šīs regulas III nodaļā</w:t>
      </w:r>
      <w:r w:rsidR="0052111F" w:rsidRPr="00595B91">
        <w:rPr>
          <w:rFonts w:ascii="inherit" w:eastAsia="Times New Roman" w:hAnsi="inherit" w:cs="Times New Roman"/>
          <w:color w:val="000000"/>
          <w:sz w:val="24"/>
          <w:szCs w:val="24"/>
          <w:lang w:val="lv-LV"/>
        </w:rPr>
        <w:t xml:space="preserve">”, tas ir 52. </w:t>
      </w:r>
      <w:r w:rsidR="00F23ECE" w:rsidRPr="00595B91">
        <w:rPr>
          <w:rFonts w:ascii="inherit" w:eastAsia="Times New Roman" w:hAnsi="inherit" w:cs="Times New Roman"/>
          <w:color w:val="000000"/>
          <w:sz w:val="24"/>
          <w:szCs w:val="24"/>
          <w:lang w:val="lv-LV"/>
        </w:rPr>
        <w:t>p</w:t>
      </w:r>
      <w:r w:rsidR="0052111F" w:rsidRPr="00595B91">
        <w:rPr>
          <w:rFonts w:ascii="inherit" w:eastAsia="Times New Roman" w:hAnsi="inherit" w:cs="Times New Roman"/>
          <w:color w:val="000000"/>
          <w:sz w:val="24"/>
          <w:szCs w:val="24"/>
          <w:lang w:val="lv-LV"/>
        </w:rPr>
        <w:t xml:space="preserve">antam, kura izvērtējums </w:t>
      </w:r>
      <w:r w:rsidR="00F23ECE" w:rsidRPr="00595B91">
        <w:rPr>
          <w:rFonts w:ascii="inherit" w:eastAsia="Times New Roman" w:hAnsi="inherit" w:cs="Times New Roman"/>
          <w:color w:val="000000"/>
          <w:sz w:val="24"/>
          <w:szCs w:val="24"/>
          <w:lang w:val="lv-LV"/>
        </w:rPr>
        <w:t>ir iekļauts zemāk</w:t>
      </w:r>
      <w:r w:rsidR="0052111F" w:rsidRPr="00595B91">
        <w:rPr>
          <w:rFonts w:ascii="inherit" w:eastAsia="Times New Roman" w:hAnsi="inherit" w:cs="Times New Roman"/>
          <w:color w:val="000000"/>
          <w:sz w:val="24"/>
          <w:szCs w:val="24"/>
          <w:lang w:val="lv-LV"/>
        </w:rPr>
        <w:t>.</w:t>
      </w:r>
    </w:p>
    <w:p w14:paraId="512E7766" w14:textId="46744137" w:rsidR="00FD7123" w:rsidRPr="00595B91" w:rsidRDefault="001D6C11" w:rsidP="00FD7123">
      <w:pPr>
        <w:pStyle w:val="ListParagraph"/>
        <w:numPr>
          <w:ilvl w:val="1"/>
          <w:numId w:val="1"/>
        </w:numPr>
        <w:shd w:val="clear" w:color="auto" w:fill="FFFFFF"/>
        <w:tabs>
          <w:tab w:val="left" w:pos="426"/>
        </w:tabs>
        <w:spacing w:before="120" w:after="0" w:line="240" w:lineRule="auto"/>
        <w:ind w:left="0" w:firstLine="0"/>
        <w:jc w:val="both"/>
        <w:rPr>
          <w:rFonts w:ascii="inherit" w:eastAsia="Times New Roman" w:hAnsi="inherit" w:cs="Times New Roman"/>
          <w:color w:val="000000"/>
          <w:sz w:val="24"/>
          <w:szCs w:val="24"/>
          <w:lang w:val="lv-LV"/>
        </w:rPr>
      </w:pPr>
      <w:r w:rsidRPr="00595B91">
        <w:rPr>
          <w:rFonts w:ascii="inherit" w:eastAsia="Times New Roman" w:hAnsi="inherit" w:cs="Times New Roman"/>
          <w:color w:val="000000"/>
          <w:sz w:val="24"/>
          <w:szCs w:val="24"/>
          <w:lang w:val="lv-LV"/>
        </w:rPr>
        <w:t>N</w:t>
      </w:r>
      <w:r w:rsidR="00123BA9" w:rsidRPr="00595B91">
        <w:rPr>
          <w:rFonts w:ascii="inherit" w:eastAsia="Times New Roman" w:hAnsi="inherit" w:cs="Times New Roman"/>
          <w:color w:val="000000"/>
          <w:sz w:val="24"/>
          <w:szCs w:val="24"/>
          <w:lang w:val="lv-LV"/>
        </w:rPr>
        <w:t xml:space="preserve">epārsniedz </w:t>
      </w:r>
      <w:r w:rsidR="00BD61F0" w:rsidRPr="00595B91">
        <w:rPr>
          <w:rFonts w:ascii="inherit" w:eastAsia="Times New Roman" w:hAnsi="inherit" w:cs="Times New Roman"/>
          <w:color w:val="000000"/>
          <w:sz w:val="24"/>
          <w:szCs w:val="24"/>
          <w:lang w:val="lv-LV"/>
        </w:rPr>
        <w:t xml:space="preserve">regulas Nr.651/2014 </w:t>
      </w:r>
      <w:r w:rsidR="00221933" w:rsidRPr="00595B91">
        <w:rPr>
          <w:rFonts w:ascii="inherit" w:eastAsia="Times New Roman" w:hAnsi="inherit" w:cs="Times New Roman"/>
          <w:color w:val="000000"/>
          <w:sz w:val="24"/>
          <w:szCs w:val="24"/>
          <w:lang w:val="lv-LV"/>
        </w:rPr>
        <w:t xml:space="preserve">4. </w:t>
      </w:r>
      <w:r w:rsidR="00030F39" w:rsidRPr="00595B91">
        <w:rPr>
          <w:rFonts w:ascii="inherit" w:eastAsia="Times New Roman" w:hAnsi="inherit" w:cs="Times New Roman"/>
          <w:color w:val="000000"/>
          <w:sz w:val="24"/>
          <w:szCs w:val="24"/>
          <w:lang w:val="lv-LV"/>
        </w:rPr>
        <w:t>p</w:t>
      </w:r>
      <w:r w:rsidR="00221933" w:rsidRPr="00595B91">
        <w:rPr>
          <w:rFonts w:ascii="inherit" w:eastAsia="Times New Roman" w:hAnsi="inherit" w:cs="Times New Roman"/>
          <w:color w:val="000000"/>
          <w:sz w:val="24"/>
          <w:szCs w:val="24"/>
          <w:lang w:val="lv-LV"/>
        </w:rPr>
        <w:t>ant</w:t>
      </w:r>
      <w:r w:rsidR="00030F39" w:rsidRPr="00595B91">
        <w:rPr>
          <w:rFonts w:ascii="inherit" w:eastAsia="Times New Roman" w:hAnsi="inherit" w:cs="Times New Roman"/>
          <w:color w:val="000000"/>
          <w:sz w:val="24"/>
          <w:szCs w:val="24"/>
          <w:lang w:val="lv-LV"/>
        </w:rPr>
        <w:t xml:space="preserve">ā </w:t>
      </w:r>
      <w:r w:rsidR="00D56E96" w:rsidRPr="00595B91">
        <w:rPr>
          <w:rFonts w:ascii="inherit" w:eastAsia="Times New Roman" w:hAnsi="inherit" w:cs="Times New Roman"/>
          <w:color w:val="000000"/>
          <w:sz w:val="24"/>
          <w:szCs w:val="24"/>
          <w:lang w:val="lv-LV"/>
        </w:rPr>
        <w:t xml:space="preserve">y) apakšpunktā </w:t>
      </w:r>
      <w:r w:rsidR="00030F39" w:rsidRPr="00595B91">
        <w:rPr>
          <w:rFonts w:ascii="inherit" w:eastAsia="Times New Roman" w:hAnsi="inherit" w:cs="Times New Roman"/>
          <w:color w:val="000000"/>
          <w:sz w:val="24"/>
          <w:szCs w:val="24"/>
          <w:lang w:val="lv-LV"/>
        </w:rPr>
        <w:t xml:space="preserve">noteikto robežvērtību </w:t>
      </w:r>
      <w:r w:rsidR="00221933" w:rsidRPr="00595B91">
        <w:rPr>
          <w:rFonts w:ascii="inherit" w:eastAsia="Times New Roman" w:hAnsi="inherit" w:cs="Times New Roman"/>
          <w:color w:val="000000"/>
          <w:sz w:val="24"/>
          <w:szCs w:val="24"/>
          <w:lang w:val="lv-LV"/>
        </w:rPr>
        <w:t xml:space="preserve"> </w:t>
      </w:r>
      <w:r w:rsidR="00D56E96" w:rsidRPr="00595B91">
        <w:rPr>
          <w:rFonts w:ascii="inherit" w:eastAsia="Times New Roman" w:hAnsi="inherit" w:cs="Times New Roman"/>
          <w:color w:val="000000"/>
          <w:sz w:val="24"/>
          <w:szCs w:val="24"/>
          <w:lang w:val="lv-LV"/>
        </w:rPr>
        <w:t xml:space="preserve">- </w:t>
      </w:r>
      <w:r w:rsidR="00123BA9" w:rsidRPr="00595B91">
        <w:rPr>
          <w:rFonts w:ascii="inherit" w:eastAsia="Times New Roman" w:hAnsi="inherit" w:cs="Times New Roman"/>
          <w:color w:val="000000"/>
          <w:sz w:val="24"/>
          <w:szCs w:val="24"/>
          <w:lang w:val="lv-LV"/>
        </w:rPr>
        <w:t>100 milj. EUR</w:t>
      </w:r>
      <w:r w:rsidR="00D56E96" w:rsidRPr="00595B91">
        <w:rPr>
          <w:rFonts w:ascii="inherit" w:eastAsia="Times New Roman" w:hAnsi="inherit" w:cs="Times New Roman"/>
          <w:color w:val="000000"/>
          <w:sz w:val="24"/>
          <w:szCs w:val="24"/>
          <w:lang w:val="lv-LV"/>
        </w:rPr>
        <w:t xml:space="preserve"> vienam projektam</w:t>
      </w:r>
      <w:r w:rsidR="00030F39" w:rsidRPr="00595B91">
        <w:rPr>
          <w:rFonts w:ascii="inherit" w:eastAsia="Times New Roman" w:hAnsi="inherit" w:cs="Times New Roman"/>
          <w:color w:val="000000"/>
          <w:sz w:val="24"/>
          <w:szCs w:val="24"/>
          <w:lang w:val="lv-LV"/>
        </w:rPr>
        <w:t xml:space="preserve">. </w:t>
      </w:r>
    </w:p>
    <w:p w14:paraId="5754863D" w14:textId="1ECA8F80" w:rsidR="002A76A4" w:rsidRPr="00595B91" w:rsidRDefault="00BD61F0" w:rsidP="00FD7123">
      <w:pPr>
        <w:pStyle w:val="ListParagraph"/>
        <w:numPr>
          <w:ilvl w:val="1"/>
          <w:numId w:val="1"/>
        </w:numPr>
        <w:shd w:val="clear" w:color="auto" w:fill="FFFFFF"/>
        <w:tabs>
          <w:tab w:val="left" w:pos="426"/>
        </w:tabs>
        <w:spacing w:before="120" w:after="0" w:line="240" w:lineRule="auto"/>
        <w:ind w:left="0" w:firstLine="0"/>
        <w:jc w:val="both"/>
        <w:rPr>
          <w:rFonts w:ascii="inherit" w:eastAsia="Times New Roman" w:hAnsi="inherit" w:cs="Times New Roman"/>
          <w:color w:val="000000"/>
          <w:sz w:val="24"/>
          <w:szCs w:val="24"/>
          <w:lang w:val="lv-LV"/>
        </w:rPr>
      </w:pPr>
      <w:r w:rsidRPr="00595B91">
        <w:rPr>
          <w:rFonts w:ascii="inherit" w:eastAsia="Times New Roman" w:hAnsi="inherit" w:cs="Times New Roman"/>
          <w:color w:val="000000"/>
          <w:sz w:val="24"/>
          <w:szCs w:val="24"/>
          <w:lang w:val="lv-LV"/>
        </w:rPr>
        <w:t>Atbilst regulas Nr.651/2014</w:t>
      </w:r>
      <w:r w:rsidR="002B4CD4" w:rsidRPr="00595B91">
        <w:rPr>
          <w:rFonts w:ascii="inherit" w:eastAsia="Times New Roman" w:hAnsi="inherit" w:cs="Times New Roman"/>
          <w:color w:val="000000"/>
          <w:sz w:val="24"/>
          <w:szCs w:val="24"/>
          <w:lang w:val="lv-LV"/>
        </w:rPr>
        <w:t xml:space="preserve"> 5. </w:t>
      </w:r>
      <w:r w:rsidR="009F5EC1" w:rsidRPr="00595B91">
        <w:rPr>
          <w:rFonts w:ascii="inherit" w:eastAsia="Times New Roman" w:hAnsi="inherit" w:cs="Times New Roman"/>
          <w:color w:val="000000"/>
          <w:sz w:val="24"/>
          <w:szCs w:val="24"/>
          <w:lang w:val="lv-LV"/>
        </w:rPr>
        <w:t>p</w:t>
      </w:r>
      <w:r w:rsidR="002B4CD4" w:rsidRPr="00595B91">
        <w:rPr>
          <w:rFonts w:ascii="inherit" w:eastAsia="Times New Roman" w:hAnsi="inherit" w:cs="Times New Roman"/>
          <w:color w:val="000000"/>
          <w:sz w:val="24"/>
          <w:szCs w:val="24"/>
          <w:lang w:val="lv-LV"/>
        </w:rPr>
        <w:t>ant</w:t>
      </w:r>
      <w:r w:rsidR="003B40DC" w:rsidRPr="00595B91">
        <w:rPr>
          <w:rFonts w:ascii="inherit" w:eastAsia="Times New Roman" w:hAnsi="inherit" w:cs="Times New Roman"/>
          <w:color w:val="000000"/>
          <w:sz w:val="24"/>
          <w:szCs w:val="24"/>
          <w:lang w:val="lv-LV"/>
        </w:rPr>
        <w:t xml:space="preserve">ā noteiktai prasībai par atbalsta pārredzamību, tas ir, </w:t>
      </w:r>
      <w:r w:rsidR="009F5EC1" w:rsidRPr="00595B91">
        <w:rPr>
          <w:rFonts w:ascii="inherit" w:eastAsia="Times New Roman" w:hAnsi="inherit" w:cs="Times New Roman"/>
          <w:color w:val="000000"/>
          <w:sz w:val="24"/>
          <w:szCs w:val="24"/>
          <w:lang w:val="lv-LV"/>
        </w:rPr>
        <w:t xml:space="preserve">5.panta </w:t>
      </w:r>
      <w:r w:rsidR="00CD5012" w:rsidRPr="00595B91">
        <w:rPr>
          <w:rFonts w:ascii="inherit" w:eastAsia="Times New Roman" w:hAnsi="inherit" w:cs="Times New Roman"/>
          <w:color w:val="000000"/>
          <w:sz w:val="24"/>
          <w:szCs w:val="24"/>
          <w:lang w:val="lv-LV"/>
        </w:rPr>
        <w:t>2. a) apakšpunktam</w:t>
      </w:r>
      <w:r w:rsidR="009F5EC1" w:rsidRPr="00595B91">
        <w:rPr>
          <w:rFonts w:ascii="inherit" w:eastAsia="Times New Roman" w:hAnsi="inherit" w:cs="Times New Roman"/>
          <w:color w:val="000000"/>
          <w:sz w:val="24"/>
          <w:szCs w:val="24"/>
          <w:lang w:val="lv-LV"/>
        </w:rPr>
        <w:t xml:space="preserve"> - </w:t>
      </w:r>
      <w:r w:rsidR="00CD5012" w:rsidRPr="00595B91">
        <w:rPr>
          <w:rFonts w:ascii="inherit" w:eastAsia="Times New Roman" w:hAnsi="inherit" w:cs="Times New Roman"/>
          <w:color w:val="000000"/>
          <w:sz w:val="24"/>
          <w:szCs w:val="24"/>
          <w:lang w:val="lv-LV"/>
        </w:rPr>
        <w:t xml:space="preserve"> </w:t>
      </w:r>
      <w:r w:rsidR="003B40DC" w:rsidRPr="00595B91">
        <w:rPr>
          <w:rFonts w:ascii="inherit" w:eastAsia="Times New Roman" w:hAnsi="inherit" w:cs="Times New Roman"/>
          <w:color w:val="000000"/>
          <w:sz w:val="24"/>
          <w:szCs w:val="24"/>
          <w:lang w:val="lv-LV"/>
        </w:rPr>
        <w:t xml:space="preserve">atbalsts </w:t>
      </w:r>
      <w:r w:rsidR="009F5EC1" w:rsidRPr="00595B91">
        <w:rPr>
          <w:rFonts w:ascii="inherit" w:eastAsia="Times New Roman" w:hAnsi="inherit" w:cs="Times New Roman"/>
          <w:color w:val="000000"/>
          <w:sz w:val="24"/>
          <w:szCs w:val="24"/>
          <w:lang w:val="lv-LV"/>
        </w:rPr>
        <w:t xml:space="preserve">ir </w:t>
      </w:r>
      <w:r w:rsidR="003B40DC" w:rsidRPr="00595B91">
        <w:rPr>
          <w:rFonts w:ascii="inherit" w:eastAsia="Times New Roman" w:hAnsi="inherit" w:cs="Times New Roman"/>
          <w:color w:val="000000"/>
          <w:sz w:val="24"/>
          <w:szCs w:val="24"/>
          <w:lang w:val="lv-LV"/>
        </w:rPr>
        <w:t>dotācij</w:t>
      </w:r>
      <w:r w:rsidR="009F5EC1" w:rsidRPr="00595B91">
        <w:rPr>
          <w:rFonts w:ascii="inherit" w:eastAsia="Times New Roman" w:hAnsi="inherit" w:cs="Times New Roman"/>
          <w:color w:val="000000"/>
          <w:sz w:val="24"/>
          <w:szCs w:val="24"/>
          <w:lang w:val="lv-LV"/>
        </w:rPr>
        <w:t xml:space="preserve">a, </w:t>
      </w:r>
      <w:r w:rsidR="006F319D" w:rsidRPr="00595B91">
        <w:rPr>
          <w:rFonts w:ascii="inherit" w:eastAsia="Times New Roman" w:hAnsi="inherit" w:cs="Times New Roman"/>
          <w:color w:val="000000"/>
          <w:sz w:val="24"/>
          <w:szCs w:val="24"/>
          <w:lang w:val="lv-LV"/>
        </w:rPr>
        <w:t>kas tiek uzskatīts par pārredzamu atbalsta kategoriju.</w:t>
      </w:r>
    </w:p>
    <w:p w14:paraId="60F1108A" w14:textId="3C047B79" w:rsidR="00E6139D" w:rsidRDefault="00E6139D" w:rsidP="00FD7123">
      <w:pPr>
        <w:pStyle w:val="ListParagraph"/>
        <w:numPr>
          <w:ilvl w:val="1"/>
          <w:numId w:val="1"/>
        </w:numPr>
        <w:shd w:val="clear" w:color="auto" w:fill="FFFFFF"/>
        <w:tabs>
          <w:tab w:val="left" w:pos="426"/>
        </w:tabs>
        <w:spacing w:before="120" w:after="0" w:line="240" w:lineRule="auto"/>
        <w:ind w:left="0" w:firstLine="0"/>
        <w:jc w:val="both"/>
        <w:rPr>
          <w:rFonts w:ascii="inherit" w:eastAsia="Times New Roman" w:hAnsi="inherit" w:cs="Times New Roman"/>
          <w:color w:val="000000"/>
          <w:sz w:val="24"/>
          <w:szCs w:val="24"/>
          <w:lang w:val="lv-LV"/>
        </w:rPr>
      </w:pPr>
      <w:r w:rsidRPr="00595B91">
        <w:rPr>
          <w:rFonts w:ascii="inherit" w:eastAsia="Times New Roman" w:hAnsi="inherit" w:cs="Times New Roman"/>
          <w:color w:val="000000"/>
          <w:sz w:val="24"/>
          <w:szCs w:val="24"/>
          <w:lang w:val="lv-LV"/>
        </w:rPr>
        <w:t xml:space="preserve">Atbilst regulas Nr.651/2014 </w:t>
      </w:r>
      <w:r w:rsidR="00975F67" w:rsidRPr="00595B91">
        <w:rPr>
          <w:rFonts w:ascii="inherit" w:eastAsia="Times New Roman" w:hAnsi="inherit" w:cs="Times New Roman"/>
          <w:color w:val="000000"/>
          <w:sz w:val="24"/>
          <w:szCs w:val="24"/>
          <w:lang w:val="lv-LV"/>
        </w:rPr>
        <w:t xml:space="preserve">6. </w:t>
      </w:r>
      <w:r w:rsidR="00841FA4" w:rsidRPr="00595B91">
        <w:rPr>
          <w:rFonts w:ascii="inherit" w:eastAsia="Times New Roman" w:hAnsi="inherit" w:cs="Times New Roman"/>
          <w:color w:val="000000"/>
          <w:sz w:val="24"/>
          <w:szCs w:val="24"/>
          <w:lang w:val="lv-LV"/>
        </w:rPr>
        <w:t>p</w:t>
      </w:r>
      <w:r w:rsidR="00975F67" w:rsidRPr="00595B91">
        <w:rPr>
          <w:rFonts w:ascii="inherit" w:eastAsia="Times New Roman" w:hAnsi="inherit" w:cs="Times New Roman"/>
          <w:color w:val="000000"/>
          <w:sz w:val="24"/>
          <w:szCs w:val="24"/>
          <w:lang w:val="lv-LV"/>
        </w:rPr>
        <w:t>ant</w:t>
      </w:r>
      <w:r w:rsidR="00841FA4" w:rsidRPr="00595B91">
        <w:rPr>
          <w:rFonts w:ascii="inherit" w:eastAsia="Times New Roman" w:hAnsi="inherit" w:cs="Times New Roman"/>
          <w:color w:val="000000"/>
          <w:sz w:val="24"/>
          <w:szCs w:val="24"/>
          <w:lang w:val="lv-LV"/>
        </w:rPr>
        <w:t>a 2. punktā</w:t>
      </w:r>
      <w:r w:rsidR="00975F67" w:rsidRPr="00595B91">
        <w:rPr>
          <w:rFonts w:ascii="inherit" w:eastAsia="Times New Roman" w:hAnsi="inherit" w:cs="Times New Roman"/>
          <w:color w:val="000000"/>
          <w:sz w:val="24"/>
          <w:szCs w:val="24"/>
          <w:lang w:val="lv-LV"/>
        </w:rPr>
        <w:t xml:space="preserve"> noteiktajai prasībai par stimulējošo ietekmi</w:t>
      </w:r>
      <w:r w:rsidR="00841FA4" w:rsidRPr="00595B91">
        <w:rPr>
          <w:rFonts w:ascii="inherit" w:eastAsia="Times New Roman" w:hAnsi="inherit" w:cs="Times New Roman"/>
          <w:color w:val="000000"/>
          <w:sz w:val="24"/>
          <w:szCs w:val="24"/>
          <w:lang w:val="lv-LV"/>
        </w:rPr>
        <w:t>, ņemot vērā, ka saskaņā ar MK noteikumu projekt</w:t>
      </w:r>
      <w:r w:rsidR="00FE1A89" w:rsidRPr="00595B91">
        <w:rPr>
          <w:rFonts w:ascii="inherit" w:eastAsia="Times New Roman" w:hAnsi="inherit" w:cs="Times New Roman"/>
          <w:color w:val="000000"/>
          <w:sz w:val="24"/>
          <w:szCs w:val="24"/>
          <w:lang w:val="lv-LV"/>
        </w:rPr>
        <w:t xml:space="preserve">u paredzēts, ka </w:t>
      </w:r>
      <w:r w:rsidR="000C171C" w:rsidRPr="00595B91">
        <w:rPr>
          <w:rFonts w:ascii="inherit" w:eastAsia="Times New Roman" w:hAnsi="inherit" w:cs="Times New Roman"/>
          <w:color w:val="000000"/>
          <w:sz w:val="24"/>
          <w:szCs w:val="24"/>
          <w:lang w:val="lv-LV"/>
        </w:rPr>
        <w:t xml:space="preserve">atbalsts netiks  piešķirts uzsāktiem projektiem. </w:t>
      </w:r>
    </w:p>
    <w:p w14:paraId="31D17540" w14:textId="77777777" w:rsidR="00524E8F" w:rsidRDefault="00275CA0" w:rsidP="00FD7123">
      <w:pPr>
        <w:pStyle w:val="ListParagraph"/>
        <w:numPr>
          <w:ilvl w:val="1"/>
          <w:numId w:val="1"/>
        </w:numPr>
        <w:shd w:val="clear" w:color="auto" w:fill="FFFFFF"/>
        <w:tabs>
          <w:tab w:val="left" w:pos="426"/>
        </w:tabs>
        <w:spacing w:before="120" w:after="0" w:line="240" w:lineRule="auto"/>
        <w:ind w:left="0" w:firstLine="0"/>
        <w:jc w:val="both"/>
        <w:rPr>
          <w:rFonts w:ascii="inherit" w:eastAsia="Times New Roman" w:hAnsi="inherit" w:cs="Times New Roman"/>
          <w:color w:val="000000"/>
          <w:sz w:val="24"/>
          <w:szCs w:val="24"/>
          <w:lang w:val="lv-LV"/>
        </w:rPr>
      </w:pPr>
      <w:r>
        <w:rPr>
          <w:rFonts w:ascii="inherit" w:eastAsia="Times New Roman" w:hAnsi="inherit" w:cs="Times New Roman"/>
          <w:color w:val="000000"/>
          <w:sz w:val="24"/>
          <w:szCs w:val="24"/>
          <w:lang w:val="lv-LV"/>
        </w:rPr>
        <w:t xml:space="preserve">Atbilst </w:t>
      </w:r>
      <w:r w:rsidRPr="00595B91">
        <w:rPr>
          <w:rFonts w:ascii="inherit" w:eastAsia="Times New Roman" w:hAnsi="inherit" w:cs="Times New Roman"/>
          <w:color w:val="000000"/>
          <w:sz w:val="24"/>
          <w:szCs w:val="24"/>
          <w:lang w:val="lv-LV"/>
        </w:rPr>
        <w:t xml:space="preserve">regulas Nr.651/2014 </w:t>
      </w:r>
      <w:r>
        <w:rPr>
          <w:rFonts w:ascii="inherit" w:eastAsia="Times New Roman" w:hAnsi="inherit" w:cs="Times New Roman"/>
          <w:color w:val="000000"/>
          <w:sz w:val="24"/>
          <w:szCs w:val="24"/>
          <w:lang w:val="lv-LV"/>
        </w:rPr>
        <w:t xml:space="preserve">7. panta prasībām, </w:t>
      </w:r>
      <w:r w:rsidR="002F2087">
        <w:rPr>
          <w:rFonts w:ascii="inherit" w:eastAsia="Times New Roman" w:hAnsi="inherit" w:cs="Times New Roman"/>
          <w:color w:val="000000"/>
          <w:sz w:val="24"/>
          <w:szCs w:val="24"/>
          <w:lang w:val="lv-LV"/>
        </w:rPr>
        <w:t xml:space="preserve">tas ir, </w:t>
      </w:r>
      <w:r w:rsidR="00F20769">
        <w:rPr>
          <w:rFonts w:ascii="inherit" w:eastAsia="Times New Roman" w:hAnsi="inherit" w:cs="Times New Roman"/>
          <w:color w:val="000000"/>
          <w:sz w:val="24"/>
          <w:szCs w:val="24"/>
          <w:lang w:val="lv-LV"/>
        </w:rPr>
        <w:t>l</w:t>
      </w:r>
      <w:r w:rsidRPr="00275CA0">
        <w:rPr>
          <w:rFonts w:ascii="inherit" w:eastAsia="Times New Roman" w:hAnsi="inherit" w:cs="Times New Roman"/>
          <w:color w:val="000000"/>
          <w:sz w:val="24"/>
          <w:szCs w:val="24"/>
          <w:lang w:val="lv-LV"/>
        </w:rPr>
        <w:t>ai aprēķinātu atbalsta intensitāti un attiecināmās izmaksas, izmanto lielumus, no kuriem nav atskaitīti nodokļi vai citas maksas</w:t>
      </w:r>
      <w:r w:rsidR="00D60CB1">
        <w:rPr>
          <w:rFonts w:ascii="inherit" w:eastAsia="Times New Roman" w:hAnsi="inherit" w:cs="Times New Roman"/>
          <w:color w:val="000000"/>
          <w:sz w:val="24"/>
          <w:szCs w:val="24"/>
          <w:lang w:val="lv-LV"/>
        </w:rPr>
        <w:t xml:space="preserve">, izņemot </w:t>
      </w:r>
      <w:r w:rsidRPr="00275CA0">
        <w:rPr>
          <w:rFonts w:ascii="inherit" w:eastAsia="Times New Roman" w:hAnsi="inherit" w:cs="Times New Roman"/>
          <w:color w:val="000000"/>
          <w:sz w:val="24"/>
          <w:szCs w:val="24"/>
          <w:lang w:val="lv-LV"/>
        </w:rPr>
        <w:t xml:space="preserve">pievienotās vērtības nodokli, ko iekasē par attiecināmajām izmaksām vai izdevumiem un kas ir atmaksājams saskaņā ar piemērojamiem valsts nodokļu tiesību aktiem. </w:t>
      </w:r>
      <w:r w:rsidR="00C943B2">
        <w:rPr>
          <w:rFonts w:ascii="inherit" w:eastAsia="Times New Roman" w:hAnsi="inherit" w:cs="Times New Roman"/>
          <w:color w:val="000000"/>
          <w:sz w:val="24"/>
          <w:szCs w:val="24"/>
          <w:lang w:val="lv-LV"/>
        </w:rPr>
        <w:t xml:space="preserve">Saskaņā ar MKN </w:t>
      </w:r>
      <w:r w:rsidR="004056E1">
        <w:rPr>
          <w:rFonts w:ascii="inherit" w:eastAsia="Times New Roman" w:hAnsi="inherit" w:cs="Times New Roman"/>
          <w:color w:val="000000"/>
          <w:sz w:val="24"/>
          <w:szCs w:val="24"/>
          <w:lang w:val="lv-LV"/>
        </w:rPr>
        <w:t>17. punktu “</w:t>
      </w:r>
      <w:r w:rsidR="004056E1" w:rsidRPr="004056E1">
        <w:rPr>
          <w:rFonts w:ascii="inherit" w:eastAsia="Times New Roman" w:hAnsi="inherit" w:cs="Times New Roman"/>
          <w:color w:val="000000"/>
          <w:sz w:val="24"/>
          <w:szCs w:val="24"/>
          <w:lang w:val="lv-LV"/>
        </w:rPr>
        <w:t>Pievienotās vērtības nodokļa (turpmāk – PVN) izmaksas, kuras finansējuma saņēmējs norāda projekta iesniegumā un veic projekta ietvaros, nav attiecināmas finansēšanai no Atveseļošanās fonda finansējuma. Finansējuma saņēmējs PVN izmaksas sedz no saviem līdzekļiem.</w:t>
      </w:r>
      <w:r w:rsidR="004056E1">
        <w:rPr>
          <w:rFonts w:ascii="inherit" w:eastAsia="Times New Roman" w:hAnsi="inherit" w:cs="Times New Roman"/>
          <w:color w:val="000000"/>
          <w:sz w:val="24"/>
          <w:szCs w:val="24"/>
          <w:lang w:val="lv-LV"/>
        </w:rPr>
        <w:t xml:space="preserve">” </w:t>
      </w:r>
    </w:p>
    <w:p w14:paraId="27CF86C7" w14:textId="4B8BE8CC" w:rsidR="00F46E77" w:rsidRDefault="00275CA0" w:rsidP="00524E8F">
      <w:pPr>
        <w:pStyle w:val="ListParagraph"/>
        <w:shd w:val="clear" w:color="auto" w:fill="FFFFFF"/>
        <w:tabs>
          <w:tab w:val="left" w:pos="426"/>
        </w:tabs>
        <w:spacing w:before="120" w:after="0" w:line="240" w:lineRule="auto"/>
        <w:ind w:left="0"/>
        <w:jc w:val="both"/>
        <w:rPr>
          <w:rFonts w:ascii="inherit" w:eastAsia="Times New Roman" w:hAnsi="inherit" w:cs="Times New Roman"/>
          <w:color w:val="000000"/>
          <w:sz w:val="24"/>
          <w:szCs w:val="24"/>
          <w:lang w:val="lv-LV"/>
        </w:rPr>
      </w:pPr>
      <w:r w:rsidRPr="00275CA0">
        <w:rPr>
          <w:rFonts w:ascii="inherit" w:eastAsia="Times New Roman" w:hAnsi="inherit" w:cs="Times New Roman"/>
          <w:color w:val="000000"/>
          <w:sz w:val="24"/>
          <w:szCs w:val="24"/>
          <w:lang w:val="lv-LV"/>
        </w:rPr>
        <w:t xml:space="preserve">Attiecināmās izmaksas </w:t>
      </w:r>
      <w:r w:rsidR="001A3D8D">
        <w:rPr>
          <w:rFonts w:ascii="inherit" w:eastAsia="Times New Roman" w:hAnsi="inherit" w:cs="Times New Roman"/>
          <w:color w:val="000000"/>
          <w:sz w:val="24"/>
          <w:szCs w:val="24"/>
          <w:lang w:val="lv-LV"/>
        </w:rPr>
        <w:t xml:space="preserve">saskaņā ar MKN </w:t>
      </w:r>
      <w:r w:rsidRPr="00275CA0">
        <w:rPr>
          <w:rFonts w:ascii="inherit" w:eastAsia="Times New Roman" w:hAnsi="inherit" w:cs="Times New Roman"/>
          <w:color w:val="000000"/>
          <w:sz w:val="24"/>
          <w:szCs w:val="24"/>
          <w:lang w:val="lv-LV"/>
        </w:rPr>
        <w:t>pamato ar dokumentāriem pierādījumiem, kas ir skaidri, konkrēti un aktuāli</w:t>
      </w:r>
      <w:r w:rsidR="00BA5D28">
        <w:rPr>
          <w:rFonts w:ascii="inherit" w:eastAsia="Times New Roman" w:hAnsi="inherit" w:cs="Times New Roman"/>
          <w:color w:val="000000"/>
          <w:sz w:val="24"/>
          <w:szCs w:val="24"/>
          <w:lang w:val="lv-LV"/>
        </w:rPr>
        <w:t xml:space="preserve">, tas ir, </w:t>
      </w:r>
      <w:r w:rsidR="00E012F6">
        <w:rPr>
          <w:rFonts w:ascii="inherit" w:eastAsia="Times New Roman" w:hAnsi="inherit" w:cs="Times New Roman"/>
          <w:color w:val="000000"/>
          <w:sz w:val="24"/>
          <w:szCs w:val="24"/>
          <w:lang w:val="lv-LV"/>
        </w:rPr>
        <w:t xml:space="preserve">finansējuma saņēmējam </w:t>
      </w:r>
      <w:r w:rsidR="00397761">
        <w:rPr>
          <w:rFonts w:ascii="inherit" w:eastAsia="Times New Roman" w:hAnsi="inherit" w:cs="Times New Roman"/>
          <w:color w:val="000000"/>
          <w:sz w:val="24"/>
          <w:szCs w:val="24"/>
          <w:lang w:val="lv-LV"/>
        </w:rPr>
        <w:t xml:space="preserve">ir pienākums </w:t>
      </w:r>
      <w:r w:rsidR="00E012F6">
        <w:rPr>
          <w:rFonts w:ascii="inherit" w:eastAsia="Times New Roman" w:hAnsi="inherit" w:cs="Times New Roman"/>
          <w:color w:val="000000"/>
          <w:sz w:val="24"/>
          <w:szCs w:val="24"/>
          <w:lang w:val="lv-LV"/>
        </w:rPr>
        <w:t>nodrošin</w:t>
      </w:r>
      <w:r w:rsidR="00397761">
        <w:rPr>
          <w:rFonts w:ascii="inherit" w:eastAsia="Times New Roman" w:hAnsi="inherit" w:cs="Times New Roman"/>
          <w:color w:val="000000"/>
          <w:sz w:val="24"/>
          <w:szCs w:val="24"/>
          <w:lang w:val="lv-LV"/>
        </w:rPr>
        <w:t>āt</w:t>
      </w:r>
      <w:r w:rsidR="00E012F6">
        <w:rPr>
          <w:rFonts w:ascii="inherit" w:eastAsia="Times New Roman" w:hAnsi="inherit" w:cs="Times New Roman"/>
          <w:color w:val="000000"/>
          <w:sz w:val="24"/>
          <w:szCs w:val="24"/>
          <w:lang w:val="lv-LV"/>
        </w:rPr>
        <w:t xml:space="preserve"> </w:t>
      </w:r>
      <w:r w:rsidR="00BA5D28">
        <w:rPr>
          <w:rFonts w:ascii="inherit" w:eastAsia="Times New Roman" w:hAnsi="inherit" w:cs="Times New Roman"/>
          <w:color w:val="000000"/>
          <w:sz w:val="24"/>
          <w:szCs w:val="24"/>
          <w:lang w:val="lv-LV"/>
        </w:rPr>
        <w:t xml:space="preserve">saskaņā ar MKN </w:t>
      </w:r>
      <w:r w:rsidR="00E012F6">
        <w:rPr>
          <w:rFonts w:ascii="inherit" w:eastAsia="Times New Roman" w:hAnsi="inherit" w:cs="Times New Roman"/>
          <w:color w:val="000000"/>
          <w:sz w:val="24"/>
          <w:szCs w:val="24"/>
          <w:lang w:val="lv-LV"/>
        </w:rPr>
        <w:t>22.6. apakšpunktu “</w:t>
      </w:r>
      <w:r w:rsidR="00E012F6" w:rsidRPr="00E012F6">
        <w:rPr>
          <w:rFonts w:ascii="inherit" w:eastAsia="Times New Roman" w:hAnsi="inherit" w:cs="Times New Roman"/>
          <w:color w:val="000000"/>
          <w:sz w:val="24"/>
          <w:szCs w:val="24"/>
          <w:lang w:val="lv-LV"/>
        </w:rPr>
        <w:t>informācijas iesniegšanu maksājumu pieprasījumam, tai skaitā pamatojošo dokumentāciju vadības informācijas sistēmā saskaņā ar  līgumu par projekta īstenošanu</w:t>
      </w:r>
      <w:r w:rsidR="00397761">
        <w:rPr>
          <w:rFonts w:ascii="inherit" w:eastAsia="Times New Roman" w:hAnsi="inherit" w:cs="Times New Roman"/>
          <w:color w:val="000000"/>
          <w:sz w:val="24"/>
          <w:szCs w:val="24"/>
          <w:lang w:val="lv-LV"/>
        </w:rPr>
        <w:t xml:space="preserve">”. </w:t>
      </w:r>
    </w:p>
    <w:p w14:paraId="2B151CFB" w14:textId="23B3E0DF" w:rsidR="00DC7152" w:rsidRDefault="00DC7152" w:rsidP="00F842BC">
      <w:pPr>
        <w:pStyle w:val="ListParagraph"/>
        <w:numPr>
          <w:ilvl w:val="1"/>
          <w:numId w:val="1"/>
        </w:numPr>
        <w:shd w:val="clear" w:color="auto" w:fill="FFFFFF"/>
        <w:tabs>
          <w:tab w:val="left" w:pos="426"/>
        </w:tabs>
        <w:spacing w:before="120" w:after="0" w:line="240" w:lineRule="auto"/>
        <w:ind w:left="0" w:firstLine="0"/>
        <w:jc w:val="both"/>
        <w:rPr>
          <w:rFonts w:ascii="inherit" w:eastAsia="Times New Roman" w:hAnsi="inherit" w:cs="Times New Roman"/>
          <w:color w:val="000000"/>
          <w:sz w:val="24"/>
          <w:szCs w:val="24"/>
          <w:lang w:val="lv-LV"/>
        </w:rPr>
      </w:pPr>
      <w:r>
        <w:rPr>
          <w:rFonts w:ascii="inherit" w:eastAsia="Times New Roman" w:hAnsi="inherit" w:cs="Times New Roman"/>
          <w:color w:val="000000"/>
          <w:sz w:val="24"/>
          <w:szCs w:val="24"/>
          <w:lang w:val="lv-LV"/>
        </w:rPr>
        <w:t xml:space="preserve">Atbilst </w:t>
      </w:r>
      <w:r w:rsidRPr="00595B91">
        <w:rPr>
          <w:rFonts w:ascii="inherit" w:eastAsia="Times New Roman" w:hAnsi="inherit" w:cs="Times New Roman"/>
          <w:color w:val="000000"/>
          <w:sz w:val="24"/>
          <w:szCs w:val="24"/>
          <w:lang w:val="lv-LV"/>
        </w:rPr>
        <w:t>regulas Nr.651/2014</w:t>
      </w:r>
      <w:r>
        <w:rPr>
          <w:rFonts w:ascii="inherit" w:eastAsia="Times New Roman" w:hAnsi="inherit" w:cs="Times New Roman"/>
          <w:color w:val="000000"/>
          <w:sz w:val="24"/>
          <w:szCs w:val="24"/>
          <w:lang w:val="lv-LV"/>
        </w:rPr>
        <w:t xml:space="preserve"> 8. panta prasībām</w:t>
      </w:r>
      <w:r w:rsidR="00246077">
        <w:rPr>
          <w:rFonts w:ascii="inherit" w:eastAsia="Times New Roman" w:hAnsi="inherit" w:cs="Times New Roman"/>
          <w:color w:val="000000"/>
          <w:sz w:val="24"/>
          <w:szCs w:val="24"/>
          <w:lang w:val="lv-LV"/>
        </w:rPr>
        <w:t xml:space="preserve">, skat. </w:t>
      </w:r>
      <w:r w:rsidR="003815B6">
        <w:rPr>
          <w:rFonts w:ascii="inherit" w:eastAsia="Times New Roman" w:hAnsi="inherit" w:cs="Times New Roman"/>
          <w:color w:val="000000"/>
          <w:sz w:val="24"/>
          <w:szCs w:val="24"/>
          <w:lang w:val="lv-LV"/>
        </w:rPr>
        <w:t>augstāk</w:t>
      </w:r>
      <w:r w:rsidR="00246077">
        <w:rPr>
          <w:rFonts w:ascii="inherit" w:eastAsia="Times New Roman" w:hAnsi="inherit" w:cs="Times New Roman"/>
          <w:color w:val="000000"/>
          <w:sz w:val="24"/>
          <w:szCs w:val="24"/>
          <w:lang w:val="lv-LV"/>
        </w:rPr>
        <w:t xml:space="preserve"> skaidrojumu </w:t>
      </w:r>
      <w:r w:rsidR="003815B6">
        <w:rPr>
          <w:rFonts w:ascii="inherit" w:eastAsia="Times New Roman" w:hAnsi="inherit" w:cs="Times New Roman"/>
          <w:color w:val="000000"/>
          <w:sz w:val="24"/>
          <w:szCs w:val="24"/>
          <w:lang w:val="lv-LV"/>
        </w:rPr>
        <w:t>1.3. apakšpunktā</w:t>
      </w:r>
      <w:r w:rsidR="001A2FDD">
        <w:rPr>
          <w:rFonts w:ascii="inherit" w:eastAsia="Times New Roman" w:hAnsi="inherit" w:cs="Times New Roman"/>
          <w:color w:val="000000"/>
          <w:sz w:val="24"/>
          <w:szCs w:val="24"/>
          <w:lang w:val="lv-LV"/>
        </w:rPr>
        <w:t>, 1.6. apakšpunktā</w:t>
      </w:r>
      <w:r w:rsidR="003815B6">
        <w:rPr>
          <w:rFonts w:ascii="inherit" w:eastAsia="Times New Roman" w:hAnsi="inherit" w:cs="Times New Roman"/>
          <w:color w:val="000000"/>
          <w:sz w:val="24"/>
          <w:szCs w:val="24"/>
          <w:lang w:val="lv-LV"/>
        </w:rPr>
        <w:t>.</w:t>
      </w:r>
    </w:p>
    <w:p w14:paraId="2DF6C9A4" w14:textId="77777777" w:rsidR="00EE57A3" w:rsidRPr="00EE57A3" w:rsidRDefault="00F842BC" w:rsidP="00EE57A3">
      <w:pPr>
        <w:pStyle w:val="ListParagraph"/>
        <w:numPr>
          <w:ilvl w:val="1"/>
          <w:numId w:val="1"/>
        </w:numPr>
        <w:shd w:val="clear" w:color="auto" w:fill="FFFFFF"/>
        <w:tabs>
          <w:tab w:val="left" w:pos="426"/>
        </w:tabs>
        <w:spacing w:before="120" w:after="0" w:line="240" w:lineRule="auto"/>
        <w:jc w:val="both"/>
        <w:rPr>
          <w:rFonts w:ascii="inherit" w:eastAsia="Times New Roman" w:hAnsi="inherit" w:cs="Times New Roman"/>
          <w:color w:val="000000"/>
          <w:sz w:val="24"/>
          <w:szCs w:val="24"/>
          <w:lang w:val="lv-LV"/>
        </w:rPr>
      </w:pPr>
      <w:r>
        <w:rPr>
          <w:rFonts w:ascii="inherit" w:eastAsia="Times New Roman" w:hAnsi="inherit" w:cs="Times New Roman"/>
          <w:color w:val="000000"/>
          <w:sz w:val="24"/>
          <w:szCs w:val="24"/>
          <w:lang w:val="lv-LV"/>
        </w:rPr>
        <w:t xml:space="preserve">Atbilst </w:t>
      </w:r>
      <w:r w:rsidRPr="00595B91">
        <w:rPr>
          <w:rFonts w:ascii="inherit" w:eastAsia="Times New Roman" w:hAnsi="inherit" w:cs="Times New Roman"/>
          <w:color w:val="000000"/>
          <w:sz w:val="24"/>
          <w:szCs w:val="24"/>
          <w:lang w:val="lv-LV"/>
        </w:rPr>
        <w:t>regulas Nr.651/2014</w:t>
      </w:r>
      <w:r>
        <w:rPr>
          <w:rFonts w:ascii="inherit" w:eastAsia="Times New Roman" w:hAnsi="inherit" w:cs="Times New Roman"/>
          <w:color w:val="000000"/>
          <w:sz w:val="24"/>
          <w:szCs w:val="24"/>
          <w:lang w:val="lv-LV"/>
        </w:rPr>
        <w:t xml:space="preserve">, ņemot vērā MKN </w:t>
      </w:r>
      <w:r w:rsidR="00961930">
        <w:rPr>
          <w:rFonts w:ascii="inherit" w:eastAsia="Times New Roman" w:hAnsi="inherit" w:cs="Times New Roman"/>
          <w:color w:val="000000"/>
          <w:sz w:val="24"/>
          <w:szCs w:val="24"/>
          <w:lang w:val="lv-LV"/>
        </w:rPr>
        <w:t>noteikto nozares ministrijas pienākumu</w:t>
      </w:r>
      <w:r w:rsidR="00EE57A3">
        <w:rPr>
          <w:rFonts w:ascii="inherit" w:eastAsia="Times New Roman" w:hAnsi="inherit" w:cs="Times New Roman"/>
          <w:color w:val="000000"/>
          <w:sz w:val="24"/>
          <w:szCs w:val="24"/>
          <w:lang w:val="lv-LV"/>
        </w:rPr>
        <w:t xml:space="preserve">: “ </w:t>
      </w:r>
      <w:r w:rsidR="00EE57A3" w:rsidRPr="00EE57A3">
        <w:rPr>
          <w:rFonts w:ascii="inherit" w:eastAsia="Times New Roman" w:hAnsi="inherit" w:cs="Times New Roman"/>
          <w:color w:val="000000"/>
          <w:sz w:val="24"/>
          <w:szCs w:val="24"/>
          <w:lang w:val="lv-LV"/>
        </w:rPr>
        <w:t>18. Nozares ministrija nodrošina:</w:t>
      </w:r>
    </w:p>
    <w:p w14:paraId="6FA26993" w14:textId="403C5D9F" w:rsidR="00EE57A3" w:rsidRPr="00EE57A3" w:rsidRDefault="00EE57A3" w:rsidP="00EE57A3">
      <w:pPr>
        <w:pStyle w:val="ListParagraph"/>
        <w:shd w:val="clear" w:color="auto" w:fill="FFFFFF"/>
        <w:tabs>
          <w:tab w:val="left" w:pos="426"/>
        </w:tabs>
        <w:spacing w:before="120" w:after="0" w:line="240" w:lineRule="auto"/>
        <w:jc w:val="both"/>
        <w:rPr>
          <w:rFonts w:ascii="inherit" w:eastAsia="Times New Roman" w:hAnsi="inherit" w:cs="Times New Roman"/>
          <w:color w:val="000000"/>
          <w:sz w:val="24"/>
          <w:szCs w:val="24"/>
          <w:lang w:val="lv-LV"/>
        </w:rPr>
      </w:pPr>
      <w:r w:rsidRPr="00EE57A3">
        <w:rPr>
          <w:rFonts w:ascii="inherit" w:eastAsia="Times New Roman" w:hAnsi="inherit" w:cs="Times New Roman"/>
          <w:color w:val="000000"/>
          <w:sz w:val="24"/>
          <w:szCs w:val="24"/>
          <w:lang w:val="lv-LV"/>
        </w:rPr>
        <w:lastRenderedPageBreak/>
        <w:t xml:space="preserve">18.1. informāciju par Eiropas Komisijas 2014. gada 17. jūnijs regulas Nr. 651/2014, ar ko noteiktas atbalsta kategorijas atzīst par saderīgām ar iekšējo tirgu, piemērojot Līguma 107. un 108. pantu, 52. panta ietvaros izsniegto atbalstu publicē atbilstoši Eiropas Komisijas 2014. gada 17. jūnijs regulas Nr. 651/2014, ar ko noteiktas atbalsta kategorijas atzīst par saderīgām ar iekšējo tirgu, piemērojot Līguma 107. un 108. pantu, 9. panta 1. un 4. punktā noteiktajām publicitātes pasākumu prasībām saskaņā ar normatīvajiem aktiem par kārtību, kādā publicē informāciju par sniegto valsts atbalstu un piešķir un anulē elektroniskās sistēmas lietošanas tiesības. </w:t>
      </w:r>
      <w:r>
        <w:rPr>
          <w:rFonts w:ascii="inherit" w:eastAsia="Times New Roman" w:hAnsi="inherit" w:cs="Times New Roman"/>
          <w:color w:val="000000"/>
          <w:sz w:val="24"/>
          <w:szCs w:val="24"/>
          <w:lang w:val="lv-LV"/>
        </w:rPr>
        <w:t>(…)“</w:t>
      </w:r>
    </w:p>
    <w:p w14:paraId="6AD83719" w14:textId="25AFC9F7" w:rsidR="00723857" w:rsidRPr="00595B91" w:rsidRDefault="00723857" w:rsidP="005E1788">
      <w:pPr>
        <w:shd w:val="clear" w:color="auto" w:fill="D9D9D9" w:themeFill="background1" w:themeFillShade="D9"/>
        <w:spacing w:before="120" w:after="0" w:line="240" w:lineRule="auto"/>
        <w:jc w:val="both"/>
        <w:rPr>
          <w:rFonts w:ascii="inherit" w:eastAsia="Times New Roman" w:hAnsi="inherit" w:cs="Times New Roman"/>
          <w:color w:val="000000"/>
          <w:sz w:val="24"/>
          <w:szCs w:val="24"/>
          <w:lang w:val="lv-LV"/>
        </w:rPr>
      </w:pPr>
      <w:r w:rsidRPr="00595B91">
        <w:rPr>
          <w:rFonts w:ascii="inherit" w:eastAsia="Times New Roman" w:hAnsi="inherit" w:cs="Times New Roman"/>
          <w:color w:val="000000"/>
          <w:sz w:val="24"/>
          <w:szCs w:val="24"/>
          <w:lang w:val="lv-LV"/>
        </w:rPr>
        <w:t>2.   Attiecināmās izmaksas ir visas fiksētā platjoslas tīkla izbūves, pārvaldības un ekspluatācijas izmaksas. Atbalsta maksimālo summu projektam nosaka, pamatojoties uz konkursa procedūru, kā noteikts 6. punkta a) apakšpunktā. Ja ieguldījumu veic saskaņā ar 6. punkta b) apakšpunktu bez konkursa procedūras, atbalsta summa nepārsniedz starpību starp attiecināmajām izmaksām un normālu pamatdarbības peļņu no ieguldījuma. Pamatdarbības peļņu atskaita no attiecināmajām izmaksām </w:t>
      </w:r>
      <w:r w:rsidRPr="00595B91">
        <w:rPr>
          <w:rFonts w:ascii="inherit" w:eastAsia="Times New Roman" w:hAnsi="inherit" w:cs="Times New Roman"/>
          <w:i/>
          <w:iCs/>
          <w:color w:val="000000"/>
          <w:sz w:val="24"/>
          <w:szCs w:val="24"/>
          <w:lang w:val="lv-LV"/>
        </w:rPr>
        <w:t>ex ante</w:t>
      </w:r>
      <w:r w:rsidRPr="00595B91">
        <w:rPr>
          <w:rFonts w:ascii="inherit" w:eastAsia="Times New Roman" w:hAnsi="inherit" w:cs="Times New Roman"/>
          <w:color w:val="000000"/>
          <w:sz w:val="24"/>
          <w:szCs w:val="24"/>
          <w:lang w:val="lv-LV"/>
        </w:rPr>
        <w:t> saskaņā ar pamatotām prognozēm un pārbauda </w:t>
      </w:r>
      <w:r w:rsidRPr="00595B91">
        <w:rPr>
          <w:rFonts w:ascii="inherit" w:eastAsia="Times New Roman" w:hAnsi="inherit" w:cs="Times New Roman"/>
          <w:i/>
          <w:iCs/>
          <w:color w:val="000000"/>
          <w:sz w:val="24"/>
          <w:szCs w:val="24"/>
          <w:lang w:val="lv-LV"/>
        </w:rPr>
        <w:t>ex post</w:t>
      </w:r>
      <w:r w:rsidRPr="00595B91">
        <w:rPr>
          <w:rFonts w:ascii="inherit" w:eastAsia="Times New Roman" w:hAnsi="inherit" w:cs="Times New Roman"/>
          <w:color w:val="000000"/>
          <w:sz w:val="24"/>
          <w:szCs w:val="24"/>
          <w:lang w:val="lv-LV"/>
        </w:rPr>
        <w:t>, izmantojot atgūšanas mehānismu. Pasākuma pamatotajās prognozēs ņem vērā visas izmaksas un visus ieņēmumus, kas varētu rasties ieguldījuma saimnieciskajā ciklā.</w:t>
      </w:r>
    </w:p>
    <w:p w14:paraId="197C0169" w14:textId="7B95CA1F" w:rsidR="00A47E1B" w:rsidRPr="00595B91" w:rsidRDefault="001A628B" w:rsidP="00AD4651">
      <w:pPr>
        <w:shd w:val="clear" w:color="auto" w:fill="FFFFFF"/>
        <w:spacing w:before="120" w:after="0" w:line="240" w:lineRule="auto"/>
        <w:jc w:val="both"/>
        <w:rPr>
          <w:rFonts w:ascii="inherit" w:eastAsia="Times New Roman" w:hAnsi="inherit" w:cs="Times New Roman"/>
          <w:color w:val="000000"/>
          <w:sz w:val="24"/>
          <w:szCs w:val="24"/>
          <w:lang w:val="lv-LV"/>
        </w:rPr>
      </w:pPr>
      <w:r w:rsidRPr="00595B91">
        <w:rPr>
          <w:rFonts w:ascii="inherit" w:eastAsia="Times New Roman" w:hAnsi="inherit" w:cs="Times New Roman"/>
          <w:color w:val="000000"/>
          <w:sz w:val="24"/>
          <w:szCs w:val="24"/>
          <w:lang w:val="lv-LV"/>
        </w:rPr>
        <w:t>Atbilst</w:t>
      </w:r>
      <w:r w:rsidR="009968FF" w:rsidRPr="00595B91">
        <w:rPr>
          <w:rFonts w:ascii="inherit" w:eastAsia="Times New Roman" w:hAnsi="inherit" w:cs="Times New Roman"/>
          <w:color w:val="000000"/>
          <w:sz w:val="24"/>
          <w:szCs w:val="24"/>
          <w:lang w:val="lv-LV"/>
        </w:rPr>
        <w:t>:</w:t>
      </w:r>
    </w:p>
    <w:p w14:paraId="1BA3BA47" w14:textId="5A77DB49" w:rsidR="00FC6DF5" w:rsidRPr="00595B91" w:rsidRDefault="003D4DAD" w:rsidP="006D6921">
      <w:pPr>
        <w:shd w:val="clear" w:color="auto" w:fill="FFFFFF"/>
        <w:spacing w:before="120" w:after="0" w:line="240" w:lineRule="auto"/>
        <w:jc w:val="both"/>
        <w:rPr>
          <w:rFonts w:ascii="inherit" w:eastAsia="Times New Roman" w:hAnsi="inherit" w:cs="Times New Roman"/>
          <w:color w:val="000000"/>
          <w:sz w:val="24"/>
          <w:szCs w:val="24"/>
          <w:lang w:val="lv-LV"/>
        </w:rPr>
      </w:pPr>
      <w:r w:rsidRPr="00595B91">
        <w:rPr>
          <w:rFonts w:ascii="inherit" w:eastAsia="Times New Roman" w:hAnsi="inherit" w:cs="Times New Roman"/>
          <w:color w:val="000000"/>
          <w:sz w:val="24"/>
          <w:szCs w:val="24"/>
          <w:lang w:val="lv-LV"/>
        </w:rPr>
        <w:t xml:space="preserve">MKN 14. </w:t>
      </w:r>
      <w:r w:rsidR="006D6921" w:rsidRPr="00595B91">
        <w:rPr>
          <w:rFonts w:ascii="inherit" w:eastAsia="Times New Roman" w:hAnsi="inherit" w:cs="Times New Roman"/>
          <w:color w:val="000000"/>
          <w:sz w:val="24"/>
          <w:szCs w:val="24"/>
          <w:lang w:val="lv-LV"/>
        </w:rPr>
        <w:t>p</w:t>
      </w:r>
      <w:r w:rsidRPr="00595B91">
        <w:rPr>
          <w:rFonts w:ascii="inherit" w:eastAsia="Times New Roman" w:hAnsi="inherit" w:cs="Times New Roman"/>
          <w:color w:val="000000"/>
          <w:sz w:val="24"/>
          <w:szCs w:val="24"/>
          <w:lang w:val="lv-LV"/>
        </w:rPr>
        <w:t xml:space="preserve">unktā noteiktas </w:t>
      </w:r>
      <w:r w:rsidR="006D6921" w:rsidRPr="00595B91">
        <w:rPr>
          <w:rFonts w:ascii="inherit" w:eastAsia="Times New Roman" w:hAnsi="inherit" w:cs="Times New Roman"/>
          <w:color w:val="000000"/>
          <w:sz w:val="24"/>
          <w:szCs w:val="24"/>
          <w:lang w:val="lv-LV"/>
        </w:rPr>
        <w:t xml:space="preserve">atbilstošas </w:t>
      </w:r>
      <w:r w:rsidR="00AD4651" w:rsidRPr="00595B91">
        <w:rPr>
          <w:rFonts w:ascii="inherit" w:eastAsia="Times New Roman" w:hAnsi="inherit" w:cs="Times New Roman"/>
          <w:color w:val="000000"/>
          <w:sz w:val="24"/>
          <w:szCs w:val="24"/>
          <w:lang w:val="lv-LV"/>
        </w:rPr>
        <w:t>2.4.1.2.i. investīcijas attiecināmās izmaksas</w:t>
      </w:r>
      <w:r w:rsidR="006D6921" w:rsidRPr="00595B91">
        <w:rPr>
          <w:rFonts w:ascii="inherit" w:eastAsia="Times New Roman" w:hAnsi="inherit" w:cs="Times New Roman"/>
          <w:color w:val="000000"/>
          <w:sz w:val="24"/>
          <w:szCs w:val="24"/>
          <w:lang w:val="lv-LV"/>
        </w:rPr>
        <w:t>.</w:t>
      </w:r>
    </w:p>
    <w:p w14:paraId="6C88B93A" w14:textId="1E9B263D" w:rsidR="00723857" w:rsidRPr="000F0FEC" w:rsidRDefault="005E0ECA" w:rsidP="000F0FEC">
      <w:pPr>
        <w:shd w:val="clear" w:color="auto" w:fill="FFFFFF"/>
        <w:spacing w:before="120" w:after="0" w:line="240" w:lineRule="auto"/>
        <w:jc w:val="both"/>
        <w:rPr>
          <w:rFonts w:ascii="inherit" w:eastAsia="Times New Roman" w:hAnsi="inherit" w:cs="Times New Roman"/>
          <w:color w:val="000000"/>
          <w:sz w:val="24"/>
          <w:szCs w:val="24"/>
          <w:lang w:val="lv-LV"/>
        </w:rPr>
      </w:pPr>
      <w:r w:rsidRPr="00595B91">
        <w:rPr>
          <w:rFonts w:ascii="inherit" w:eastAsia="Times New Roman" w:hAnsi="inherit" w:cs="Times New Roman"/>
          <w:color w:val="000000"/>
          <w:sz w:val="24"/>
          <w:szCs w:val="24"/>
          <w:lang w:val="lv-LV"/>
        </w:rPr>
        <w:t>MKN noteikts, ka atbalsta maksimālo summu projektam nosaka, pamatojoties uz konkursa procedūru, kā noteikts 6. punkta a) apakšpunktā.</w:t>
      </w:r>
      <w:r w:rsidR="00723857" w:rsidRPr="00595B91">
        <w:rPr>
          <w:rFonts w:ascii="inherit" w:eastAsia="Times New Roman" w:hAnsi="inherit" w:cs="Times New Roman"/>
          <w:color w:val="000000"/>
          <w:sz w:val="24"/>
          <w:szCs w:val="24"/>
          <w:highlight w:val="lightGray"/>
          <w:lang w:val="lv-LV"/>
        </w:rPr>
        <w:t xml:space="preserve"> </w:t>
      </w:r>
    </w:p>
    <w:tbl>
      <w:tblPr>
        <w:tblW w:w="5000" w:type="pct"/>
        <w:tblCellMar>
          <w:left w:w="0" w:type="dxa"/>
          <w:right w:w="0" w:type="dxa"/>
        </w:tblCellMar>
        <w:tblLook w:val="04A0" w:firstRow="1" w:lastRow="0" w:firstColumn="1" w:lastColumn="0" w:noHBand="0" w:noVBand="1"/>
      </w:tblPr>
      <w:tblGrid>
        <w:gridCol w:w="6"/>
        <w:gridCol w:w="9354"/>
      </w:tblGrid>
      <w:tr w:rsidR="00723857" w:rsidRPr="00595B91" w14:paraId="274703A5" w14:textId="77777777" w:rsidTr="00723857">
        <w:tc>
          <w:tcPr>
            <w:tcW w:w="0" w:type="auto"/>
            <w:shd w:val="clear" w:color="auto" w:fill="auto"/>
            <w:hideMark/>
          </w:tcPr>
          <w:p w14:paraId="5436E393" w14:textId="6FBB1D54" w:rsidR="00723857" w:rsidRPr="00595B91" w:rsidRDefault="00723857" w:rsidP="00723857">
            <w:pPr>
              <w:spacing w:before="120" w:after="0" w:line="240" w:lineRule="auto"/>
              <w:jc w:val="both"/>
              <w:rPr>
                <w:rFonts w:ascii="inherit" w:eastAsia="Times New Roman" w:hAnsi="inherit" w:cs="Times New Roman"/>
                <w:sz w:val="24"/>
                <w:szCs w:val="24"/>
                <w:highlight w:val="lightGray"/>
                <w:lang w:val="lv-LV"/>
              </w:rPr>
            </w:pPr>
          </w:p>
        </w:tc>
        <w:tc>
          <w:tcPr>
            <w:tcW w:w="0" w:type="auto"/>
            <w:shd w:val="clear" w:color="auto" w:fill="auto"/>
            <w:hideMark/>
          </w:tcPr>
          <w:p w14:paraId="5AC13087" w14:textId="6B006CD6" w:rsidR="007209B4" w:rsidRPr="007209B4" w:rsidRDefault="009D6057" w:rsidP="000F0FEC">
            <w:pPr>
              <w:shd w:val="clear" w:color="auto" w:fill="D9D9D9" w:themeFill="background1" w:themeFillShade="D9"/>
              <w:spacing w:before="120" w:after="0" w:line="240" w:lineRule="auto"/>
              <w:jc w:val="both"/>
              <w:rPr>
                <w:rFonts w:ascii="inherit" w:eastAsia="Times New Roman" w:hAnsi="inherit" w:cs="Times New Roman"/>
                <w:sz w:val="24"/>
                <w:szCs w:val="24"/>
                <w:lang w:val="lv-LV"/>
              </w:rPr>
            </w:pPr>
            <w:r>
              <w:rPr>
                <w:rFonts w:ascii="inherit" w:eastAsia="Times New Roman" w:hAnsi="inherit" w:cs="Times New Roman"/>
                <w:sz w:val="24"/>
                <w:szCs w:val="24"/>
                <w:lang w:val="lv-LV"/>
              </w:rPr>
              <w:t>3.</w:t>
            </w:r>
            <w:r w:rsidR="007209B4" w:rsidRPr="007209B4">
              <w:rPr>
                <w:rFonts w:ascii="inherit" w:eastAsia="Times New Roman" w:hAnsi="inherit" w:cs="Times New Roman"/>
                <w:sz w:val="24"/>
                <w:szCs w:val="24"/>
                <w:lang w:val="lv-LV"/>
              </w:rPr>
              <w:t>Atbalsttiesīgi ir šādi alternatīvi ieguldījumu veidi:</w:t>
            </w:r>
          </w:p>
          <w:p w14:paraId="1603CD55" w14:textId="7A33516D" w:rsidR="007209B4" w:rsidRPr="007209B4" w:rsidRDefault="007209B4" w:rsidP="000F0FEC">
            <w:pPr>
              <w:shd w:val="clear" w:color="auto" w:fill="D9D9D9" w:themeFill="background1" w:themeFillShade="D9"/>
              <w:spacing w:before="120" w:after="0" w:line="240" w:lineRule="auto"/>
              <w:jc w:val="both"/>
              <w:rPr>
                <w:rFonts w:ascii="inherit" w:eastAsia="Times New Roman" w:hAnsi="inherit" w:cs="Times New Roman"/>
                <w:sz w:val="24"/>
                <w:szCs w:val="24"/>
                <w:lang w:val="lv-LV"/>
              </w:rPr>
            </w:pPr>
            <w:r w:rsidRPr="007209B4">
              <w:rPr>
                <w:rFonts w:ascii="inherit" w:eastAsia="Times New Roman" w:hAnsi="inherit" w:cs="Times New Roman"/>
                <w:sz w:val="24"/>
                <w:szCs w:val="24"/>
                <w:lang w:val="lv-LV"/>
              </w:rPr>
              <w:t>a) fiksētā platjoslas tīkla izvēršana nolūkā savienot mājsaimniecības un sociālekonomiskos virzītājspēkus apgabalos, kuros nav esoša vai attiecīgajā laikposmā izvēršanai ticami plānota tīkla, kas maksimumstundas apstākļos nodrošinātu vismaz 100 Mb/s lejupielādes ātrumu (robežvērtības ātrums). To pārbauda, veicot kartografēšanu un sabiedrisko apspriešanu saskaņā ar 4. punktu;</w:t>
            </w:r>
          </w:p>
          <w:p w14:paraId="0D953B2D" w14:textId="77777777" w:rsidR="00D73EBE" w:rsidRDefault="007209B4" w:rsidP="000F0FEC">
            <w:pPr>
              <w:shd w:val="clear" w:color="auto" w:fill="D9D9D9" w:themeFill="background1" w:themeFillShade="D9"/>
              <w:spacing w:before="120" w:after="0" w:line="240" w:lineRule="auto"/>
              <w:jc w:val="both"/>
              <w:rPr>
                <w:rFonts w:ascii="inherit" w:eastAsia="Times New Roman" w:hAnsi="inherit" w:cs="Times New Roman"/>
                <w:sz w:val="24"/>
                <w:szCs w:val="24"/>
                <w:lang w:val="lv-LV"/>
              </w:rPr>
            </w:pPr>
            <w:r w:rsidRPr="007209B4">
              <w:rPr>
                <w:rFonts w:ascii="inherit" w:eastAsia="Times New Roman" w:hAnsi="inherit" w:cs="Times New Roman"/>
                <w:sz w:val="24"/>
                <w:szCs w:val="24"/>
                <w:lang w:val="lv-LV"/>
              </w:rPr>
              <w:t>b) fiksētā platjoslas tīkla izvēršana nolūkā savienot sociālekonomiskos virzītājspēkus apgabalos, kuros ir tikai viens esošs vai attiecīgajā laikposmā izvēršanai ticami plānots tīkls, kas nodrošina vismaz 100 Mb/s lejupielādes ātrumu maksimumstundas apstākļos, bet mazāk nekā 300 Mb/s lejupielādes ātrumu maksimumstundas apstākļos (robežvērtības ātrums). To pārbauda, veicot kartografēšanu un sabiedrisko apspriešanu saskaņā ar 5. punktu.</w:t>
            </w:r>
          </w:p>
          <w:p w14:paraId="75809378" w14:textId="55F9FBD8" w:rsidR="00266547" w:rsidRPr="00595B91" w:rsidRDefault="009D6057" w:rsidP="007209B4">
            <w:pPr>
              <w:spacing w:before="120" w:after="0" w:line="240" w:lineRule="auto"/>
              <w:jc w:val="both"/>
              <w:rPr>
                <w:rFonts w:ascii="inherit" w:eastAsia="Times New Roman" w:hAnsi="inherit" w:cs="Times New Roman"/>
                <w:sz w:val="24"/>
                <w:szCs w:val="24"/>
                <w:lang w:val="lv-LV"/>
              </w:rPr>
            </w:pPr>
            <w:r>
              <w:rPr>
                <w:rFonts w:ascii="inherit" w:eastAsia="Times New Roman" w:hAnsi="inherit" w:cs="Times New Roman"/>
                <w:sz w:val="24"/>
                <w:szCs w:val="24"/>
                <w:lang w:val="lv-LV"/>
              </w:rPr>
              <w:t>Attiecināms</w:t>
            </w:r>
            <w:r w:rsidR="00592389" w:rsidRPr="00595B91">
              <w:rPr>
                <w:rFonts w:ascii="inherit" w:eastAsia="Times New Roman" w:hAnsi="inherit" w:cs="Times New Roman"/>
                <w:sz w:val="24"/>
                <w:szCs w:val="24"/>
                <w:lang w:val="lv-LV"/>
              </w:rPr>
              <w:t xml:space="preserve"> 3. a)</w:t>
            </w:r>
            <w:r>
              <w:rPr>
                <w:rFonts w:ascii="inherit" w:eastAsia="Times New Roman" w:hAnsi="inherit" w:cs="Times New Roman"/>
                <w:sz w:val="24"/>
                <w:szCs w:val="24"/>
                <w:lang w:val="lv-LV"/>
              </w:rPr>
              <w:t xml:space="preserve"> ieguldījuma veids</w:t>
            </w:r>
            <w:r w:rsidR="00246077">
              <w:rPr>
                <w:rFonts w:ascii="inherit" w:eastAsia="Times New Roman" w:hAnsi="inherit" w:cs="Times New Roman"/>
                <w:sz w:val="24"/>
                <w:szCs w:val="24"/>
                <w:lang w:val="lv-LV"/>
              </w:rPr>
              <w:t>.</w:t>
            </w:r>
            <w:r w:rsidR="00592389" w:rsidRPr="00595B91">
              <w:rPr>
                <w:rFonts w:ascii="inherit" w:eastAsia="Times New Roman" w:hAnsi="inherit" w:cs="Times New Roman"/>
                <w:sz w:val="24"/>
                <w:szCs w:val="24"/>
                <w:lang w:val="lv-LV"/>
              </w:rPr>
              <w:t xml:space="preserve"> Investīcija tiek īstenota visā Latvijas teritorijā, izņemot tās teritorijas, kurās ir piekļuve, tas ir, noslēgts līgums vai ir iespēja noslēgt līgumu ar elektronisko sakaru uzņēmumu un uzsākt pakalpojuma saņemšanu indikatīvi mēneša laikā no pakalpojuma pieteikuma, ļoti augstas veiktspējas tīklam ar lejupielādes un augšupielādes datu pārraides ātrumu vismaz 100 Mbit/s.</w:t>
            </w:r>
          </w:p>
          <w:p w14:paraId="7D2E4822" w14:textId="315ABDB4" w:rsidR="00D601BD" w:rsidRPr="00595B91" w:rsidRDefault="002D6219" w:rsidP="00592389">
            <w:pPr>
              <w:spacing w:before="120" w:after="0" w:line="240" w:lineRule="auto"/>
              <w:jc w:val="both"/>
              <w:rPr>
                <w:rFonts w:ascii="inherit" w:eastAsia="Times New Roman" w:hAnsi="inherit" w:cs="Times New Roman"/>
                <w:sz w:val="24"/>
                <w:szCs w:val="24"/>
                <w:lang w:val="lv-LV"/>
              </w:rPr>
            </w:pPr>
            <w:r w:rsidRPr="00595B91">
              <w:rPr>
                <w:rFonts w:ascii="inherit" w:eastAsia="Times New Roman" w:hAnsi="inherit" w:cs="Times New Roman"/>
                <w:sz w:val="24"/>
                <w:szCs w:val="24"/>
                <w:lang w:val="lv-LV"/>
              </w:rPr>
              <w:t xml:space="preserve">MKN </w:t>
            </w:r>
            <w:r w:rsidR="002F2DD9" w:rsidRPr="00595B91">
              <w:rPr>
                <w:rFonts w:ascii="inherit" w:eastAsia="Times New Roman" w:hAnsi="inherit" w:cs="Times New Roman"/>
                <w:sz w:val="24"/>
                <w:szCs w:val="24"/>
                <w:lang w:val="lv-LV"/>
              </w:rPr>
              <w:t xml:space="preserve">13. </w:t>
            </w:r>
            <w:r w:rsidR="00D64B6C" w:rsidRPr="00595B91">
              <w:rPr>
                <w:rFonts w:ascii="inherit" w:eastAsia="Times New Roman" w:hAnsi="inherit" w:cs="Times New Roman"/>
                <w:sz w:val="24"/>
                <w:szCs w:val="24"/>
                <w:lang w:val="lv-LV"/>
              </w:rPr>
              <w:t>p</w:t>
            </w:r>
            <w:r w:rsidR="00D73EBE">
              <w:rPr>
                <w:rFonts w:ascii="inherit" w:eastAsia="Times New Roman" w:hAnsi="inherit" w:cs="Times New Roman"/>
                <w:sz w:val="24"/>
                <w:szCs w:val="24"/>
                <w:lang w:val="lv-LV"/>
              </w:rPr>
              <w:t>u</w:t>
            </w:r>
            <w:r w:rsidR="00D64B6C" w:rsidRPr="00595B91">
              <w:rPr>
                <w:rFonts w:ascii="inherit" w:eastAsia="Times New Roman" w:hAnsi="inherit" w:cs="Times New Roman"/>
                <w:sz w:val="24"/>
                <w:szCs w:val="24"/>
                <w:lang w:val="lv-LV"/>
              </w:rPr>
              <w:t>nktā</w:t>
            </w:r>
            <w:r w:rsidR="002F2DD9" w:rsidRPr="00595B91">
              <w:rPr>
                <w:rFonts w:ascii="inherit" w:eastAsia="Times New Roman" w:hAnsi="inherit" w:cs="Times New Roman"/>
                <w:sz w:val="24"/>
                <w:szCs w:val="24"/>
                <w:lang w:val="lv-LV"/>
              </w:rPr>
              <w:t xml:space="preserve"> noteikts</w:t>
            </w:r>
            <w:r w:rsidR="00B23CC0" w:rsidRPr="00595B91">
              <w:rPr>
                <w:rFonts w:ascii="inherit" w:eastAsia="Times New Roman" w:hAnsi="inherit" w:cs="Times New Roman"/>
                <w:sz w:val="24"/>
                <w:szCs w:val="24"/>
                <w:lang w:val="lv-LV"/>
              </w:rPr>
              <w:t>: “</w:t>
            </w:r>
            <w:r w:rsidRPr="00595B91">
              <w:rPr>
                <w:rFonts w:ascii="inherit" w:eastAsia="Times New Roman" w:hAnsi="inherit" w:cs="Times New Roman"/>
                <w:sz w:val="24"/>
                <w:szCs w:val="24"/>
                <w:lang w:val="lv-LV"/>
              </w:rPr>
              <w:t xml:space="preserve">2.4.1.2.i. investīcijas atbalstāmās darbības ir tehnoloģiski neitrālu pieslēgumu, kas atbalsta ilgtspējīgu nākamās paaudzes fiksēto, bezvadu vai pavadoņu sakaru savienojamību, ierīkošana elektronisko sakaru pakalpojumu pieejamības nodrošināšanai mājsaimniecībām, uzņēmumiem, izglītības iestādēm, ārstniecības iestādēm </w:t>
            </w:r>
            <w:r w:rsidRPr="00595B91">
              <w:rPr>
                <w:rFonts w:ascii="inherit" w:eastAsia="Times New Roman" w:hAnsi="inherit" w:cs="Times New Roman"/>
                <w:sz w:val="24"/>
                <w:szCs w:val="24"/>
                <w:lang w:val="lv-LV"/>
              </w:rPr>
              <w:lastRenderedPageBreak/>
              <w:t>un citām sabiedriskām ēkām ar lejupielādes ātrumu vismaz 300 Mbit/s un augšupielādes ātrumu vismaz 100 Mbit/s maksimumstundas apstākļos, ko var uzlabot līdz 1 Gbit/s ātrumam pēc pieprasījuma.</w:t>
            </w:r>
            <w:r w:rsidR="00B23CC0" w:rsidRPr="00595B91">
              <w:rPr>
                <w:rFonts w:ascii="inherit" w:eastAsia="Times New Roman" w:hAnsi="inherit" w:cs="Times New Roman"/>
                <w:sz w:val="24"/>
                <w:szCs w:val="24"/>
                <w:lang w:val="lv-LV"/>
              </w:rPr>
              <w:t>”</w:t>
            </w:r>
          </w:p>
          <w:p w14:paraId="3AA3B0C6" w14:textId="10162080" w:rsidR="00266547" w:rsidRDefault="00266547" w:rsidP="00592389">
            <w:pPr>
              <w:spacing w:before="120" w:after="0" w:line="240" w:lineRule="auto"/>
              <w:jc w:val="both"/>
              <w:rPr>
                <w:rStyle w:val="Hyperlink"/>
                <w:rFonts w:ascii="inherit" w:eastAsia="Times New Roman" w:hAnsi="inherit" w:cs="Times New Roman"/>
                <w:color w:val="000000" w:themeColor="text1"/>
                <w:sz w:val="24"/>
                <w:szCs w:val="24"/>
                <w:lang w:val="lv-LV"/>
              </w:rPr>
            </w:pPr>
            <w:r w:rsidRPr="00595B91">
              <w:rPr>
                <w:rFonts w:ascii="inherit" w:eastAsia="Times New Roman" w:hAnsi="inherit" w:cs="Times New Roman"/>
                <w:sz w:val="24"/>
                <w:szCs w:val="24"/>
                <w:lang w:val="lv-LV"/>
              </w:rPr>
              <w:t xml:space="preserve">Informācija saistībā ar Satiksmes ministrijas izsludināto sabiedrisko apspriešanu pieejama šeit: </w:t>
            </w:r>
            <w:hyperlink r:id="rId12" w:history="1">
              <w:r w:rsidRPr="00595B91">
                <w:rPr>
                  <w:rStyle w:val="Hyperlink"/>
                  <w:rFonts w:ascii="inherit" w:eastAsia="Times New Roman" w:hAnsi="inherit" w:cs="Times New Roman"/>
                  <w:color w:val="000000" w:themeColor="text1"/>
                  <w:sz w:val="24"/>
                  <w:szCs w:val="24"/>
                  <w:lang w:val="lv-LV"/>
                </w:rPr>
                <w:t>https://www.sam.gov.lv/lv/jaunums/sabiedriska-apspriesana-par-valsts-valsts-atbalsta-programmu-pedejas-judzes-elektronisko-sakaru-tiklu-infrastrukturas-attistisana</w:t>
              </w:r>
            </w:hyperlink>
            <w:r w:rsidR="000F0FEC">
              <w:rPr>
                <w:rStyle w:val="Hyperlink"/>
                <w:rFonts w:ascii="inherit" w:eastAsia="Times New Roman" w:hAnsi="inherit" w:cs="Times New Roman"/>
                <w:color w:val="000000" w:themeColor="text1"/>
                <w:sz w:val="24"/>
                <w:szCs w:val="24"/>
                <w:lang w:val="lv-LV"/>
              </w:rPr>
              <w:t>.</w:t>
            </w:r>
          </w:p>
          <w:p w14:paraId="07F867D3" w14:textId="56E9C773" w:rsidR="000F0FEC" w:rsidRPr="00595B91" w:rsidRDefault="000F0FEC" w:rsidP="00592389">
            <w:pPr>
              <w:spacing w:before="120" w:after="0" w:line="240" w:lineRule="auto"/>
              <w:jc w:val="both"/>
              <w:rPr>
                <w:rFonts w:ascii="inherit" w:eastAsia="Times New Roman" w:hAnsi="inherit" w:cs="Times New Roman"/>
                <w:sz w:val="24"/>
                <w:szCs w:val="24"/>
                <w:lang w:val="lv-LV"/>
              </w:rPr>
            </w:pPr>
            <w:r>
              <w:rPr>
                <w:rFonts w:ascii="inherit" w:eastAsia="Times New Roman" w:hAnsi="inherit" w:cs="Times New Roman"/>
                <w:sz w:val="24"/>
                <w:szCs w:val="24"/>
                <w:lang w:val="lv-LV"/>
              </w:rPr>
              <w:t>3 b) punktā norādītais ieguldījuma veids nav plānots.</w:t>
            </w:r>
          </w:p>
          <w:p w14:paraId="58C561D5" w14:textId="1A50A69A" w:rsidR="00B756B3" w:rsidRPr="00595B91" w:rsidRDefault="00B756B3" w:rsidP="00DF6B5C">
            <w:pPr>
              <w:jc w:val="both"/>
              <w:rPr>
                <w:rFonts w:ascii="inherit" w:eastAsia="Times New Roman" w:hAnsi="inherit" w:cs="Times New Roman"/>
                <w:i/>
                <w:iCs/>
                <w:sz w:val="24"/>
                <w:szCs w:val="24"/>
                <w:lang w:val="lv-LV"/>
              </w:rPr>
            </w:pPr>
          </w:p>
        </w:tc>
      </w:tr>
    </w:tbl>
    <w:p w14:paraId="244A4D1C" w14:textId="663E0BA3" w:rsidR="00723857" w:rsidRPr="00595B91" w:rsidRDefault="00723857" w:rsidP="00723857">
      <w:pPr>
        <w:shd w:val="clear" w:color="auto" w:fill="FFFFFF"/>
        <w:spacing w:before="120" w:after="0" w:line="240" w:lineRule="auto"/>
        <w:jc w:val="both"/>
        <w:rPr>
          <w:rFonts w:ascii="inherit" w:eastAsia="Times New Roman" w:hAnsi="inherit" w:cs="Times New Roman"/>
          <w:color w:val="000000"/>
          <w:sz w:val="24"/>
          <w:szCs w:val="24"/>
          <w:lang w:val="lv-LV"/>
        </w:rPr>
      </w:pPr>
      <w:r w:rsidRPr="00595B91">
        <w:rPr>
          <w:rFonts w:ascii="inherit" w:eastAsia="Times New Roman" w:hAnsi="inherit" w:cs="Times New Roman"/>
          <w:color w:val="000000"/>
          <w:sz w:val="24"/>
          <w:szCs w:val="24"/>
          <w:highlight w:val="lightGray"/>
          <w:lang w:val="lv-LV"/>
        </w:rPr>
        <w:lastRenderedPageBreak/>
        <w:t>4</w:t>
      </w:r>
      <w:r w:rsidRPr="00A81E29">
        <w:rPr>
          <w:rFonts w:ascii="inherit" w:eastAsia="Times New Roman" w:hAnsi="inherit" w:cs="Times New Roman"/>
          <w:color w:val="000000"/>
          <w:sz w:val="24"/>
          <w:szCs w:val="24"/>
          <w:highlight w:val="lightGray"/>
          <w:shd w:val="clear" w:color="auto" w:fill="D9D9D9" w:themeFill="background1" w:themeFillShade="D9"/>
          <w:lang w:val="lv-LV"/>
        </w:rPr>
        <w:t>.   </w:t>
      </w:r>
      <w:r w:rsidRPr="00A81E29">
        <w:rPr>
          <w:rFonts w:ascii="inherit" w:eastAsia="Times New Roman" w:hAnsi="inherit" w:cs="Times New Roman"/>
          <w:color w:val="000000"/>
          <w:sz w:val="24"/>
          <w:szCs w:val="24"/>
          <w:shd w:val="clear" w:color="auto" w:fill="D9D9D9" w:themeFill="background1" w:themeFillShade="D9"/>
          <w:lang w:val="lv-LV"/>
        </w:rPr>
        <w:t>Apgabali, kuros ir vismaz viens tīkls, ko var modernizēt, lai maksimumstundas apstākļos nodrošinātu lejupielādes ātrumu vismaz 1 Gb/s, nav atbalsttiesīgi attiecībā uz pasākumiem saskaņā ar 3. punkta a) un b) apakšpunktu. Tīklu uzskata par modernizējamu, lai maksimumstundas apstākļos nodrošinātu lejupielādes ātrumu vismaz 1 Gb/s, ja tas var nodrošināt šo ātrumu ar nebūtiskiem ieguldījumiem, piemēram, aktīvā aprīkojuma modernizāciju, bez ievērojamiem ieguldījumiem platjoslas infrastruktūrā.</w:t>
      </w:r>
    </w:p>
    <w:p w14:paraId="6A6CB785" w14:textId="5F59D7CF" w:rsidR="00723857" w:rsidRPr="00595B91" w:rsidRDefault="009175A1" w:rsidP="007E6CCA">
      <w:pPr>
        <w:shd w:val="clear" w:color="auto" w:fill="FFFFFF"/>
        <w:spacing w:before="120" w:after="0" w:line="240" w:lineRule="auto"/>
        <w:jc w:val="both"/>
        <w:rPr>
          <w:rFonts w:ascii="Times New Roman" w:eastAsia="Times New Roman" w:hAnsi="Times New Roman" w:cs="Times New Roman"/>
          <w:vanish/>
          <w:color w:val="000000"/>
          <w:sz w:val="24"/>
          <w:szCs w:val="24"/>
          <w:highlight w:val="lightGray"/>
          <w:lang w:val="lv-LV"/>
        </w:rPr>
      </w:pPr>
      <w:r>
        <w:rPr>
          <w:rFonts w:ascii="inherit" w:eastAsia="Times New Roman" w:hAnsi="inherit" w:cs="Times New Roman"/>
          <w:sz w:val="24"/>
          <w:szCs w:val="24"/>
          <w:lang w:val="lv-LV"/>
        </w:rPr>
        <w:t xml:space="preserve">Tiks ievērots, tas ir, atbalsts </w:t>
      </w:r>
      <w:r w:rsidR="00B721E9">
        <w:rPr>
          <w:rFonts w:ascii="inherit" w:eastAsia="Times New Roman" w:hAnsi="inherit" w:cs="Times New Roman"/>
          <w:sz w:val="24"/>
          <w:szCs w:val="24"/>
          <w:lang w:val="lv-LV"/>
        </w:rPr>
        <w:t>plānots teri</w:t>
      </w:r>
      <w:r w:rsidR="006C31C5">
        <w:rPr>
          <w:rFonts w:ascii="inherit" w:eastAsia="Times New Roman" w:hAnsi="inherit" w:cs="Times New Roman"/>
          <w:sz w:val="24"/>
          <w:szCs w:val="24"/>
          <w:lang w:val="lv-LV"/>
        </w:rPr>
        <w:t xml:space="preserve">torijās, </w:t>
      </w:r>
      <w:r w:rsidR="00B721E9">
        <w:rPr>
          <w:rFonts w:ascii="inherit" w:eastAsia="Times New Roman" w:hAnsi="inherit" w:cs="Times New Roman"/>
          <w:sz w:val="24"/>
          <w:szCs w:val="24"/>
          <w:lang w:val="lv-LV"/>
        </w:rPr>
        <w:t>kurās</w:t>
      </w:r>
      <w:r w:rsidR="006C31C5">
        <w:rPr>
          <w:rFonts w:ascii="inherit" w:eastAsia="Times New Roman" w:hAnsi="inherit" w:cs="Times New Roman"/>
          <w:sz w:val="24"/>
          <w:szCs w:val="24"/>
          <w:lang w:val="lv-LV"/>
        </w:rPr>
        <w:t>, ņ</w:t>
      </w:r>
      <w:r w:rsidR="006C31C5" w:rsidRPr="00595B91">
        <w:rPr>
          <w:rFonts w:ascii="inherit" w:eastAsia="Times New Roman" w:hAnsi="inherit" w:cs="Times New Roman"/>
          <w:sz w:val="24"/>
          <w:szCs w:val="24"/>
          <w:lang w:val="lv-LV"/>
        </w:rPr>
        <w:t>emot vērā kartēšanas rezultātus un sabiedriskās apspriešanas rezultātus, šobrīd nav piekļuves VHCN, tas ir, internets vispār nav pieejams vai arī tas ir mazāks nekā 100 Mbit/s</w:t>
      </w:r>
      <w:r w:rsidR="00D03921">
        <w:rPr>
          <w:rFonts w:ascii="inherit" w:eastAsia="Times New Roman" w:hAnsi="inherit" w:cs="Times New Roman"/>
          <w:sz w:val="24"/>
          <w:szCs w:val="24"/>
          <w:lang w:val="lv-LV"/>
        </w:rPr>
        <w:t>, kas attiecīgi nodrošina šī nosacījuma ievērošanu</w:t>
      </w:r>
      <w:r w:rsidR="00162FA2">
        <w:rPr>
          <w:rFonts w:ascii="inherit" w:eastAsia="Times New Roman" w:hAnsi="inherit" w:cs="Times New Roman"/>
          <w:sz w:val="24"/>
          <w:szCs w:val="24"/>
          <w:lang w:val="lv-LV"/>
        </w:rPr>
        <w:t>. Papildus</w:t>
      </w:r>
      <w:r w:rsidR="00070FD5">
        <w:rPr>
          <w:rFonts w:ascii="inherit" w:eastAsia="Times New Roman" w:hAnsi="inherit" w:cs="Times New Roman"/>
          <w:sz w:val="24"/>
          <w:szCs w:val="24"/>
          <w:lang w:val="lv-LV"/>
        </w:rPr>
        <w:t xml:space="preserve"> šis aspekta </w:t>
      </w:r>
      <w:r w:rsidR="00162FA2">
        <w:rPr>
          <w:rFonts w:ascii="inherit" w:eastAsia="Times New Roman" w:hAnsi="inherit" w:cs="Times New Roman"/>
          <w:sz w:val="24"/>
          <w:szCs w:val="24"/>
          <w:lang w:val="lv-LV"/>
        </w:rPr>
        <w:t xml:space="preserve">pārbaude tiks veikta </w:t>
      </w:r>
      <w:r w:rsidR="00070FD5">
        <w:rPr>
          <w:rFonts w:ascii="inherit" w:eastAsia="Times New Roman" w:hAnsi="inherit" w:cs="Times New Roman"/>
          <w:sz w:val="24"/>
          <w:szCs w:val="24"/>
          <w:lang w:val="lv-LV"/>
        </w:rPr>
        <w:t>atkārtotā sabiedriskā apspriešanā</w:t>
      </w:r>
      <w:r w:rsidR="006C31C5" w:rsidRPr="00595B91">
        <w:rPr>
          <w:rFonts w:ascii="inherit" w:eastAsia="Times New Roman" w:hAnsi="inherit" w:cs="Times New Roman"/>
          <w:sz w:val="24"/>
          <w:szCs w:val="24"/>
          <w:lang w:val="lv-LV"/>
        </w:rPr>
        <w:t>.</w:t>
      </w:r>
    </w:p>
    <w:tbl>
      <w:tblPr>
        <w:tblW w:w="5000" w:type="pct"/>
        <w:tblCellMar>
          <w:left w:w="0" w:type="dxa"/>
          <w:right w:w="0" w:type="dxa"/>
        </w:tblCellMar>
        <w:tblLook w:val="04A0" w:firstRow="1" w:lastRow="0" w:firstColumn="1" w:lastColumn="0" w:noHBand="0" w:noVBand="1"/>
      </w:tblPr>
      <w:tblGrid>
        <w:gridCol w:w="6"/>
        <w:gridCol w:w="9354"/>
      </w:tblGrid>
      <w:tr w:rsidR="00723857" w:rsidRPr="00595B91" w14:paraId="6CBB1178" w14:textId="77777777" w:rsidTr="00723857">
        <w:tc>
          <w:tcPr>
            <w:tcW w:w="0" w:type="auto"/>
            <w:shd w:val="clear" w:color="auto" w:fill="auto"/>
            <w:hideMark/>
          </w:tcPr>
          <w:p w14:paraId="67C96C24" w14:textId="2D83CD85" w:rsidR="00723857" w:rsidRPr="00595B91" w:rsidRDefault="00723857" w:rsidP="00723857">
            <w:pPr>
              <w:spacing w:before="120" w:after="0" w:line="240" w:lineRule="auto"/>
              <w:jc w:val="both"/>
              <w:rPr>
                <w:rFonts w:ascii="inherit" w:eastAsia="Times New Roman" w:hAnsi="inherit" w:cs="Times New Roman"/>
                <w:sz w:val="24"/>
                <w:szCs w:val="24"/>
                <w:highlight w:val="lightGray"/>
                <w:lang w:val="lv-LV"/>
              </w:rPr>
            </w:pPr>
          </w:p>
        </w:tc>
        <w:tc>
          <w:tcPr>
            <w:tcW w:w="0" w:type="auto"/>
            <w:shd w:val="clear" w:color="auto" w:fill="auto"/>
            <w:hideMark/>
          </w:tcPr>
          <w:p w14:paraId="2A1AC1E7" w14:textId="528535E0" w:rsidR="00B641C0" w:rsidRPr="00B641C0" w:rsidRDefault="00B641C0" w:rsidP="00B641C0">
            <w:pPr>
              <w:shd w:val="clear" w:color="auto" w:fill="D9D9D9" w:themeFill="background1" w:themeFillShade="D9"/>
              <w:spacing w:before="120" w:after="0" w:line="240" w:lineRule="auto"/>
              <w:jc w:val="both"/>
              <w:rPr>
                <w:rFonts w:ascii="inherit" w:eastAsia="Times New Roman" w:hAnsi="inherit" w:cs="Times New Roman"/>
                <w:sz w:val="24"/>
                <w:szCs w:val="24"/>
                <w:lang w:val="lv-LV"/>
              </w:rPr>
            </w:pPr>
            <w:r>
              <w:rPr>
                <w:rFonts w:ascii="inherit" w:eastAsia="Times New Roman" w:hAnsi="inherit" w:cs="Times New Roman"/>
                <w:sz w:val="24"/>
                <w:szCs w:val="24"/>
                <w:lang w:val="lv-LV"/>
              </w:rPr>
              <w:t>5</w:t>
            </w:r>
            <w:r w:rsidR="007E6CCA">
              <w:rPr>
                <w:rFonts w:ascii="inherit" w:eastAsia="Times New Roman" w:hAnsi="inherit" w:cs="Times New Roman"/>
                <w:sz w:val="24"/>
                <w:szCs w:val="24"/>
                <w:lang w:val="lv-LV"/>
              </w:rPr>
              <w:t>.</w:t>
            </w:r>
            <w:r w:rsidRPr="00B641C0">
              <w:rPr>
                <w:rFonts w:ascii="inherit" w:eastAsia="Times New Roman" w:hAnsi="inherit" w:cs="Times New Roman"/>
                <w:sz w:val="24"/>
                <w:szCs w:val="24"/>
                <w:lang w:val="lv-LV"/>
              </w:rPr>
              <w:t>Kartografēšana un sabiedriskā apspriešana, ko veic 3. punkta nolūkiem, kumulatīvi atbilst šādām prasībām:</w:t>
            </w:r>
          </w:p>
          <w:p w14:paraId="52774BD7" w14:textId="72DA03CB" w:rsidR="00B641C0" w:rsidRPr="00B641C0" w:rsidRDefault="00B641C0" w:rsidP="00B641C0">
            <w:pPr>
              <w:shd w:val="clear" w:color="auto" w:fill="D9D9D9" w:themeFill="background1" w:themeFillShade="D9"/>
              <w:spacing w:before="120" w:after="0" w:line="240" w:lineRule="auto"/>
              <w:jc w:val="both"/>
              <w:rPr>
                <w:rFonts w:ascii="inherit" w:eastAsia="Times New Roman" w:hAnsi="inherit" w:cs="Times New Roman"/>
                <w:sz w:val="24"/>
                <w:szCs w:val="24"/>
                <w:lang w:val="lv-LV"/>
              </w:rPr>
            </w:pPr>
            <w:r w:rsidRPr="00B641C0">
              <w:rPr>
                <w:rFonts w:ascii="inherit" w:eastAsia="Times New Roman" w:hAnsi="inherit" w:cs="Times New Roman"/>
                <w:sz w:val="24"/>
                <w:szCs w:val="24"/>
                <w:lang w:val="lv-LV"/>
              </w:rPr>
              <w:t>a) kartē norāda ģeogrāfiskos mērķapgabalus, uz kuriem plānots attiecināt publisko pasākumu, un ņem vērā visus esošos fiksētos platjoslas tīklus. Kartografēšanu veic:</w:t>
            </w:r>
          </w:p>
          <w:p w14:paraId="1D9C9D3E" w14:textId="0BFDBE74" w:rsidR="00B641C0" w:rsidRPr="00B641C0" w:rsidRDefault="00B641C0" w:rsidP="00B641C0">
            <w:pPr>
              <w:shd w:val="clear" w:color="auto" w:fill="D9D9D9" w:themeFill="background1" w:themeFillShade="D9"/>
              <w:spacing w:before="120" w:after="0" w:line="240" w:lineRule="auto"/>
              <w:jc w:val="both"/>
              <w:rPr>
                <w:rFonts w:ascii="inherit" w:eastAsia="Times New Roman" w:hAnsi="inherit" w:cs="Times New Roman"/>
                <w:sz w:val="24"/>
                <w:szCs w:val="24"/>
                <w:lang w:val="lv-LV"/>
              </w:rPr>
            </w:pPr>
            <w:r w:rsidRPr="00B641C0">
              <w:rPr>
                <w:rFonts w:ascii="inherit" w:eastAsia="Times New Roman" w:hAnsi="inherit" w:cs="Times New Roman"/>
                <w:sz w:val="24"/>
                <w:szCs w:val="24"/>
                <w:lang w:val="lv-LV"/>
              </w:rPr>
              <w:t>i) fiksētajiem vadu tīkliem – adrešu līmenī, pamatojoties uz apkalpojamajām telpām;</w:t>
            </w:r>
          </w:p>
          <w:p w14:paraId="55D53A6F" w14:textId="15E39997" w:rsidR="00B641C0" w:rsidRPr="00B641C0" w:rsidRDefault="00B641C0" w:rsidP="00B641C0">
            <w:pPr>
              <w:shd w:val="clear" w:color="auto" w:fill="D9D9D9" w:themeFill="background1" w:themeFillShade="D9"/>
              <w:spacing w:before="120" w:after="0" w:line="240" w:lineRule="auto"/>
              <w:jc w:val="both"/>
              <w:rPr>
                <w:rFonts w:ascii="inherit" w:eastAsia="Times New Roman" w:hAnsi="inherit" w:cs="Times New Roman"/>
                <w:sz w:val="24"/>
                <w:szCs w:val="24"/>
                <w:lang w:val="lv-LV"/>
              </w:rPr>
            </w:pPr>
            <w:r w:rsidRPr="00B641C0">
              <w:rPr>
                <w:rFonts w:ascii="inherit" w:eastAsia="Times New Roman" w:hAnsi="inherit" w:cs="Times New Roman"/>
                <w:sz w:val="24"/>
                <w:szCs w:val="24"/>
                <w:lang w:val="lv-LV"/>
              </w:rPr>
              <w:t>ii) fiksētajiem bezvadu piekļuves tīkliem – adrešu līmenī, pamatojoties uz apkalpojamajām telpām vai kartes režģiem, kas nav lielāki par 100 × 100 metriem.</w:t>
            </w:r>
          </w:p>
          <w:p w14:paraId="6C118B8E" w14:textId="77777777" w:rsidR="00B641C0" w:rsidRPr="00B641C0" w:rsidRDefault="00B641C0" w:rsidP="00B641C0">
            <w:pPr>
              <w:shd w:val="clear" w:color="auto" w:fill="D9D9D9" w:themeFill="background1" w:themeFillShade="D9"/>
              <w:spacing w:before="120" w:after="0" w:line="240" w:lineRule="auto"/>
              <w:jc w:val="both"/>
              <w:rPr>
                <w:rFonts w:ascii="inherit" w:eastAsia="Times New Roman" w:hAnsi="inherit" w:cs="Times New Roman"/>
                <w:sz w:val="24"/>
                <w:szCs w:val="24"/>
                <w:lang w:val="lv-LV"/>
              </w:rPr>
            </w:pPr>
            <w:r w:rsidRPr="00B641C0">
              <w:rPr>
                <w:rFonts w:ascii="inherit" w:eastAsia="Times New Roman" w:hAnsi="inherit" w:cs="Times New Roman"/>
                <w:sz w:val="24"/>
                <w:szCs w:val="24"/>
                <w:lang w:val="lv-LV"/>
              </w:rPr>
              <w:t>Ja tīkla izvēršana vienlaikus ietver piekļuves tīkla izvēršanu un nepieciešamā atvilces maršrutēšanas tīkla palīgdaļas ierobežotu izvēršanu, atvilces maršrutēšanas tīklu kartēšana nav nepieciešama.</w:t>
            </w:r>
          </w:p>
          <w:p w14:paraId="0ECA8DED" w14:textId="77777777" w:rsidR="00B641C0" w:rsidRPr="00B641C0" w:rsidRDefault="00B641C0" w:rsidP="00B641C0">
            <w:pPr>
              <w:shd w:val="clear" w:color="auto" w:fill="D9D9D9" w:themeFill="background1" w:themeFillShade="D9"/>
              <w:spacing w:before="120" w:after="0" w:line="240" w:lineRule="auto"/>
              <w:jc w:val="both"/>
              <w:rPr>
                <w:rFonts w:ascii="inherit" w:eastAsia="Times New Roman" w:hAnsi="inherit" w:cs="Times New Roman"/>
                <w:sz w:val="24"/>
                <w:szCs w:val="24"/>
                <w:lang w:val="lv-LV"/>
              </w:rPr>
            </w:pPr>
            <w:r w:rsidRPr="00B641C0">
              <w:rPr>
                <w:rFonts w:ascii="inherit" w:eastAsia="Times New Roman" w:hAnsi="inherit" w:cs="Times New Roman"/>
                <w:sz w:val="24"/>
                <w:szCs w:val="24"/>
                <w:lang w:val="lv-LV"/>
              </w:rPr>
              <w:t>Visus metodikas elementus un tehniskos kritērijus, ko izmanto mērķapgabalu kartografēšanai, dara publiski pieejamus. Kartografēšanu vienmēr pārbauda sabiedriskajā apspriešanā;</w:t>
            </w:r>
          </w:p>
          <w:p w14:paraId="4B2C634D" w14:textId="2D36BE38" w:rsidR="00FA5CFE" w:rsidRPr="00595B91" w:rsidRDefault="00B641C0" w:rsidP="00B641C0">
            <w:pPr>
              <w:shd w:val="clear" w:color="auto" w:fill="D9D9D9" w:themeFill="background1" w:themeFillShade="D9"/>
              <w:spacing w:before="120" w:after="0" w:line="240" w:lineRule="auto"/>
              <w:jc w:val="both"/>
              <w:rPr>
                <w:rFonts w:ascii="inherit" w:eastAsia="Times New Roman" w:hAnsi="inherit" w:cs="Times New Roman"/>
                <w:sz w:val="24"/>
                <w:szCs w:val="24"/>
                <w:lang w:val="lv-LV"/>
              </w:rPr>
            </w:pPr>
            <w:r w:rsidRPr="00B641C0">
              <w:rPr>
                <w:rFonts w:ascii="inherit" w:eastAsia="Times New Roman" w:hAnsi="inherit" w:cs="Times New Roman"/>
                <w:sz w:val="24"/>
                <w:szCs w:val="24"/>
                <w:lang w:val="lv-LV"/>
              </w:rPr>
              <w:t>b) sabiedrisko apspriešanu veic kompetentā publiskā iestāde, publicējot plānotā publiskā pasākuma galvenos raksturlielumus un saskaņā ar a) apakšpunktu kartografēšanā noteikto ģeogrāfisko mērķapgabalu sarakstu. Šo informāciju dara publiski pieejamu reģionālā un valsts līmeņa tīmekļa vietnē. Ieinteresētās personas sabiedriskajā apspriešanā tiek aicinātas izteikt piezīmes par plānoto publisko pasākumu un iesniegt argumentētu informāciju saskaņā ar a) apakšpunktu par to tīkliem, kuri nodrošina 3. punktā noteiktos robežvērtības ātrumus un kuri ir esoši vai kurus attiecīgajā laikposmā ticami plānots izvērst mērķapgabalā. Sabiedriskā apspriešana ilgst vismaz 30 dienas.</w:t>
            </w:r>
            <w:r w:rsidR="007412C1" w:rsidRPr="00595B91">
              <w:rPr>
                <w:rFonts w:ascii="inherit" w:eastAsia="Times New Roman" w:hAnsi="inherit" w:cs="Times New Roman"/>
                <w:sz w:val="24"/>
                <w:szCs w:val="24"/>
                <w:lang w:val="lv-LV"/>
              </w:rPr>
              <w:t xml:space="preserve">Atbilst: </w:t>
            </w:r>
            <w:r w:rsidR="00097580" w:rsidRPr="00595B91">
              <w:rPr>
                <w:rFonts w:ascii="inherit" w:eastAsia="Times New Roman" w:hAnsi="inherit" w:cs="Times New Roman"/>
                <w:sz w:val="24"/>
                <w:szCs w:val="24"/>
                <w:lang w:val="lv-LV"/>
              </w:rPr>
              <w:t xml:space="preserve">Informācija saistībā ar </w:t>
            </w:r>
            <w:r w:rsidR="00142C0B" w:rsidRPr="00595B91">
              <w:rPr>
                <w:rFonts w:ascii="inherit" w:eastAsia="Times New Roman" w:hAnsi="inherit" w:cs="Times New Roman"/>
                <w:sz w:val="24"/>
                <w:szCs w:val="24"/>
                <w:lang w:val="lv-LV"/>
              </w:rPr>
              <w:t>Satiksmes ministrijas izsludināto s</w:t>
            </w:r>
            <w:r w:rsidR="00FA5CFE" w:rsidRPr="00595B91">
              <w:rPr>
                <w:rFonts w:ascii="inherit" w:eastAsia="Times New Roman" w:hAnsi="inherit" w:cs="Times New Roman"/>
                <w:sz w:val="24"/>
                <w:szCs w:val="24"/>
                <w:lang w:val="lv-LV"/>
              </w:rPr>
              <w:t>abiedrisk</w:t>
            </w:r>
            <w:r w:rsidR="00097580" w:rsidRPr="00595B91">
              <w:rPr>
                <w:rFonts w:ascii="inherit" w:eastAsia="Times New Roman" w:hAnsi="inherit" w:cs="Times New Roman"/>
                <w:sz w:val="24"/>
                <w:szCs w:val="24"/>
                <w:lang w:val="lv-LV"/>
              </w:rPr>
              <w:t>o</w:t>
            </w:r>
            <w:r w:rsidR="00FA5CFE" w:rsidRPr="00595B91">
              <w:rPr>
                <w:rFonts w:ascii="inherit" w:eastAsia="Times New Roman" w:hAnsi="inherit" w:cs="Times New Roman"/>
                <w:sz w:val="24"/>
                <w:szCs w:val="24"/>
                <w:lang w:val="lv-LV"/>
              </w:rPr>
              <w:t xml:space="preserve"> apspriešan</w:t>
            </w:r>
            <w:r w:rsidR="00097580" w:rsidRPr="00595B91">
              <w:rPr>
                <w:rFonts w:ascii="inherit" w:eastAsia="Times New Roman" w:hAnsi="inherit" w:cs="Times New Roman"/>
                <w:sz w:val="24"/>
                <w:szCs w:val="24"/>
                <w:lang w:val="lv-LV"/>
              </w:rPr>
              <w:t>u pieejama šeit</w:t>
            </w:r>
            <w:r w:rsidR="00FA5CFE" w:rsidRPr="00595B91">
              <w:rPr>
                <w:rFonts w:ascii="inherit" w:eastAsia="Times New Roman" w:hAnsi="inherit" w:cs="Times New Roman"/>
                <w:sz w:val="24"/>
                <w:szCs w:val="24"/>
                <w:lang w:val="lv-LV"/>
              </w:rPr>
              <w:t>:</w:t>
            </w:r>
            <w:r w:rsidR="007412C1" w:rsidRPr="00595B91">
              <w:rPr>
                <w:rFonts w:ascii="inherit" w:eastAsia="Times New Roman" w:hAnsi="inherit" w:cs="Times New Roman"/>
                <w:sz w:val="24"/>
                <w:szCs w:val="24"/>
                <w:lang w:val="lv-LV"/>
              </w:rPr>
              <w:t xml:space="preserve"> </w:t>
            </w:r>
            <w:hyperlink r:id="rId13" w:history="1">
              <w:r w:rsidR="00097580" w:rsidRPr="00595B91">
                <w:rPr>
                  <w:rStyle w:val="Hyperlink"/>
                  <w:rFonts w:ascii="inherit" w:eastAsia="Times New Roman" w:hAnsi="inherit" w:cs="Times New Roman"/>
                  <w:color w:val="000000" w:themeColor="text1"/>
                  <w:sz w:val="24"/>
                  <w:szCs w:val="24"/>
                  <w:lang w:val="lv-LV"/>
                </w:rPr>
                <w:t>https://www.sam.gov.lv/lv/jaunums/sabiedriska-apspriesana-par-valsts-valsts-atbalsta-programmu-pedejas-judzes-elektronisko-sakaru-tiklu-infrastrukturas-attistisana</w:t>
              </w:r>
            </w:hyperlink>
            <w:r w:rsidR="00097580" w:rsidRPr="00595B91">
              <w:rPr>
                <w:rFonts w:ascii="inherit" w:eastAsia="Times New Roman" w:hAnsi="inherit" w:cs="Times New Roman"/>
                <w:color w:val="000000" w:themeColor="text1"/>
                <w:sz w:val="24"/>
                <w:szCs w:val="24"/>
                <w:lang w:val="lv-LV"/>
              </w:rPr>
              <w:t xml:space="preserve"> </w:t>
            </w:r>
          </w:p>
          <w:p w14:paraId="31CAC00B" w14:textId="1337F7F4" w:rsidR="00723857" w:rsidRPr="00595B91" w:rsidRDefault="00FA5CFE" w:rsidP="00FA5CFE">
            <w:pPr>
              <w:spacing w:before="120" w:after="0" w:line="240" w:lineRule="auto"/>
              <w:jc w:val="both"/>
              <w:rPr>
                <w:rFonts w:ascii="inherit" w:eastAsia="Times New Roman" w:hAnsi="inherit" w:cs="Times New Roman"/>
                <w:sz w:val="24"/>
                <w:szCs w:val="24"/>
                <w:lang w:val="lv-LV"/>
              </w:rPr>
            </w:pPr>
            <w:r w:rsidRPr="00595B91">
              <w:rPr>
                <w:rFonts w:ascii="inherit" w:eastAsia="Times New Roman" w:hAnsi="inherit" w:cs="Times New Roman"/>
                <w:sz w:val="24"/>
                <w:szCs w:val="24"/>
                <w:lang w:val="lv-LV"/>
              </w:rPr>
              <w:lastRenderedPageBreak/>
              <w:t xml:space="preserve">Laikā no 2020. gada 16. jūlija līdz 2020. gada 3. decembrim tika veikta detalizētās kartēšanas un pārklājuma analīze Satiksmes ministrijas pasūtītā pētījuma “Pētījums Eiropas Savienības fondu 2021.-2027. gada plānošanas perioda ieguldījumu priekšnosacījumu izpildei” (Pieejams šeit: </w:t>
            </w:r>
            <w:hyperlink r:id="rId14" w:history="1">
              <w:r w:rsidR="00695695" w:rsidRPr="00595B91">
                <w:rPr>
                  <w:rStyle w:val="Hyperlink"/>
                  <w:rFonts w:ascii="inherit" w:eastAsia="Times New Roman" w:hAnsi="inherit" w:cs="Times New Roman"/>
                  <w:color w:val="000000" w:themeColor="text1"/>
                  <w:sz w:val="24"/>
                  <w:szCs w:val="24"/>
                  <w:lang w:val="lv-LV"/>
                </w:rPr>
                <w:t>https://www.sam.gov.lv/lv/petijumi</w:t>
              </w:r>
            </w:hyperlink>
            <w:r w:rsidRPr="00595B91">
              <w:rPr>
                <w:rFonts w:ascii="inherit" w:eastAsia="Times New Roman" w:hAnsi="inherit" w:cs="Times New Roman"/>
                <w:sz w:val="24"/>
                <w:szCs w:val="24"/>
                <w:lang w:val="lv-LV"/>
              </w:rPr>
              <w:t>) ietvaros (Pētījums).</w:t>
            </w:r>
            <w:r w:rsidR="00203362" w:rsidRPr="00595B91">
              <w:rPr>
                <w:rFonts w:ascii="inherit" w:eastAsia="Times New Roman" w:hAnsi="inherit" w:cs="Times New Roman"/>
                <w:sz w:val="24"/>
                <w:szCs w:val="24"/>
                <w:lang w:val="lv-LV"/>
              </w:rPr>
              <w:t xml:space="preserve"> Pētījuma mērķis – izpētīt elektronisko sakaru tīklu infrastruktūras un elektronisko sakaru pakalpojumu kvalitātes atbilstību Savienojamības paziņojuma mērķiem, sagatavojot esošās un plānotās platjoslas piekļuves pakalpojumu pieejamības un infrastruktūras kartējumu un, veicot analīzi par piemērotāko intervences modeli, izstrādāt datos balstītu pamatojumu platjoslas valsts atbalsta politikas plānošanai.</w:t>
            </w:r>
          </w:p>
          <w:p w14:paraId="7CF81BE7" w14:textId="02C986AE" w:rsidR="002456CF" w:rsidRPr="00595B91" w:rsidRDefault="002456CF" w:rsidP="00FA5CFE">
            <w:pPr>
              <w:spacing w:before="120" w:after="0" w:line="240" w:lineRule="auto"/>
              <w:jc w:val="both"/>
              <w:rPr>
                <w:rFonts w:ascii="inherit" w:eastAsia="Times New Roman" w:hAnsi="inherit" w:cs="Times New Roman"/>
                <w:sz w:val="24"/>
                <w:szCs w:val="24"/>
                <w:lang w:val="lv-LV"/>
              </w:rPr>
            </w:pPr>
            <w:r w:rsidRPr="00595B91">
              <w:rPr>
                <w:rFonts w:ascii="inherit" w:eastAsia="Times New Roman" w:hAnsi="inherit" w:cs="Times New Roman"/>
                <w:sz w:val="24"/>
                <w:szCs w:val="24"/>
                <w:lang w:val="lv-LV"/>
              </w:rPr>
              <w:t>Ņemot vērā Pētījuma rezultātus, elektronisko sakaru komersantiem nav plānu mērķa teritorijā veikt ieguldījumus un nodrošināt ļoti augstas veiktspējas tīkla “pēdējās jūdzes” pakalpojumu.</w:t>
            </w:r>
            <w:r w:rsidR="00771B39" w:rsidRPr="00595B91">
              <w:rPr>
                <w:rFonts w:ascii="inherit" w:eastAsia="Times New Roman" w:hAnsi="inherit" w:cs="Times New Roman"/>
                <w:sz w:val="24"/>
                <w:szCs w:val="24"/>
                <w:lang w:val="lv-LV"/>
              </w:rPr>
              <w:t xml:space="preserve"> </w:t>
            </w:r>
          </w:p>
          <w:p w14:paraId="1B8425B7" w14:textId="492BA3CA" w:rsidR="00592389" w:rsidRPr="00595B91" w:rsidRDefault="00771B39" w:rsidP="00723857">
            <w:pPr>
              <w:spacing w:before="120" w:after="0" w:line="240" w:lineRule="auto"/>
              <w:jc w:val="both"/>
              <w:rPr>
                <w:rFonts w:ascii="inherit" w:eastAsia="Times New Roman" w:hAnsi="inherit" w:cs="Times New Roman"/>
                <w:sz w:val="24"/>
                <w:szCs w:val="24"/>
                <w:lang w:val="lv-LV"/>
              </w:rPr>
            </w:pPr>
            <w:r w:rsidRPr="00595B91">
              <w:rPr>
                <w:rFonts w:ascii="inherit" w:eastAsia="Times New Roman" w:hAnsi="inherit" w:cs="Times New Roman"/>
                <w:sz w:val="24"/>
                <w:szCs w:val="24"/>
                <w:lang w:val="lv-LV"/>
              </w:rPr>
              <w:t>Teritorijas, kurās iespējams valsts atbalsts – ļoti augstas veiktspējas tīkla baltās teritorijas (teritorijas, kurās nav piekļuve platjoslas optikai) adrešu līmenī</w:t>
            </w:r>
            <w:r w:rsidR="00E90D4F" w:rsidRPr="00595B91">
              <w:rPr>
                <w:rFonts w:ascii="inherit" w:eastAsia="Times New Roman" w:hAnsi="inherit" w:cs="Times New Roman"/>
                <w:sz w:val="24"/>
                <w:szCs w:val="24"/>
                <w:lang w:val="lv-LV"/>
              </w:rPr>
              <w:t>.</w:t>
            </w:r>
            <w:r w:rsidR="00706D65" w:rsidRPr="00595B91">
              <w:rPr>
                <w:rFonts w:ascii="inherit" w:eastAsia="Times New Roman" w:hAnsi="inherit" w:cs="Times New Roman"/>
                <w:sz w:val="24"/>
                <w:szCs w:val="24"/>
                <w:lang w:val="lv-LV"/>
              </w:rPr>
              <w:t xml:space="preserve"> Ņemot vērā plānošanas reģiona priekšlikumus, ir identificēti objekti, kuros ir nepieciešams ļoti augstas veiktspējas tīkls. Daļa no objektiem projektu </w:t>
            </w:r>
            <w:r w:rsidR="0041054F" w:rsidRPr="00595B91">
              <w:rPr>
                <w:rFonts w:ascii="inherit" w:eastAsia="Times New Roman" w:hAnsi="inherit" w:cs="Times New Roman"/>
                <w:sz w:val="24"/>
                <w:szCs w:val="24"/>
                <w:lang w:val="lv-LV"/>
              </w:rPr>
              <w:t>“Projektu iesniegumu vērtēšanas kritērijos un to piemērošanas skaidrojumos”</w:t>
            </w:r>
            <w:r w:rsidR="00706D65" w:rsidRPr="00595B91">
              <w:rPr>
                <w:rFonts w:ascii="inherit" w:eastAsia="Times New Roman" w:hAnsi="inherit" w:cs="Times New Roman"/>
                <w:sz w:val="24"/>
                <w:szCs w:val="24"/>
                <w:lang w:val="lv-LV"/>
              </w:rPr>
              <w:t xml:space="preserve"> noteikti kā obligāti ierīkojami, daļa – kā tādi, par kuriem var saņemt papildu punktus projektu atlases konkursā. </w:t>
            </w:r>
          </w:p>
          <w:p w14:paraId="0E952B01" w14:textId="1424600B" w:rsidR="00C062D1" w:rsidRPr="00595B91" w:rsidRDefault="001C12F8" w:rsidP="00723857">
            <w:pPr>
              <w:spacing w:before="120" w:after="0" w:line="240" w:lineRule="auto"/>
              <w:jc w:val="both"/>
              <w:rPr>
                <w:rFonts w:ascii="inherit" w:eastAsia="Times New Roman" w:hAnsi="inherit" w:cs="Times New Roman"/>
                <w:sz w:val="24"/>
                <w:szCs w:val="24"/>
                <w:lang w:val="lv-LV"/>
              </w:rPr>
            </w:pPr>
            <w:r w:rsidRPr="00595B91">
              <w:rPr>
                <w:rFonts w:ascii="inherit" w:eastAsia="Times New Roman" w:hAnsi="inherit" w:cs="Times New Roman"/>
                <w:sz w:val="24"/>
                <w:szCs w:val="24"/>
                <w:lang w:val="lv-LV"/>
              </w:rPr>
              <w:t xml:space="preserve">Sabiedriskā apspriešana tiks veikta pirms </w:t>
            </w:r>
            <w:r w:rsidR="007E6CCA">
              <w:rPr>
                <w:rFonts w:ascii="inherit" w:eastAsia="Times New Roman" w:hAnsi="inherit" w:cs="Times New Roman"/>
                <w:sz w:val="24"/>
                <w:szCs w:val="24"/>
                <w:lang w:val="lv-LV"/>
              </w:rPr>
              <w:t>atlases</w:t>
            </w:r>
            <w:r w:rsidRPr="00595B91">
              <w:rPr>
                <w:rFonts w:ascii="inherit" w:eastAsia="Times New Roman" w:hAnsi="inherit" w:cs="Times New Roman"/>
                <w:sz w:val="24"/>
                <w:szCs w:val="24"/>
                <w:lang w:val="lv-LV"/>
              </w:rPr>
              <w:t xml:space="preserve"> uzsākšanas tiks veikta atkārtota</w:t>
            </w:r>
            <w:r w:rsidR="002A1EF9">
              <w:rPr>
                <w:rFonts w:ascii="inherit" w:eastAsia="Times New Roman" w:hAnsi="inherit" w:cs="Times New Roman"/>
                <w:sz w:val="24"/>
                <w:szCs w:val="24"/>
                <w:lang w:val="lv-LV"/>
              </w:rPr>
              <w:t>.</w:t>
            </w:r>
          </w:p>
          <w:p w14:paraId="35468076" w14:textId="4412C024" w:rsidR="00592389" w:rsidRPr="00595B91" w:rsidRDefault="00592389" w:rsidP="00723857">
            <w:pPr>
              <w:spacing w:before="120" w:after="0" w:line="240" w:lineRule="auto"/>
              <w:jc w:val="both"/>
              <w:rPr>
                <w:rFonts w:ascii="inherit" w:eastAsia="Times New Roman" w:hAnsi="inherit" w:cs="Times New Roman"/>
                <w:i/>
                <w:sz w:val="24"/>
                <w:szCs w:val="24"/>
                <w:lang w:val="lv-LV"/>
              </w:rPr>
            </w:pPr>
          </w:p>
        </w:tc>
      </w:tr>
      <w:tr w:rsidR="00BB6719" w:rsidRPr="00595B91" w14:paraId="04701589" w14:textId="77777777" w:rsidTr="00723857">
        <w:trPr>
          <w:gridAfter w:val="1"/>
        </w:trPr>
        <w:tc>
          <w:tcPr>
            <w:tcW w:w="0" w:type="auto"/>
            <w:shd w:val="clear" w:color="auto" w:fill="auto"/>
            <w:hideMark/>
          </w:tcPr>
          <w:p w14:paraId="38556945" w14:textId="28E55ADA" w:rsidR="00BB6719" w:rsidRPr="00595B91" w:rsidRDefault="00BB6719" w:rsidP="00723857">
            <w:pPr>
              <w:spacing w:before="120" w:after="0" w:line="240" w:lineRule="auto"/>
              <w:jc w:val="both"/>
              <w:rPr>
                <w:rFonts w:ascii="inherit" w:eastAsia="Times New Roman" w:hAnsi="inherit" w:cs="Times New Roman"/>
                <w:sz w:val="24"/>
                <w:szCs w:val="24"/>
                <w:highlight w:val="lightGray"/>
                <w:lang w:val="lv-LV"/>
              </w:rPr>
            </w:pPr>
          </w:p>
        </w:tc>
      </w:tr>
    </w:tbl>
    <w:p w14:paraId="5AF6D4D3" w14:textId="77777777" w:rsidR="00723857" w:rsidRPr="00595B91" w:rsidRDefault="00723857" w:rsidP="00723857">
      <w:pPr>
        <w:shd w:val="clear" w:color="auto" w:fill="FFFFFF"/>
        <w:spacing w:after="0" w:line="240" w:lineRule="auto"/>
        <w:rPr>
          <w:rFonts w:ascii="Times New Roman" w:eastAsia="Times New Roman" w:hAnsi="Times New Roman" w:cs="Times New Roman"/>
          <w:vanish/>
          <w:color w:val="000000"/>
          <w:sz w:val="24"/>
          <w:szCs w:val="24"/>
          <w:highlight w:val="lightGray"/>
          <w:lang w:val="lv-LV"/>
        </w:rPr>
      </w:pPr>
    </w:p>
    <w:tbl>
      <w:tblPr>
        <w:tblW w:w="4880" w:type="pct"/>
        <w:tblCellMar>
          <w:left w:w="0" w:type="dxa"/>
          <w:right w:w="0" w:type="dxa"/>
        </w:tblCellMar>
        <w:tblLook w:val="04A0" w:firstRow="1" w:lastRow="0" w:firstColumn="1" w:lastColumn="0" w:noHBand="0" w:noVBand="1"/>
      </w:tblPr>
      <w:tblGrid>
        <w:gridCol w:w="9135"/>
      </w:tblGrid>
      <w:tr w:rsidR="00BB6719" w:rsidRPr="00595B91" w14:paraId="2E7ABCC2" w14:textId="77777777" w:rsidTr="00BB6719">
        <w:tc>
          <w:tcPr>
            <w:tcW w:w="0" w:type="auto"/>
            <w:shd w:val="clear" w:color="auto" w:fill="auto"/>
            <w:hideMark/>
          </w:tcPr>
          <w:p w14:paraId="6142BFBD" w14:textId="084D3307" w:rsidR="00BB6719" w:rsidRPr="009B63D3" w:rsidRDefault="006F58B7" w:rsidP="00EA41E2">
            <w:pPr>
              <w:shd w:val="clear" w:color="auto" w:fill="D9D9D9" w:themeFill="background1" w:themeFillShade="D9"/>
              <w:spacing w:before="120" w:after="0" w:line="240" w:lineRule="auto"/>
              <w:jc w:val="both"/>
              <w:rPr>
                <w:rFonts w:ascii="inherit" w:eastAsia="Times New Roman" w:hAnsi="inherit" w:cs="Times New Roman"/>
                <w:sz w:val="24"/>
                <w:szCs w:val="24"/>
                <w:lang w:val="lv-LV"/>
              </w:rPr>
            </w:pPr>
            <w:r>
              <w:rPr>
                <w:rFonts w:ascii="inherit" w:eastAsia="Times New Roman" w:hAnsi="inherit" w:cs="Times New Roman"/>
                <w:sz w:val="24"/>
                <w:szCs w:val="24"/>
                <w:lang w:val="lv-LV"/>
              </w:rPr>
              <w:t>6.</w:t>
            </w:r>
            <w:r w:rsidR="00BB6719" w:rsidRPr="009B63D3">
              <w:rPr>
                <w:rFonts w:ascii="inherit" w:eastAsia="Times New Roman" w:hAnsi="inherit" w:cs="Times New Roman"/>
                <w:sz w:val="24"/>
                <w:szCs w:val="24"/>
                <w:lang w:val="lv-LV"/>
              </w:rPr>
              <w:t>Pasākums nodrošina ievērojamu uzlabojumu (krasas izmaiņas) salīdzinājumā ar esošajiem tīkliem vai tīkliem, kurus ticami plānots izvērst attiecīgajā laikposmā, saskaņā ar kartografēšanā un sabiedriskajā apspriešanā veikto identificēšanu atbilstoši 5. punktam. Kraso izmaiņu novērtēšanai ticami plānotos tīklus ņem vērā tikai tad, ja tie paši par sevi nodrošinātu līdzīgu sniegumu kā mērķapgabalos plānotais valsts finansētais tīkls attiecīgajā laikposmā. Krasas izmaiņas ir tad, ja subsidētā pasākuma rezultātā tiek veikti ievērojami jauni ieguldījumi platjoslas tīklā un subsidētais tīkls tirgū sniedz ievērojamas jaunas iespējas platjoslas sakaru pakalpojumu pieejamības, jaudas, ātruma un konkurences ziņā salīdzinājumā ar esošajiem vai attiecīgajā laikposmā ticami plānotajiem tīkliem. Pasākums vairāk nekā 70 % apmērā attiecas uz ieguldījumiem platjoslas infrastruktūrā. Jebkurā gadījumā pasākums, kas ir atbalsttiesīgs, kā noteikts 3. punktā, rada vismaz šādus uzlabojumus:</w:t>
            </w:r>
          </w:p>
          <w:p w14:paraId="3B4FCFF0" w14:textId="50C2478B" w:rsidR="00BB6719" w:rsidRPr="009B63D3" w:rsidRDefault="00BB6719" w:rsidP="00EA41E2">
            <w:pPr>
              <w:shd w:val="clear" w:color="auto" w:fill="D9D9D9" w:themeFill="background1" w:themeFillShade="D9"/>
              <w:spacing w:before="120" w:after="0" w:line="240" w:lineRule="auto"/>
              <w:jc w:val="both"/>
              <w:rPr>
                <w:rFonts w:ascii="inherit" w:eastAsia="Times New Roman" w:hAnsi="inherit" w:cs="Times New Roman"/>
                <w:sz w:val="24"/>
                <w:szCs w:val="24"/>
                <w:lang w:val="lv-LV"/>
              </w:rPr>
            </w:pPr>
            <w:r w:rsidRPr="009B63D3">
              <w:rPr>
                <w:rFonts w:ascii="inherit" w:eastAsia="Times New Roman" w:hAnsi="inherit" w:cs="Times New Roman"/>
                <w:sz w:val="24"/>
                <w:szCs w:val="24"/>
                <w:lang w:val="lv-LV"/>
              </w:rPr>
              <w:t>a) attiecībā uz pasākumiem saskaņā ar 3. punkta a) apakšpunktu valsts finansētais tīkls vismaz trīskāršo lejupielādes ātrumu salīdzinājumā ar esošajiem tīkliem (mērķātrums);</w:t>
            </w:r>
          </w:p>
          <w:p w14:paraId="7431F44E" w14:textId="77777777" w:rsidR="00BB6719" w:rsidRDefault="00BB6719" w:rsidP="00EA41E2">
            <w:pPr>
              <w:shd w:val="clear" w:color="auto" w:fill="D9D9D9" w:themeFill="background1" w:themeFillShade="D9"/>
              <w:spacing w:before="120" w:after="0" w:line="240" w:lineRule="auto"/>
              <w:jc w:val="both"/>
              <w:rPr>
                <w:rFonts w:ascii="inherit" w:eastAsia="Times New Roman" w:hAnsi="inherit" w:cs="Times New Roman"/>
                <w:sz w:val="24"/>
                <w:szCs w:val="24"/>
                <w:lang w:val="lv-LV"/>
              </w:rPr>
            </w:pPr>
            <w:r w:rsidRPr="009B63D3">
              <w:rPr>
                <w:rFonts w:ascii="inherit" w:eastAsia="Times New Roman" w:hAnsi="inherit" w:cs="Times New Roman"/>
                <w:sz w:val="24"/>
                <w:szCs w:val="24"/>
                <w:lang w:val="lv-LV"/>
              </w:rPr>
              <w:t>b) attiecībā uz pasākumiem saskaņā ar 3. punkta b) apakšpunktu valsts finansētais tīkls vismaz trīskāršo lejupielādes ātrumu salīdzinājumā ar esošajiem tīkliem un maksimumstundas apstākļos nodrošina vismaz 1 Gb/s lejupielādes ātrumu (mērķātrums).</w:t>
            </w:r>
          </w:p>
          <w:p w14:paraId="5EE0B923" w14:textId="2DA150FF" w:rsidR="00BB6719" w:rsidRPr="00595B91" w:rsidRDefault="00BB6719" w:rsidP="009B63D3">
            <w:pPr>
              <w:spacing w:before="120" w:after="0" w:line="240" w:lineRule="auto"/>
              <w:jc w:val="both"/>
              <w:rPr>
                <w:rFonts w:ascii="inherit" w:eastAsia="Times New Roman" w:hAnsi="inherit" w:cs="Times New Roman"/>
                <w:sz w:val="24"/>
                <w:szCs w:val="24"/>
                <w:lang w:val="lv-LV"/>
              </w:rPr>
            </w:pPr>
            <w:r w:rsidRPr="00595B91">
              <w:rPr>
                <w:rFonts w:ascii="inherit" w:eastAsia="Times New Roman" w:hAnsi="inherit" w:cs="Times New Roman"/>
                <w:sz w:val="24"/>
                <w:szCs w:val="24"/>
                <w:lang w:val="lv-LV"/>
              </w:rPr>
              <w:t xml:space="preserve">Atbilst </w:t>
            </w:r>
            <w:r w:rsidR="00EA41E2">
              <w:rPr>
                <w:rFonts w:ascii="inherit" w:eastAsia="Times New Roman" w:hAnsi="inherit" w:cs="Times New Roman"/>
                <w:sz w:val="24"/>
                <w:szCs w:val="24"/>
                <w:lang w:val="lv-LV"/>
              </w:rPr>
              <w:t xml:space="preserve"> </w:t>
            </w:r>
            <w:r w:rsidRPr="00595B91">
              <w:rPr>
                <w:rFonts w:ascii="inherit" w:eastAsia="Times New Roman" w:hAnsi="inherit" w:cs="Times New Roman"/>
                <w:sz w:val="24"/>
                <w:szCs w:val="24"/>
                <w:lang w:val="lv-LV"/>
              </w:rPr>
              <w:t xml:space="preserve">Laikā no 2020. gada 16. jūlija līdz 2020. gada 3. decembrim tika veikta detalizētās kartēšanas un pārklājuma analīze Satiksmes ministrijas pasūtītā pētījuma “Pētījums Eiropas Savienības fondu 2021.-2027. gada plānošanas perioda ieguldījumu priekšnosacījumu izpildei” (Pieejams šeit: </w:t>
            </w:r>
            <w:hyperlink r:id="rId15" w:history="1">
              <w:r w:rsidRPr="00595B91">
                <w:rPr>
                  <w:rStyle w:val="Hyperlink"/>
                  <w:rFonts w:ascii="inherit" w:eastAsia="Times New Roman" w:hAnsi="inherit" w:cs="Times New Roman"/>
                  <w:color w:val="000000" w:themeColor="text1"/>
                  <w:sz w:val="24"/>
                  <w:szCs w:val="24"/>
                  <w:lang w:val="lv-LV"/>
                </w:rPr>
                <w:t>https://www.sam.gov.lv/lv/petijumi</w:t>
              </w:r>
            </w:hyperlink>
            <w:r w:rsidRPr="00595B91">
              <w:rPr>
                <w:rFonts w:ascii="inherit" w:eastAsia="Times New Roman" w:hAnsi="inherit" w:cs="Times New Roman"/>
                <w:sz w:val="24"/>
                <w:szCs w:val="24"/>
                <w:lang w:val="lv-LV"/>
              </w:rPr>
              <w:t xml:space="preserve">) ietvaros (Pētījums). Lai gan kopumā sakaru nozares attīstības rādītāji ir vērtējami ļoti labi, tomēr, vērtējot reģionālajā dalījumā, teritorijās ārpus lielākajām pilsētām, ieskaitot tām pieguļošās teritorijās, trūkst “pēdējās jūdzes” infrastruktūras, kas spētu nodrošināt ES un </w:t>
            </w:r>
            <w:r w:rsidRPr="00595B91">
              <w:rPr>
                <w:rFonts w:ascii="inherit" w:eastAsia="Times New Roman" w:hAnsi="inherit" w:cs="Times New Roman"/>
                <w:sz w:val="24"/>
                <w:szCs w:val="24"/>
                <w:lang w:val="lv-LV"/>
              </w:rPr>
              <w:lastRenderedPageBreak/>
              <w:t>nacionālajiem stratēģiskajiem mērķiem atbilstošus interneta piekļuves pakalpojumus galalietotājiem. Tīklu izbūves dārdzības dēļ elektronisko sakaru komersantiem nav pietiekošas ekonomiskās iniciatīvas izvērst ļoti augstas veiktspējas (platjoslas) tīklu.</w:t>
            </w:r>
          </w:p>
          <w:p w14:paraId="15D6D454" w14:textId="5D8AFF76" w:rsidR="00BB6719" w:rsidRPr="00595B91" w:rsidRDefault="00BB6719" w:rsidP="00723857">
            <w:pPr>
              <w:spacing w:before="120" w:after="0" w:line="240" w:lineRule="auto"/>
              <w:jc w:val="both"/>
              <w:rPr>
                <w:rFonts w:ascii="inherit" w:eastAsia="Times New Roman" w:hAnsi="inherit" w:cs="Times New Roman"/>
                <w:sz w:val="24"/>
                <w:szCs w:val="24"/>
                <w:lang w:val="lv-LV"/>
              </w:rPr>
            </w:pPr>
            <w:r w:rsidRPr="00595B91">
              <w:rPr>
                <w:rFonts w:ascii="inherit" w:eastAsia="Times New Roman" w:hAnsi="inherit" w:cs="Times New Roman"/>
                <w:sz w:val="24"/>
                <w:szCs w:val="24"/>
                <w:lang w:val="lv-LV"/>
              </w:rPr>
              <w:t>Ieguldījumus plānots veikt ļoti augstas veiktspējas tīklu (VHCN) baltajās teritorijās</w:t>
            </w:r>
            <w:r>
              <w:rPr>
                <w:rFonts w:ascii="inherit" w:eastAsia="Times New Roman" w:hAnsi="inherit" w:cs="Times New Roman"/>
                <w:sz w:val="24"/>
                <w:szCs w:val="24"/>
                <w:lang w:val="lv-LV"/>
              </w:rPr>
              <w:t xml:space="preserve">, tas ir, </w:t>
            </w:r>
            <w:r w:rsidRPr="00595B91">
              <w:rPr>
                <w:rFonts w:ascii="inherit" w:eastAsia="Times New Roman" w:hAnsi="inherit" w:cs="Times New Roman"/>
                <w:sz w:val="24"/>
                <w:szCs w:val="24"/>
                <w:lang w:val="lv-LV"/>
              </w:rPr>
              <w:t>teritorijās</w:t>
            </w:r>
            <w:r>
              <w:rPr>
                <w:rFonts w:ascii="inherit" w:eastAsia="Times New Roman" w:hAnsi="inherit" w:cs="Times New Roman"/>
                <w:sz w:val="24"/>
                <w:szCs w:val="24"/>
                <w:lang w:val="lv-LV"/>
              </w:rPr>
              <w:t>, kur, ņ</w:t>
            </w:r>
            <w:r w:rsidRPr="00595B91">
              <w:rPr>
                <w:rFonts w:ascii="inherit" w:eastAsia="Times New Roman" w:hAnsi="inherit" w:cs="Times New Roman"/>
                <w:sz w:val="24"/>
                <w:szCs w:val="24"/>
                <w:lang w:val="lv-LV"/>
              </w:rPr>
              <w:t xml:space="preserve">emot vērā kartēšanas rezultātus un sabiedriskās apspriešanas rezultātus, šobrīd nav piekļuves VHCN, tas ir, internets vispār nav pieejams vai arī tas ir mazāks nekā 100 Mbit/s. </w:t>
            </w:r>
          </w:p>
          <w:p w14:paraId="1D53AA5A" w14:textId="395AFECE" w:rsidR="00BB6719" w:rsidRPr="00595B91" w:rsidRDefault="00BB6719" w:rsidP="00723857">
            <w:pPr>
              <w:spacing w:before="120" w:after="0" w:line="240" w:lineRule="auto"/>
              <w:jc w:val="both"/>
              <w:rPr>
                <w:rFonts w:ascii="inherit" w:eastAsia="Times New Roman" w:hAnsi="inherit" w:cs="Times New Roman"/>
                <w:sz w:val="24"/>
                <w:szCs w:val="24"/>
                <w:lang w:val="lv-LV"/>
              </w:rPr>
            </w:pPr>
            <w:r w:rsidRPr="00595B91">
              <w:rPr>
                <w:rFonts w:ascii="inherit" w:eastAsia="Times New Roman" w:hAnsi="inherit" w:cs="Times New Roman"/>
                <w:sz w:val="24"/>
                <w:szCs w:val="24"/>
                <w:lang w:val="lv-LV"/>
              </w:rPr>
              <w:t xml:space="preserve">MKN 13. </w:t>
            </w:r>
            <w:r>
              <w:rPr>
                <w:rFonts w:ascii="inherit" w:eastAsia="Times New Roman" w:hAnsi="inherit" w:cs="Times New Roman"/>
                <w:sz w:val="24"/>
                <w:szCs w:val="24"/>
                <w:lang w:val="lv-LV"/>
              </w:rPr>
              <w:t>p</w:t>
            </w:r>
            <w:r w:rsidRPr="00595B91">
              <w:rPr>
                <w:rFonts w:ascii="inherit" w:eastAsia="Times New Roman" w:hAnsi="inherit" w:cs="Times New Roman"/>
                <w:sz w:val="24"/>
                <w:szCs w:val="24"/>
                <w:lang w:val="lv-LV"/>
              </w:rPr>
              <w:t xml:space="preserve">ants nosaka: “2.4.1.2.i. investīcijas atbalstāmās darbības ir </w:t>
            </w:r>
            <w:r w:rsidRPr="00595B91">
              <w:rPr>
                <w:rFonts w:ascii="inherit" w:eastAsia="Times New Roman" w:hAnsi="inherit" w:cs="Times New Roman"/>
                <w:sz w:val="24"/>
                <w:szCs w:val="24"/>
                <w:u w:val="single"/>
                <w:lang w:val="lv-LV"/>
              </w:rPr>
              <w:t>tehnoloģiski neitrālu</w:t>
            </w:r>
            <w:r w:rsidRPr="00595B91">
              <w:rPr>
                <w:rFonts w:ascii="inherit" w:eastAsia="Times New Roman" w:hAnsi="inherit" w:cs="Times New Roman"/>
                <w:sz w:val="24"/>
                <w:szCs w:val="24"/>
                <w:lang w:val="lv-LV"/>
              </w:rPr>
              <w:t xml:space="preserve"> pieslēgumu, kas atbalsta ilgtspējīgu nākamās paaudzes fiksēto, bezvadu vai pavadoņu sakaru savienojamību, ierīkošana elektronisko sakaru pakalpojumu pieejamības nodrošināšanai mājsaimniecībām, uzņēmumiem, izglītības iestādēm, ārstniecības iestādēm un citām sabiedriskām ēkām ar lejupielādes ātrumu vismaz 300 Mbit/s un augšupielādes ātrumu vismaz 100 Mbit/s maksimumstundas apstākļos, ko var uzlabot līdz 1 Gbit/s ātrumam pēc pieprasījuma.” </w:t>
            </w:r>
          </w:p>
          <w:tbl>
            <w:tblPr>
              <w:tblW w:w="5000" w:type="pct"/>
              <w:tblCellMar>
                <w:left w:w="0" w:type="dxa"/>
                <w:right w:w="0" w:type="dxa"/>
              </w:tblCellMar>
              <w:tblLook w:val="04A0" w:firstRow="1" w:lastRow="0" w:firstColumn="1" w:lastColumn="0" w:noHBand="0" w:noVBand="1"/>
            </w:tblPr>
            <w:tblGrid>
              <w:gridCol w:w="6"/>
              <w:gridCol w:w="9129"/>
            </w:tblGrid>
            <w:tr w:rsidR="00BB6719" w:rsidRPr="00595B91" w14:paraId="0510D9A0" w14:textId="77777777" w:rsidTr="008E340E">
              <w:tc>
                <w:tcPr>
                  <w:tcW w:w="0" w:type="auto"/>
                  <w:shd w:val="clear" w:color="auto" w:fill="auto"/>
                  <w:hideMark/>
                </w:tcPr>
                <w:p w14:paraId="7D76C9B2" w14:textId="41A142E7" w:rsidR="00BB6719" w:rsidRPr="00595B91" w:rsidRDefault="00BB6719" w:rsidP="00C16BBE">
                  <w:pPr>
                    <w:spacing w:before="120" w:after="0" w:line="240" w:lineRule="auto"/>
                    <w:jc w:val="both"/>
                    <w:rPr>
                      <w:rFonts w:ascii="inherit" w:eastAsia="Times New Roman" w:hAnsi="inherit" w:cs="Times New Roman"/>
                      <w:sz w:val="24"/>
                      <w:szCs w:val="24"/>
                      <w:lang w:val="lv-LV"/>
                    </w:rPr>
                  </w:pPr>
                </w:p>
              </w:tc>
              <w:tc>
                <w:tcPr>
                  <w:tcW w:w="0" w:type="auto"/>
                  <w:shd w:val="clear" w:color="auto" w:fill="auto"/>
                  <w:hideMark/>
                </w:tcPr>
                <w:p w14:paraId="729DD2F9" w14:textId="59521DB1" w:rsidR="00BB6719" w:rsidRPr="00595B91" w:rsidRDefault="00BB6719" w:rsidP="00F747CB">
                  <w:pPr>
                    <w:shd w:val="clear" w:color="auto" w:fill="D9D9D9" w:themeFill="background1" w:themeFillShade="D9"/>
                    <w:spacing w:before="120" w:after="0" w:line="240" w:lineRule="auto"/>
                    <w:jc w:val="both"/>
                    <w:rPr>
                      <w:rFonts w:ascii="inherit" w:eastAsia="Times New Roman" w:hAnsi="inherit" w:cs="Times New Roman"/>
                      <w:color w:val="000000"/>
                      <w:sz w:val="24"/>
                      <w:szCs w:val="24"/>
                      <w:lang w:val="lv-LV"/>
                    </w:rPr>
                  </w:pPr>
                  <w:r w:rsidRPr="00595B91">
                    <w:rPr>
                      <w:rFonts w:ascii="inherit" w:eastAsia="Times New Roman" w:hAnsi="inherit" w:cs="Times New Roman"/>
                      <w:color w:val="000000"/>
                      <w:sz w:val="24"/>
                      <w:szCs w:val="24"/>
                      <w:lang w:val="lv-LV"/>
                    </w:rPr>
                    <w:t>7.Atbalstu piešķir šādi:</w:t>
                  </w:r>
                </w:p>
                <w:p w14:paraId="208DC7B8" w14:textId="1FD48A19" w:rsidR="00BB6719" w:rsidRPr="00595B91" w:rsidRDefault="00BB6719" w:rsidP="00F747CB">
                  <w:pPr>
                    <w:shd w:val="clear" w:color="auto" w:fill="D9D9D9" w:themeFill="background1" w:themeFillShade="D9"/>
                    <w:spacing w:before="120" w:after="0" w:line="240" w:lineRule="auto"/>
                    <w:jc w:val="both"/>
                    <w:rPr>
                      <w:rFonts w:ascii="inherit" w:eastAsia="Times New Roman" w:hAnsi="inherit" w:cs="Times New Roman"/>
                      <w:sz w:val="24"/>
                      <w:szCs w:val="24"/>
                      <w:lang w:val="lv-LV"/>
                    </w:rPr>
                  </w:pPr>
                  <w:r w:rsidRPr="00595B91">
                    <w:rPr>
                      <w:rFonts w:ascii="inherit" w:eastAsia="Times New Roman" w:hAnsi="inherit" w:cs="Times New Roman"/>
                      <w:sz w:val="24"/>
                      <w:szCs w:val="24"/>
                      <w:lang w:val="lv-LV"/>
                    </w:rPr>
                    <w:t>a)atbalstu piešķir atklātā, pārredzamā un nediskriminējošā konkurenci veicinošā atlases procedūrā saskaņā ar publiskā iepirkuma noteikumu principiem un tehnoloģiju neitralitātes principu saimnieciski visizdevīgākajam piedāvājumam;</w:t>
                  </w:r>
                </w:p>
                <w:p w14:paraId="3B160C25" w14:textId="77777777" w:rsidR="00BB6719" w:rsidRPr="00595B91" w:rsidRDefault="00BB6719" w:rsidP="00F747CB">
                  <w:pPr>
                    <w:shd w:val="clear" w:color="auto" w:fill="D9D9D9" w:themeFill="background1" w:themeFillShade="D9"/>
                    <w:spacing w:before="120" w:after="0" w:line="240" w:lineRule="auto"/>
                    <w:jc w:val="both"/>
                    <w:rPr>
                      <w:rFonts w:ascii="inherit" w:eastAsia="Times New Roman" w:hAnsi="inherit" w:cs="Times New Roman"/>
                      <w:sz w:val="24"/>
                      <w:szCs w:val="24"/>
                      <w:lang w:val="lv-LV"/>
                    </w:rPr>
                  </w:pPr>
                  <w:r w:rsidRPr="00595B91">
                    <w:rPr>
                      <w:rFonts w:ascii="inherit" w:eastAsia="Times New Roman" w:hAnsi="inherit" w:cs="Times New Roman"/>
                      <w:sz w:val="24"/>
                      <w:szCs w:val="24"/>
                      <w:lang w:val="lv-LV"/>
                    </w:rPr>
                    <w:t>b)ja atbalstu bez konkurenci veicinošas atlases procedūras piešķir publiskai iestādei, lai tieši vai ar iekšēja subjekta starpniecību izvērstu un pārvaldītu fiksētu platjoslas tīklu, publiskā iestāde vai attiecīgā gadījumā iekšējais subjekts, izmantojot subsidēto tīklu, sniedz tikai vairumtirdzniecības pakalpojumus. Koncesijas vai cita veida pilnvarojumus trešām personām attiecībā uz tīkla izbūvi vai ekspluatāciju piešķir atklātā, pārredzamā un nediskriminējošā konkurenci veicinošā atlases procedūrā saskaņā ar publiskā iepirkuma noteikumu principiem un tehnoloģiju neitralitātes principu saimnieciski visizdevīgākajam piedāvājumam.</w:t>
                  </w:r>
                </w:p>
                <w:p w14:paraId="4EA27EAC" w14:textId="4DCE31A5" w:rsidR="00BB6719" w:rsidRDefault="00BB6719" w:rsidP="00AA44C5">
                  <w:pPr>
                    <w:spacing w:before="120" w:after="0" w:line="240" w:lineRule="auto"/>
                    <w:jc w:val="both"/>
                    <w:rPr>
                      <w:rFonts w:ascii="inherit" w:eastAsia="Times New Roman" w:hAnsi="inherit" w:cs="Times New Roman"/>
                      <w:iCs/>
                      <w:sz w:val="24"/>
                      <w:szCs w:val="24"/>
                      <w:lang w:val="lv-LV"/>
                    </w:rPr>
                  </w:pPr>
                  <w:r w:rsidRPr="00595B91">
                    <w:rPr>
                      <w:rFonts w:ascii="inherit" w:eastAsia="Times New Roman" w:hAnsi="inherit" w:cs="Times New Roman"/>
                      <w:iCs/>
                      <w:sz w:val="24"/>
                      <w:szCs w:val="24"/>
                      <w:lang w:val="lv-LV"/>
                    </w:rPr>
                    <w:t xml:space="preserve">MKN </w:t>
                  </w:r>
                  <w:r>
                    <w:rPr>
                      <w:rFonts w:ascii="inherit" w:eastAsia="Times New Roman" w:hAnsi="inherit" w:cs="Times New Roman"/>
                      <w:iCs/>
                      <w:sz w:val="24"/>
                      <w:szCs w:val="24"/>
                      <w:lang w:val="lv-LV"/>
                    </w:rPr>
                    <w:t>VII. sadaļā noteikti p</w:t>
                  </w:r>
                  <w:r w:rsidRPr="00E74048">
                    <w:rPr>
                      <w:rFonts w:ascii="inherit" w:eastAsia="Times New Roman" w:hAnsi="inherit" w:cs="Times New Roman"/>
                      <w:iCs/>
                      <w:sz w:val="24"/>
                      <w:szCs w:val="24"/>
                      <w:lang w:val="lv-LV"/>
                    </w:rPr>
                    <w:t>rojektu iesniegumu vērtēšanas kritēriji un projektu iesniegumu atlases kārtība</w:t>
                  </w:r>
                  <w:r>
                    <w:rPr>
                      <w:rFonts w:ascii="inherit" w:eastAsia="Times New Roman" w:hAnsi="inherit" w:cs="Times New Roman"/>
                      <w:iCs/>
                      <w:sz w:val="24"/>
                      <w:szCs w:val="24"/>
                      <w:lang w:val="lv-LV"/>
                    </w:rPr>
                    <w:t>, tostarp, MKN</w:t>
                  </w:r>
                  <w:r w:rsidRPr="00E74048">
                    <w:rPr>
                      <w:rFonts w:ascii="inherit" w:eastAsia="Times New Roman" w:hAnsi="inherit" w:cs="Times New Roman"/>
                      <w:iCs/>
                      <w:sz w:val="24"/>
                      <w:szCs w:val="24"/>
                      <w:lang w:val="lv-LV"/>
                    </w:rPr>
                    <w:t xml:space="preserve"> </w:t>
                  </w:r>
                  <w:r w:rsidRPr="00595B91">
                    <w:rPr>
                      <w:rFonts w:ascii="inherit" w:eastAsia="Times New Roman" w:hAnsi="inherit" w:cs="Times New Roman"/>
                      <w:iCs/>
                      <w:sz w:val="24"/>
                      <w:szCs w:val="24"/>
                      <w:lang w:val="lv-LV"/>
                    </w:rPr>
                    <w:t xml:space="preserve">24. pantā noteikts: “Projektu iesniegumus atlasa atklātā projektu iesniegumu atlasē.” </w:t>
                  </w:r>
                  <w:r>
                    <w:rPr>
                      <w:rFonts w:ascii="inherit" w:eastAsia="Times New Roman" w:hAnsi="inherit" w:cs="Times New Roman"/>
                      <w:iCs/>
                      <w:sz w:val="24"/>
                      <w:szCs w:val="24"/>
                      <w:lang w:val="lv-LV"/>
                    </w:rPr>
                    <w:t>Proti, a</w:t>
                  </w:r>
                  <w:r w:rsidRPr="0080345A">
                    <w:rPr>
                      <w:rFonts w:ascii="inherit" w:eastAsia="Times New Roman" w:hAnsi="inherit" w:cs="Times New Roman"/>
                      <w:iCs/>
                      <w:sz w:val="24"/>
                      <w:szCs w:val="24"/>
                      <w:lang w:val="lv-LV"/>
                    </w:rPr>
                    <w:t>tbalstu piešķir</w:t>
                  </w:r>
                  <w:r>
                    <w:rPr>
                      <w:rFonts w:ascii="inherit" w:eastAsia="Times New Roman" w:hAnsi="inherit" w:cs="Times New Roman"/>
                      <w:iCs/>
                      <w:sz w:val="24"/>
                      <w:szCs w:val="24"/>
                      <w:lang w:val="lv-LV"/>
                    </w:rPr>
                    <w:t>s</w:t>
                  </w:r>
                  <w:r w:rsidRPr="0080345A">
                    <w:rPr>
                      <w:rFonts w:ascii="inherit" w:eastAsia="Times New Roman" w:hAnsi="inherit" w:cs="Times New Roman"/>
                      <w:iCs/>
                      <w:sz w:val="24"/>
                      <w:szCs w:val="24"/>
                      <w:lang w:val="lv-LV"/>
                    </w:rPr>
                    <w:t xml:space="preserve"> atklātā, pārredzamā un nediskriminējošā konkurenci veicinošā atlases procedūrā</w:t>
                  </w:r>
                  <w:r>
                    <w:rPr>
                      <w:rFonts w:ascii="inherit" w:eastAsia="Times New Roman" w:hAnsi="inherit" w:cs="Times New Roman"/>
                      <w:iCs/>
                      <w:sz w:val="24"/>
                      <w:szCs w:val="24"/>
                      <w:lang w:val="lv-LV"/>
                    </w:rPr>
                    <w:t xml:space="preserve">, ko rīkos Centrālā finanšu un līgumu aģentūra, un kur iespējams pieteikties jebkuram elektronisko sakaru operatoram, kuram ir tiesības sniegt attiecīgus pakalpojumus. Atklāta konkursa piedāvājumi tiks izvērtēti pēc saimnieciski visizdevīgākā piedāvājuma kritērijiem, kas ir noteikti MKN pielikumā. </w:t>
                  </w:r>
                </w:p>
                <w:p w14:paraId="4CD773DA" w14:textId="1858B31D" w:rsidR="00BB6719" w:rsidRDefault="00BB6719" w:rsidP="00C16BBE">
                  <w:pPr>
                    <w:spacing w:before="120" w:after="0" w:line="240" w:lineRule="auto"/>
                    <w:jc w:val="both"/>
                    <w:rPr>
                      <w:rFonts w:ascii="inherit" w:eastAsia="Times New Roman" w:hAnsi="inherit" w:cs="Times New Roman"/>
                      <w:iCs/>
                      <w:sz w:val="24"/>
                      <w:szCs w:val="24"/>
                      <w:lang w:val="lv-LV"/>
                    </w:rPr>
                  </w:pPr>
                  <w:r w:rsidRPr="00595B91">
                    <w:rPr>
                      <w:rFonts w:ascii="inherit" w:eastAsia="Times New Roman" w:hAnsi="inherit" w:cs="Times New Roman"/>
                      <w:iCs/>
                      <w:sz w:val="24"/>
                      <w:szCs w:val="24"/>
                      <w:lang w:val="lv-LV"/>
                    </w:rPr>
                    <w:t xml:space="preserve"> Atbalsta pasākums iecerēts kā tehnoloģiski neitrāls</w:t>
                  </w:r>
                  <w:r>
                    <w:rPr>
                      <w:rFonts w:ascii="inherit" w:eastAsia="Times New Roman" w:hAnsi="inherit" w:cs="Times New Roman"/>
                      <w:iCs/>
                      <w:sz w:val="24"/>
                      <w:szCs w:val="24"/>
                      <w:lang w:val="lv-LV"/>
                    </w:rPr>
                    <w:t xml:space="preserve">, tas ir, </w:t>
                  </w:r>
                  <w:r w:rsidRPr="00595B91">
                    <w:rPr>
                      <w:rFonts w:ascii="inherit" w:eastAsia="Times New Roman" w:hAnsi="inherit" w:cs="Times New Roman"/>
                      <w:iCs/>
                      <w:sz w:val="24"/>
                      <w:szCs w:val="24"/>
                      <w:lang w:val="lv-LV"/>
                    </w:rPr>
                    <w:t xml:space="preserve">MKN 13. </w:t>
                  </w:r>
                  <w:r>
                    <w:rPr>
                      <w:rFonts w:ascii="inherit" w:eastAsia="Times New Roman" w:hAnsi="inherit" w:cs="Times New Roman"/>
                      <w:iCs/>
                      <w:sz w:val="24"/>
                      <w:szCs w:val="24"/>
                      <w:lang w:val="lv-LV"/>
                    </w:rPr>
                    <w:t>p</w:t>
                  </w:r>
                  <w:r w:rsidRPr="00595B91">
                    <w:rPr>
                      <w:rFonts w:ascii="inherit" w:eastAsia="Times New Roman" w:hAnsi="inherit" w:cs="Times New Roman"/>
                      <w:iCs/>
                      <w:sz w:val="24"/>
                      <w:szCs w:val="24"/>
                      <w:lang w:val="lv-LV"/>
                    </w:rPr>
                    <w:t xml:space="preserve">ants nosaka: “2.4.1.2.i. investīcijas atbalstāmās darbības ir </w:t>
                  </w:r>
                  <w:r w:rsidRPr="00595B91">
                    <w:rPr>
                      <w:rFonts w:ascii="inherit" w:eastAsia="Times New Roman" w:hAnsi="inherit" w:cs="Times New Roman"/>
                      <w:iCs/>
                      <w:sz w:val="24"/>
                      <w:szCs w:val="24"/>
                      <w:u w:val="single"/>
                      <w:lang w:val="lv-LV"/>
                    </w:rPr>
                    <w:t>tehnoloģiski neitrālu</w:t>
                  </w:r>
                  <w:r w:rsidRPr="00595B91">
                    <w:rPr>
                      <w:rFonts w:ascii="inherit" w:eastAsia="Times New Roman" w:hAnsi="inherit" w:cs="Times New Roman"/>
                      <w:iCs/>
                      <w:sz w:val="24"/>
                      <w:szCs w:val="24"/>
                      <w:lang w:val="lv-LV"/>
                    </w:rPr>
                    <w:t xml:space="preserve"> pieslēgumu, kas atbalsta ilgtspējīgu nākamās paaudzes fiksēto, bezvadu vai pavadoņu sakaru savienojamību, ierīkošana elektronisko sakaru pakalpojumu pieejamības nodrošināšanai mājsaimniecībām, uzņēmumiem, izglītības iestādēm, ārstniecības iestādēm un citām sabiedriskām ēkām ar lejupielādes ātrumu vismaz 300 Mbit/s un augšupielādes ātrumu vismaz 100 Mbit/s maksimumstundas apstākļos, ko var uzlabot līdz 1 Gbit/s ātrumam pēc pieprasījuma.” </w:t>
                  </w:r>
                </w:p>
                <w:p w14:paraId="4A7E7971" w14:textId="46ECA504" w:rsidR="00BB6719" w:rsidRPr="00595B91" w:rsidRDefault="00BB6719" w:rsidP="00C16BBE">
                  <w:pPr>
                    <w:spacing w:before="120" w:after="0" w:line="240" w:lineRule="auto"/>
                    <w:jc w:val="both"/>
                    <w:rPr>
                      <w:rFonts w:ascii="inherit" w:eastAsia="Times New Roman" w:hAnsi="inherit" w:cs="Times New Roman"/>
                      <w:sz w:val="24"/>
                      <w:szCs w:val="24"/>
                      <w:lang w:val="lv-LV"/>
                    </w:rPr>
                  </w:pPr>
                  <w:r>
                    <w:rPr>
                      <w:rFonts w:ascii="inherit" w:eastAsia="Times New Roman" w:hAnsi="inherit" w:cs="Times New Roman"/>
                      <w:iCs/>
                      <w:sz w:val="24"/>
                      <w:szCs w:val="24"/>
                      <w:lang w:val="lv-LV"/>
                    </w:rPr>
                    <w:lastRenderedPageBreak/>
                    <w:t>Papildus f</w:t>
                  </w:r>
                  <w:r w:rsidRPr="00595B91">
                    <w:rPr>
                      <w:rFonts w:ascii="inherit" w:eastAsia="Times New Roman" w:hAnsi="inherit" w:cs="Times New Roman"/>
                      <w:iCs/>
                      <w:sz w:val="24"/>
                      <w:szCs w:val="24"/>
                      <w:lang w:val="lv-LV"/>
                    </w:rPr>
                    <w:t>inansējuma saņēmēj</w:t>
                  </w:r>
                  <w:r>
                    <w:rPr>
                      <w:rFonts w:ascii="inherit" w:eastAsia="Times New Roman" w:hAnsi="inherit" w:cs="Times New Roman"/>
                      <w:iCs/>
                      <w:sz w:val="24"/>
                      <w:szCs w:val="24"/>
                      <w:lang w:val="lv-LV"/>
                    </w:rPr>
                    <w:t>am</w:t>
                  </w:r>
                  <w:r w:rsidRPr="00595B91">
                    <w:rPr>
                      <w:rFonts w:ascii="inherit" w:eastAsia="Times New Roman" w:hAnsi="inherit" w:cs="Times New Roman"/>
                      <w:iCs/>
                      <w:sz w:val="24"/>
                      <w:szCs w:val="24"/>
                      <w:lang w:val="lv-LV"/>
                    </w:rPr>
                    <w:t xml:space="preserve"> MKN 22.</w:t>
                  </w:r>
                  <w:r>
                    <w:rPr>
                      <w:rFonts w:ascii="inherit" w:eastAsia="Times New Roman" w:hAnsi="inherit" w:cs="Times New Roman"/>
                      <w:iCs/>
                      <w:sz w:val="24"/>
                      <w:szCs w:val="24"/>
                      <w:lang w:val="lv-LV"/>
                    </w:rPr>
                    <w:t>5</w:t>
                  </w:r>
                  <w:r w:rsidRPr="00595B91">
                    <w:rPr>
                      <w:rFonts w:ascii="inherit" w:eastAsia="Times New Roman" w:hAnsi="inherit" w:cs="Times New Roman"/>
                      <w:iCs/>
                      <w:sz w:val="24"/>
                      <w:szCs w:val="24"/>
                      <w:lang w:val="lv-LV"/>
                    </w:rPr>
                    <w:t>. apakšpunktā noteikts</w:t>
                  </w:r>
                  <w:r>
                    <w:rPr>
                      <w:rFonts w:ascii="inherit" w:eastAsia="Times New Roman" w:hAnsi="inherit" w:cs="Times New Roman"/>
                      <w:iCs/>
                      <w:sz w:val="24"/>
                      <w:szCs w:val="24"/>
                      <w:lang w:val="lv-LV"/>
                    </w:rPr>
                    <w:t xml:space="preserve"> pienākums </w:t>
                  </w:r>
                  <w:r w:rsidRPr="00595B91">
                    <w:rPr>
                      <w:rFonts w:ascii="inherit" w:eastAsia="Times New Roman" w:hAnsi="inherit" w:cs="Times New Roman"/>
                      <w:iCs/>
                      <w:sz w:val="24"/>
                      <w:szCs w:val="24"/>
                      <w:lang w:val="lv-LV"/>
                    </w:rPr>
                    <w:t>nodrošin</w:t>
                  </w:r>
                  <w:r>
                    <w:rPr>
                      <w:rFonts w:ascii="inherit" w:eastAsia="Times New Roman" w:hAnsi="inherit" w:cs="Times New Roman"/>
                      <w:iCs/>
                      <w:sz w:val="24"/>
                      <w:szCs w:val="24"/>
                      <w:lang w:val="lv-LV"/>
                    </w:rPr>
                    <w:t>āt</w:t>
                  </w:r>
                  <w:r w:rsidRPr="00595B91">
                    <w:rPr>
                      <w:rFonts w:ascii="inherit" w:eastAsia="Times New Roman" w:hAnsi="inherit" w:cs="Times New Roman"/>
                      <w:iCs/>
                      <w:sz w:val="24"/>
                      <w:szCs w:val="24"/>
                      <w:lang w:val="lv-LV"/>
                    </w:rPr>
                    <w:t xml:space="preserve">: </w:t>
                  </w:r>
                  <w:r>
                    <w:rPr>
                      <w:rFonts w:ascii="inherit" w:eastAsia="Times New Roman" w:hAnsi="inherit" w:cs="Times New Roman"/>
                      <w:iCs/>
                      <w:sz w:val="24"/>
                      <w:szCs w:val="24"/>
                      <w:lang w:val="lv-LV"/>
                    </w:rPr>
                    <w:t>“</w:t>
                  </w:r>
                  <w:r w:rsidRPr="00C34F8A">
                    <w:rPr>
                      <w:rFonts w:ascii="inherit" w:eastAsia="Times New Roman" w:hAnsi="inherit" w:cs="Times New Roman"/>
                      <w:iCs/>
                      <w:sz w:val="24"/>
                      <w:szCs w:val="24"/>
                      <w:lang w:val="lv-LV"/>
                    </w:rPr>
                    <w:t>preču piegādātāju un pakalpojumu sniedzēju piesaisti atbilstoši normatīvajiem aktiem iepirkumu jomā, ievērojot atklātu, caurspīdīgu un vienlīdzīgu konkurenci nodrošinošu procedūru;</w:t>
                  </w:r>
                  <w:r>
                    <w:rPr>
                      <w:rFonts w:ascii="inherit" w:eastAsia="Times New Roman" w:hAnsi="inherit" w:cs="Times New Roman"/>
                      <w:iCs/>
                      <w:sz w:val="24"/>
                      <w:szCs w:val="24"/>
                      <w:lang w:val="lv-LV"/>
                    </w:rPr>
                    <w:t xml:space="preserve">” </w:t>
                  </w:r>
                </w:p>
                <w:p w14:paraId="51249FBC" w14:textId="04201B3B" w:rsidR="00BB6719" w:rsidRPr="00595B91" w:rsidRDefault="00BB6719" w:rsidP="00C16BBE">
                  <w:pPr>
                    <w:spacing w:before="120" w:after="0" w:line="240" w:lineRule="auto"/>
                    <w:ind w:left="-151"/>
                    <w:jc w:val="both"/>
                    <w:rPr>
                      <w:rFonts w:ascii="inherit" w:eastAsia="Times New Roman" w:hAnsi="inherit" w:cs="Times New Roman"/>
                      <w:sz w:val="24"/>
                      <w:szCs w:val="24"/>
                      <w:lang w:val="lv-LV"/>
                    </w:rPr>
                  </w:pPr>
                </w:p>
              </w:tc>
            </w:tr>
          </w:tbl>
          <w:p w14:paraId="6B080A29" w14:textId="77777777" w:rsidR="00BB6719" w:rsidRPr="00595B91" w:rsidRDefault="00BB6719" w:rsidP="00C16BBE">
            <w:pPr>
              <w:spacing w:before="120" w:after="0" w:line="240" w:lineRule="auto"/>
              <w:jc w:val="both"/>
              <w:rPr>
                <w:rFonts w:ascii="inherit" w:eastAsia="Times New Roman" w:hAnsi="inherit" w:cs="Times New Roman"/>
                <w:sz w:val="24"/>
                <w:szCs w:val="24"/>
                <w:lang w:val="lv-LV"/>
              </w:rPr>
            </w:pPr>
          </w:p>
        </w:tc>
      </w:tr>
    </w:tbl>
    <w:p w14:paraId="7BFC1012" w14:textId="2154E13A" w:rsidR="00723857" w:rsidRPr="00595B91" w:rsidRDefault="00723857" w:rsidP="000D0ACA">
      <w:pPr>
        <w:shd w:val="clear" w:color="auto" w:fill="D9D9D9" w:themeFill="background1" w:themeFillShade="D9"/>
        <w:spacing w:before="120" w:after="0" w:line="240" w:lineRule="auto"/>
        <w:jc w:val="both"/>
        <w:rPr>
          <w:rFonts w:ascii="inherit" w:eastAsia="Times New Roman" w:hAnsi="inherit" w:cs="Times New Roman"/>
          <w:color w:val="000000"/>
          <w:sz w:val="24"/>
          <w:szCs w:val="24"/>
          <w:lang w:val="lv-LV"/>
        </w:rPr>
      </w:pPr>
      <w:r w:rsidRPr="000D0ACA">
        <w:rPr>
          <w:rFonts w:ascii="inherit" w:eastAsia="Times New Roman" w:hAnsi="inherit" w:cs="Times New Roman"/>
          <w:color w:val="000000"/>
          <w:sz w:val="24"/>
          <w:szCs w:val="24"/>
          <w:lang w:val="lv-LV"/>
        </w:rPr>
        <w:lastRenderedPageBreak/>
        <w:t>8.   </w:t>
      </w:r>
      <w:r w:rsidRPr="000D0ACA">
        <w:rPr>
          <w:rFonts w:ascii="inherit" w:eastAsia="Times New Roman" w:hAnsi="inherit" w:cs="Times New Roman"/>
          <w:color w:val="000000"/>
          <w:sz w:val="24"/>
          <w:szCs w:val="24"/>
          <w:shd w:val="clear" w:color="auto" w:fill="D9D9D9" w:themeFill="background1" w:themeFillShade="D9"/>
          <w:lang w:val="lv-LV"/>
        </w:rPr>
        <w:t>Subsidētais tīkls piedāvā vairumtirdzniecības līmeņa piekļuvi, kā definēts 2. panta 139) punktā, saskaņā ar taisnīgiem un nediskriminējošiem nosacījumiem. Atkāpjoties no minētā, pasākumi, kas ir atbalsttiesīgi saskaņā ar 3. punkta a) apakšpunktu, var piedāvāt virtuālo atsaisti fiziskās atsaistes vietā, ja virtuālās atsaistes piekļuves produktu ir iepriekš apstiprinājusi valsts regulatīvā iestāde vai cita kompetentā iestāde. Aktīvo vairumtirdzniecības līmeņa piekļuvi piešķir vismaz uz 10 gadiem no tīkla darbības sākuma, un vairumtirdzniecības līmeņa piekļuvi platjoslas infrastruktūrai piešķir uz attiecīgo elementu kalpošanas laiku. Piekļuvi, kuras pamatā ir virtuālā atsaiste, piešķir uz laiku, kas atbilst tās infrastruktūras darbmūžam, kuru aizstāj virtuālā atsaiste. Visam tīklam, tostarp tādām tīkla daļām, kurās ir izmantota esošā infrastruktūra, piemēro vienādus piekļuves nosacījumus. Piekļuves nodrošināšanas pienākumi paliek spēkā neatkarīgi no izmaiņām tīkla īpašumtiesībās, pārvaldībā vai ekspluatācijā. Tīkls nodrošina piekļuvi vismaz trim piekļuves prasītājiem un dara pieejamus piekļuves prasītājiem vismaz 50 % no jaudas. Lai vairumtirdzniecības līmeņa piekļuve būtu efektīva un lai piekļuves prasītāji varētu sniegt pakalpojumus, vairumtirdzniecības līmeņa piekļuvi piešķir arī tām tīkla daļām, kurām nav piešķirts valsts finansējums vai kuras var nebūt izvērsis atbalsta saņēmējs, piemēram, piešķirot piekļuvi aktīvam aprīkojumam pat tad, ja ir finansēta tikai platjoslas infrastruktūra.</w:t>
      </w:r>
    </w:p>
    <w:p w14:paraId="04D0E567" w14:textId="745D41A3" w:rsidR="0051403E" w:rsidRPr="00595B91" w:rsidRDefault="0083058F" w:rsidP="0051403E">
      <w:pPr>
        <w:shd w:val="clear" w:color="auto" w:fill="FFFFFF"/>
        <w:spacing w:before="120" w:after="0" w:line="240" w:lineRule="auto"/>
        <w:jc w:val="both"/>
        <w:rPr>
          <w:rFonts w:ascii="inherit" w:eastAsia="Times New Roman" w:hAnsi="inherit" w:cs="Times New Roman"/>
          <w:color w:val="000000"/>
          <w:sz w:val="24"/>
          <w:szCs w:val="24"/>
          <w:lang w:val="lv-LV"/>
        </w:rPr>
      </w:pPr>
      <w:r w:rsidRPr="00595B91">
        <w:rPr>
          <w:rFonts w:ascii="inherit" w:eastAsia="Times New Roman" w:hAnsi="inherit" w:cs="Times New Roman"/>
          <w:color w:val="000000"/>
          <w:sz w:val="24"/>
          <w:szCs w:val="24"/>
          <w:lang w:val="lv-LV"/>
        </w:rPr>
        <w:t xml:space="preserve">Atbilst: </w:t>
      </w:r>
      <w:r w:rsidR="0051403E" w:rsidRPr="00595B91">
        <w:rPr>
          <w:rFonts w:ascii="inherit" w:eastAsia="Times New Roman" w:hAnsi="inherit" w:cs="Times New Roman"/>
          <w:color w:val="000000"/>
          <w:sz w:val="24"/>
          <w:szCs w:val="24"/>
          <w:lang w:val="lv-LV"/>
        </w:rPr>
        <w:t xml:space="preserve">Galvenie pakalpojumi, ko nodrošinās subsidētais tīkls, būs piekļuve pasīvajai un aktīvajai infrastruktūrai ar vienādiem nosacījumiem visiem operatoriem. Tas nodrošinās klienta tiesības izvēlēties pakalpojuma sniedzēju un nodrošinās konkurenci starp elektronisko sakaru komersantiem ar cenu un pakalpojuma kvalitāti. Subsidētā tīklā ir vismaz jānodrošina vairumtirdzniecība </w:t>
      </w:r>
      <w:r w:rsidR="005C3311">
        <w:rPr>
          <w:rFonts w:ascii="inherit" w:eastAsia="Times New Roman" w:hAnsi="inherit" w:cs="Times New Roman"/>
          <w:color w:val="000000"/>
          <w:sz w:val="24"/>
          <w:szCs w:val="24"/>
          <w:lang w:val="lv-LV"/>
        </w:rPr>
        <w:t xml:space="preserve">saskaņā ar regulas Nr.651/2014 2.panta 139. punktu un </w:t>
      </w:r>
      <w:r w:rsidR="0051403E" w:rsidRPr="00595B91">
        <w:rPr>
          <w:rFonts w:ascii="inherit" w:eastAsia="Times New Roman" w:hAnsi="inherit" w:cs="Times New Roman"/>
          <w:color w:val="000000"/>
          <w:sz w:val="24"/>
          <w:szCs w:val="24"/>
          <w:lang w:val="lv-LV"/>
        </w:rPr>
        <w:t xml:space="preserve">līdzīgi kā komersantam ar būtisku ietekmi tirgū, ko regulē piekļuves pamatpiedāvājuma noteikumi (2022. gada 15. septembra Sabiedrisko pakalpojumu regulēšanas komisijas padomes lēmums Nr. 1/21 </w:t>
      </w:r>
      <w:r w:rsidR="00236670" w:rsidRPr="00595B91">
        <w:rPr>
          <w:rFonts w:ascii="inherit" w:eastAsia="Times New Roman" w:hAnsi="inherit" w:cs="Times New Roman"/>
          <w:color w:val="000000"/>
          <w:sz w:val="24"/>
          <w:szCs w:val="24"/>
          <w:lang w:val="lv-LV"/>
        </w:rPr>
        <w:t>“</w:t>
      </w:r>
      <w:r w:rsidR="0051403E" w:rsidRPr="00595B91">
        <w:rPr>
          <w:rFonts w:ascii="inherit" w:eastAsia="Times New Roman" w:hAnsi="inherit" w:cs="Times New Roman"/>
          <w:color w:val="000000"/>
          <w:sz w:val="24"/>
          <w:szCs w:val="24"/>
          <w:lang w:val="lv-LV"/>
        </w:rPr>
        <w:t>Piekļuves pamatpiedāvājuma noteikumi</w:t>
      </w:r>
      <w:r w:rsidR="00236670" w:rsidRPr="00595B91">
        <w:rPr>
          <w:rFonts w:ascii="inherit" w:eastAsia="Times New Roman" w:hAnsi="inherit" w:cs="Times New Roman"/>
          <w:color w:val="000000"/>
          <w:sz w:val="24"/>
          <w:szCs w:val="24"/>
          <w:lang w:val="lv-LV"/>
        </w:rPr>
        <w:t>”</w:t>
      </w:r>
      <w:r w:rsidR="00214BEA" w:rsidRPr="00595B91">
        <w:rPr>
          <w:rStyle w:val="FootnoteReference"/>
          <w:rFonts w:ascii="inherit" w:eastAsia="Times New Roman" w:hAnsi="inherit" w:cs="Times New Roman"/>
          <w:color w:val="000000"/>
          <w:sz w:val="24"/>
          <w:szCs w:val="24"/>
          <w:lang w:val="lv-LV"/>
        </w:rPr>
        <w:footnoteReference w:id="2"/>
      </w:r>
      <w:r w:rsidR="00554DD0" w:rsidRPr="00595B91">
        <w:rPr>
          <w:rFonts w:ascii="inherit" w:eastAsia="Times New Roman" w:hAnsi="inherit" w:cs="Times New Roman"/>
          <w:color w:val="000000"/>
          <w:sz w:val="24"/>
          <w:szCs w:val="24"/>
          <w:lang w:val="lv-LV"/>
        </w:rPr>
        <w:t>)</w:t>
      </w:r>
      <w:r w:rsidR="0051403E" w:rsidRPr="00595B91">
        <w:rPr>
          <w:rFonts w:ascii="inherit" w:eastAsia="Times New Roman" w:hAnsi="inherit" w:cs="Times New Roman"/>
          <w:color w:val="000000"/>
          <w:sz w:val="24"/>
          <w:szCs w:val="24"/>
          <w:lang w:val="lv-LV"/>
        </w:rPr>
        <w:t>, kas nosaka:</w:t>
      </w:r>
    </w:p>
    <w:p w14:paraId="5CFD5817" w14:textId="77777777" w:rsidR="0051403E" w:rsidRPr="00595B91" w:rsidRDefault="0051403E" w:rsidP="0051403E">
      <w:pPr>
        <w:shd w:val="clear" w:color="auto" w:fill="FFFFFF"/>
        <w:spacing w:before="120" w:after="0" w:line="240" w:lineRule="auto"/>
        <w:jc w:val="both"/>
        <w:rPr>
          <w:rFonts w:ascii="inherit" w:eastAsia="Times New Roman" w:hAnsi="inherit" w:cs="Times New Roman"/>
          <w:color w:val="000000"/>
          <w:sz w:val="24"/>
          <w:szCs w:val="24"/>
          <w:lang w:val="lv-LV"/>
        </w:rPr>
      </w:pPr>
      <w:r w:rsidRPr="00595B91">
        <w:rPr>
          <w:rFonts w:ascii="inherit" w:eastAsia="Times New Roman" w:hAnsi="inherit" w:cs="Times New Roman"/>
          <w:color w:val="000000"/>
          <w:sz w:val="24"/>
          <w:szCs w:val="24"/>
          <w:lang w:val="lv-LV"/>
        </w:rPr>
        <w:t>1.1. piekļuves saistītām iekārtām, atsaistītas piekļuves abonentlīnijai un piekļuves datu plūsmai pamatpiedāvājumā (iekļaujamo informāciju, tās publiskošanas prasības, termiņus, veidu un detalizācijas līmeni elektronisko sakaru komersantam ar būtisku ietekmi tirgū, kuram ir noteikta saistība publiskot attiecīgo piekļuves pamatpiedāvājumu (turpmāk – komersants);</w:t>
      </w:r>
    </w:p>
    <w:p w14:paraId="7E29429E" w14:textId="77777777" w:rsidR="0051403E" w:rsidRPr="00595B91" w:rsidRDefault="0051403E" w:rsidP="0051403E">
      <w:pPr>
        <w:shd w:val="clear" w:color="auto" w:fill="FFFFFF"/>
        <w:spacing w:before="120" w:after="0" w:line="240" w:lineRule="auto"/>
        <w:jc w:val="both"/>
        <w:rPr>
          <w:rFonts w:ascii="inherit" w:eastAsia="Times New Roman" w:hAnsi="inherit" w:cs="Times New Roman"/>
          <w:color w:val="000000"/>
          <w:sz w:val="24"/>
          <w:szCs w:val="24"/>
          <w:lang w:val="lv-LV"/>
        </w:rPr>
      </w:pPr>
      <w:r w:rsidRPr="00595B91">
        <w:rPr>
          <w:rFonts w:ascii="inherit" w:eastAsia="Times New Roman" w:hAnsi="inherit" w:cs="Times New Roman"/>
          <w:color w:val="000000"/>
          <w:sz w:val="24"/>
          <w:szCs w:val="24"/>
          <w:lang w:val="lv-LV"/>
        </w:rPr>
        <w:t>1.2. komersantam publiskojamo informāciju, tās publiskošanas prasības, termiņus, veidu un detalizācijas līmeni.</w:t>
      </w:r>
    </w:p>
    <w:p w14:paraId="50A0947B" w14:textId="0FEDA68E" w:rsidR="00761409" w:rsidRPr="00595B91" w:rsidRDefault="0051403E" w:rsidP="0051403E">
      <w:pPr>
        <w:shd w:val="clear" w:color="auto" w:fill="FFFFFF"/>
        <w:spacing w:before="120" w:after="0" w:line="240" w:lineRule="auto"/>
        <w:jc w:val="both"/>
        <w:rPr>
          <w:rFonts w:ascii="inherit" w:eastAsia="Times New Roman" w:hAnsi="inherit" w:cs="Times New Roman"/>
          <w:color w:val="000000"/>
          <w:sz w:val="24"/>
          <w:szCs w:val="24"/>
          <w:lang w:val="lv-LV"/>
        </w:rPr>
      </w:pPr>
      <w:r w:rsidRPr="00595B91">
        <w:rPr>
          <w:rFonts w:ascii="inherit" w:eastAsia="Times New Roman" w:hAnsi="inherit" w:cs="Times New Roman"/>
          <w:color w:val="000000"/>
          <w:sz w:val="24"/>
          <w:szCs w:val="24"/>
          <w:lang w:val="lv-LV"/>
        </w:rPr>
        <w:t>Pienākums – brīva piekļuve infrastruktūrai – būs spēkā visu infrastruktūras darbības laiku.</w:t>
      </w:r>
    </w:p>
    <w:p w14:paraId="72378F0C" w14:textId="71381905" w:rsidR="00294ED9" w:rsidRPr="00595B91" w:rsidRDefault="00294ED9" w:rsidP="0051403E">
      <w:pPr>
        <w:shd w:val="clear" w:color="auto" w:fill="FFFFFF"/>
        <w:spacing w:before="120" w:after="0" w:line="240" w:lineRule="auto"/>
        <w:jc w:val="both"/>
        <w:rPr>
          <w:rFonts w:ascii="inherit" w:eastAsia="Times New Roman" w:hAnsi="inherit" w:cs="Times New Roman"/>
          <w:color w:val="000000"/>
          <w:sz w:val="24"/>
          <w:szCs w:val="24"/>
          <w:lang w:val="lv-LV"/>
        </w:rPr>
      </w:pPr>
      <w:r w:rsidRPr="00595B91">
        <w:rPr>
          <w:rFonts w:ascii="inherit" w:eastAsia="Times New Roman" w:hAnsi="inherit" w:cs="Times New Roman"/>
          <w:color w:val="000000"/>
          <w:sz w:val="24"/>
          <w:szCs w:val="24"/>
          <w:lang w:val="lv-LV"/>
        </w:rPr>
        <w:t xml:space="preserve">MKN 23. </w:t>
      </w:r>
      <w:r w:rsidR="003B20E0" w:rsidRPr="00595B91">
        <w:rPr>
          <w:rFonts w:ascii="inherit" w:eastAsia="Times New Roman" w:hAnsi="inherit" w:cs="Times New Roman"/>
          <w:color w:val="000000"/>
          <w:sz w:val="24"/>
          <w:szCs w:val="24"/>
          <w:lang w:val="lv-LV"/>
        </w:rPr>
        <w:t>pants: “</w:t>
      </w:r>
      <w:r w:rsidR="000A7AC6" w:rsidRPr="000A7AC6">
        <w:rPr>
          <w:rFonts w:ascii="inherit" w:eastAsia="Times New Roman" w:hAnsi="inherit" w:cs="Times New Roman"/>
          <w:color w:val="000000"/>
          <w:sz w:val="24"/>
          <w:szCs w:val="24"/>
          <w:lang w:val="lv-LV"/>
        </w:rPr>
        <w:t xml:space="preserve">Projekta ietvaros izveidotās pasīvās infrastruktūras amortizācijas periods ir 20 gadi un aktīvās infrastruktūras amortizācijas periods ir desmit gadi pēc tās nodošanas ekspluatācijā, un tās laikā finansējuma saņēmējs nodrošina projekta rezultātu ilgtspēju un </w:t>
      </w:r>
      <w:r w:rsidR="000A7AC6" w:rsidRPr="000A7AC6">
        <w:rPr>
          <w:rFonts w:ascii="inherit" w:eastAsia="Times New Roman" w:hAnsi="inherit" w:cs="Times New Roman"/>
          <w:color w:val="000000"/>
          <w:sz w:val="24"/>
          <w:szCs w:val="24"/>
          <w:lang w:val="lv-LV"/>
        </w:rPr>
        <w:lastRenderedPageBreak/>
        <w:t>elektronisko sakaru pakalpojumus galalietotājiem. Piekļuvi vismaz tādiem vairumtirdzniecības pakalpojumiem, kas iekļauti Sabiedrisko pakalpojuma regulēšanas komisijas izdotajos piekļuves pamatpiedāvājuma noteikumos un Eiropas Komisijas 2014. gada 17. jūnijs regulas Nr. 651/2014, ar ko noteiktas atbalsta kategorijas atzīst par saderīgām ar iekšējo tirgu, piemērojot Līguma 107. un 108. pantu, 2. panta 139. apakšpunktā nodrošina saskaņā ar Eiropas Komisijas 2014. gada 17. jūnijs regulas Nr. 651/2014, ar ko noteiktas atbalsta kategorijas atzīst par saderīgām ar iekšējo tirgu, piemērojot Līguma 107. un 108. pantu, 52. panta 8. punktu.</w:t>
      </w:r>
      <w:r w:rsidR="000A7AC6">
        <w:rPr>
          <w:rFonts w:ascii="inherit" w:eastAsia="Times New Roman" w:hAnsi="inherit" w:cs="Times New Roman"/>
          <w:color w:val="000000"/>
          <w:sz w:val="24"/>
          <w:szCs w:val="24"/>
          <w:lang w:val="lv-LV"/>
        </w:rPr>
        <w:t>”</w:t>
      </w:r>
    </w:p>
    <w:p w14:paraId="5B9DBE03" w14:textId="1A50F0F1" w:rsidR="00C16BBE" w:rsidRPr="007908DD" w:rsidRDefault="00C16BBE" w:rsidP="00C16BBE">
      <w:pPr>
        <w:shd w:val="clear" w:color="auto" w:fill="D9D9D9" w:themeFill="background1" w:themeFillShade="D9"/>
        <w:spacing w:before="120" w:after="0" w:line="240" w:lineRule="auto"/>
        <w:jc w:val="both"/>
        <w:rPr>
          <w:rFonts w:ascii="inherit" w:eastAsia="Times New Roman" w:hAnsi="inherit" w:cs="Times New Roman"/>
          <w:color w:val="000000"/>
          <w:sz w:val="24"/>
          <w:szCs w:val="24"/>
          <w:lang w:val="lv-LV"/>
        </w:rPr>
      </w:pPr>
      <w:r w:rsidRPr="007908DD">
        <w:rPr>
          <w:rFonts w:ascii="inherit" w:eastAsia="Times New Roman" w:hAnsi="inherit" w:cs="Times New Roman"/>
          <w:color w:val="000000"/>
          <w:sz w:val="24"/>
          <w:szCs w:val="24"/>
          <w:lang w:val="lv-LV"/>
        </w:rPr>
        <w:t>9.Vairumtirdzniecības līmeņa piekļuves cenas pamatā ir viens no šādiem salīdzinošajiem rādītājiem un cenas noteikšanas principiem:</w:t>
      </w:r>
    </w:p>
    <w:p w14:paraId="4D8F6AFB" w14:textId="77777777" w:rsidR="00C16BBE" w:rsidRPr="007908DD" w:rsidRDefault="00C16BBE" w:rsidP="00C16BBE">
      <w:pPr>
        <w:shd w:val="clear" w:color="auto" w:fill="D9D9D9" w:themeFill="background1" w:themeFillShade="D9"/>
        <w:tabs>
          <w:tab w:val="left" w:pos="284"/>
        </w:tabs>
        <w:spacing w:before="120" w:after="0" w:line="240" w:lineRule="auto"/>
        <w:jc w:val="both"/>
        <w:rPr>
          <w:rFonts w:ascii="inherit" w:eastAsia="Times New Roman" w:hAnsi="inherit" w:cs="Times New Roman"/>
          <w:color w:val="000000"/>
          <w:sz w:val="24"/>
          <w:szCs w:val="24"/>
          <w:lang w:val="lv-LV"/>
        </w:rPr>
      </w:pPr>
      <w:r w:rsidRPr="007908DD">
        <w:rPr>
          <w:rFonts w:ascii="inherit" w:eastAsia="Times New Roman" w:hAnsi="inherit" w:cs="Times New Roman"/>
          <w:color w:val="000000"/>
          <w:sz w:val="24"/>
          <w:szCs w:val="24"/>
          <w:lang w:val="lv-LV"/>
        </w:rPr>
        <w:t>a)</w:t>
      </w:r>
      <w:r w:rsidRPr="007908DD">
        <w:rPr>
          <w:rFonts w:ascii="inherit" w:eastAsia="Times New Roman" w:hAnsi="inherit" w:cs="Times New Roman"/>
          <w:color w:val="000000"/>
          <w:sz w:val="24"/>
          <w:szCs w:val="24"/>
          <w:lang w:val="lv-LV"/>
        </w:rPr>
        <w:tab/>
        <w:t>vidējās publicētās vairumtirdzniecības cenas, kas dominē citos salīdzināmos un konkurētspējīgākos dalībvalsts apgabalos;</w:t>
      </w:r>
    </w:p>
    <w:p w14:paraId="1207FC9F" w14:textId="77777777" w:rsidR="00C16BBE" w:rsidRPr="007908DD" w:rsidRDefault="00C16BBE" w:rsidP="00C16BBE">
      <w:pPr>
        <w:shd w:val="clear" w:color="auto" w:fill="D9D9D9" w:themeFill="background1" w:themeFillShade="D9"/>
        <w:tabs>
          <w:tab w:val="left" w:pos="284"/>
        </w:tabs>
        <w:spacing w:before="120" w:after="0" w:line="240" w:lineRule="auto"/>
        <w:jc w:val="both"/>
        <w:rPr>
          <w:rFonts w:ascii="inherit" w:eastAsia="Times New Roman" w:hAnsi="inherit" w:cs="Times New Roman"/>
          <w:color w:val="000000"/>
          <w:sz w:val="24"/>
          <w:szCs w:val="24"/>
          <w:lang w:val="lv-LV"/>
        </w:rPr>
      </w:pPr>
      <w:r w:rsidRPr="007908DD">
        <w:rPr>
          <w:rFonts w:ascii="inherit" w:eastAsia="Times New Roman" w:hAnsi="inherit" w:cs="Times New Roman"/>
          <w:color w:val="000000"/>
          <w:sz w:val="24"/>
          <w:szCs w:val="24"/>
          <w:lang w:val="lv-LV"/>
        </w:rPr>
        <w:t>b)</w:t>
      </w:r>
      <w:r w:rsidRPr="007908DD">
        <w:rPr>
          <w:rFonts w:ascii="inherit" w:eastAsia="Times New Roman" w:hAnsi="inherit" w:cs="Times New Roman"/>
          <w:color w:val="000000"/>
          <w:sz w:val="24"/>
          <w:szCs w:val="24"/>
          <w:lang w:val="lv-LV"/>
        </w:rPr>
        <w:tab/>
        <w:t>regulētās cenas, ko attiecīgajiem tirgiem un pakalpojumiem jau noteikusi vai apstiprinājusi valsts regulatīvā iestāde; vai</w:t>
      </w:r>
    </w:p>
    <w:p w14:paraId="577326A5" w14:textId="77777777" w:rsidR="00C16BBE" w:rsidRPr="007908DD" w:rsidRDefault="00C16BBE" w:rsidP="00C16BBE">
      <w:pPr>
        <w:shd w:val="clear" w:color="auto" w:fill="D9D9D9" w:themeFill="background1" w:themeFillShade="D9"/>
        <w:tabs>
          <w:tab w:val="left" w:pos="284"/>
        </w:tabs>
        <w:spacing w:before="120" w:after="0" w:line="240" w:lineRule="auto"/>
        <w:jc w:val="both"/>
        <w:rPr>
          <w:rFonts w:ascii="inherit" w:eastAsia="Times New Roman" w:hAnsi="inherit" w:cs="Times New Roman"/>
          <w:color w:val="000000"/>
          <w:sz w:val="24"/>
          <w:szCs w:val="24"/>
          <w:lang w:val="lv-LV"/>
        </w:rPr>
      </w:pPr>
      <w:r w:rsidRPr="007908DD">
        <w:rPr>
          <w:rFonts w:ascii="inherit" w:eastAsia="Times New Roman" w:hAnsi="inherit" w:cs="Times New Roman"/>
          <w:color w:val="000000"/>
          <w:sz w:val="24"/>
          <w:szCs w:val="24"/>
          <w:lang w:val="lv-LV"/>
        </w:rPr>
        <w:t>c)</w:t>
      </w:r>
      <w:r w:rsidRPr="007908DD">
        <w:rPr>
          <w:rFonts w:ascii="inherit" w:eastAsia="Times New Roman" w:hAnsi="inherit" w:cs="Times New Roman"/>
          <w:color w:val="000000"/>
          <w:sz w:val="24"/>
          <w:szCs w:val="24"/>
          <w:lang w:val="lv-LV"/>
        </w:rPr>
        <w:tab/>
        <w:t>orientēšanās uz izmaksām vai metodika, kas paredzēta saskaņā ar nozares tiesisko regulējumu.</w:t>
      </w:r>
    </w:p>
    <w:p w14:paraId="3544D5D2" w14:textId="77777777" w:rsidR="00C16BBE" w:rsidRPr="00595B91" w:rsidRDefault="00C16BBE" w:rsidP="007908DD">
      <w:pPr>
        <w:shd w:val="clear" w:color="auto" w:fill="D9D9D9" w:themeFill="background1" w:themeFillShade="D9"/>
        <w:spacing w:before="120" w:after="0" w:line="240" w:lineRule="auto"/>
        <w:jc w:val="both"/>
        <w:rPr>
          <w:rFonts w:ascii="inherit" w:eastAsia="Times New Roman" w:hAnsi="inherit" w:cs="Times New Roman"/>
          <w:color w:val="000000"/>
          <w:sz w:val="24"/>
          <w:szCs w:val="24"/>
          <w:lang w:val="lv-LV"/>
        </w:rPr>
      </w:pPr>
      <w:r w:rsidRPr="007908DD">
        <w:rPr>
          <w:rFonts w:ascii="inherit" w:eastAsia="Times New Roman" w:hAnsi="inherit" w:cs="Times New Roman"/>
          <w:color w:val="000000"/>
          <w:sz w:val="24"/>
          <w:szCs w:val="24"/>
          <w:lang w:val="lv-LV"/>
        </w:rPr>
        <w:t>Neskarot valsts regulatīvās iestādes kompetenci saskaņā ar tiesisko regulējumu, ar valsts regulatīvo iestādi apspriežas par vairumtirdzniecības līmeņa piekļuves produktiem, piekļuves noteikumiem, tostarp par cenām, un par strīdiem, kas saistīti ar šā panta piemērošanu</w:t>
      </w:r>
    </w:p>
    <w:p w14:paraId="70C5185B" w14:textId="77C5315E" w:rsidR="00BD5D86" w:rsidRPr="00595B91" w:rsidRDefault="00C34A07" w:rsidP="00C16BBE">
      <w:pPr>
        <w:shd w:val="clear" w:color="auto" w:fill="FFFFFF"/>
        <w:spacing w:before="120" w:after="0" w:line="240" w:lineRule="auto"/>
        <w:jc w:val="both"/>
        <w:rPr>
          <w:rFonts w:ascii="inherit" w:eastAsia="Times New Roman" w:hAnsi="inherit" w:cs="Times New Roman"/>
          <w:color w:val="000000"/>
          <w:sz w:val="24"/>
          <w:szCs w:val="24"/>
          <w:lang w:val="lv-LV"/>
        </w:rPr>
      </w:pPr>
      <w:r w:rsidRPr="00595B91">
        <w:rPr>
          <w:rFonts w:ascii="inherit" w:eastAsia="Times New Roman" w:hAnsi="inherit" w:cs="Times New Roman"/>
          <w:color w:val="000000"/>
          <w:sz w:val="24"/>
          <w:szCs w:val="24"/>
          <w:lang w:val="lv-LV"/>
        </w:rPr>
        <w:t>Atbilst:</w:t>
      </w:r>
      <w:r w:rsidR="00BD5D86" w:rsidRPr="00595B91">
        <w:rPr>
          <w:rFonts w:ascii="inherit" w:eastAsia="Times New Roman" w:hAnsi="inherit" w:cs="Times New Roman"/>
          <w:color w:val="000000"/>
          <w:sz w:val="24"/>
          <w:szCs w:val="24"/>
          <w:lang w:val="lv-LV"/>
        </w:rPr>
        <w:t xml:space="preserve"> Vairumtirdzniecības piekļuves pakalpojuma tarifus noteiks Satiksmes ministrijas Subsidēto elektronisko sakaru tīklu uzraudzības </w:t>
      </w:r>
      <w:r w:rsidR="00D3691A" w:rsidRPr="00595B91">
        <w:rPr>
          <w:rFonts w:ascii="inherit" w:eastAsia="Times New Roman" w:hAnsi="inherit" w:cs="Times New Roman"/>
          <w:color w:val="000000"/>
          <w:sz w:val="24"/>
          <w:szCs w:val="24"/>
          <w:lang w:val="lv-LV"/>
        </w:rPr>
        <w:t>komiteja,</w:t>
      </w:r>
      <w:r w:rsidR="00BD5D86" w:rsidRPr="00595B91">
        <w:rPr>
          <w:rFonts w:ascii="inherit" w:eastAsia="Times New Roman" w:hAnsi="inherit" w:cs="Times New Roman"/>
          <w:color w:val="000000"/>
          <w:sz w:val="24"/>
          <w:szCs w:val="24"/>
          <w:lang w:val="lv-LV"/>
        </w:rPr>
        <w:t xml:space="preserve"> konsultējoties ar Sabiedrisko pakalpojumu regulēšanas komisiju. Atbalsta saņēmējs tarifus par vairumtirdzniecības pakalpojumiem piemēros visiem elektronisko sakaru komersantiem.</w:t>
      </w:r>
    </w:p>
    <w:p w14:paraId="5444453B" w14:textId="77777777" w:rsidR="00BD5D86" w:rsidRPr="00595B91" w:rsidRDefault="00BD5D86" w:rsidP="00BD5D86">
      <w:pPr>
        <w:shd w:val="clear" w:color="auto" w:fill="FFFFFF"/>
        <w:spacing w:before="120" w:after="0" w:line="240" w:lineRule="auto"/>
        <w:jc w:val="both"/>
        <w:rPr>
          <w:rFonts w:ascii="inherit" w:eastAsia="Times New Roman" w:hAnsi="inherit" w:cs="Times New Roman"/>
          <w:color w:val="000000"/>
          <w:sz w:val="24"/>
          <w:szCs w:val="24"/>
          <w:lang w:val="lv-LV"/>
        </w:rPr>
      </w:pPr>
      <w:r w:rsidRPr="00595B91">
        <w:rPr>
          <w:rFonts w:ascii="inherit" w:eastAsia="Times New Roman" w:hAnsi="inherit" w:cs="Times New Roman"/>
          <w:color w:val="000000"/>
          <w:sz w:val="24"/>
          <w:szCs w:val="24"/>
          <w:lang w:val="lv-LV"/>
        </w:rPr>
        <w:t>Vairumtirdzniecības piekļuves pakalpojumu tarifi būs balstīti uz izmaksām (izmaksas, kuras segs no publiskā finansējuma, netiks ņemtas vērā), savukārt, būvniecības un uzturēšanas izmaksas noteiks izmaksu uzskaites metodika.</w:t>
      </w:r>
    </w:p>
    <w:p w14:paraId="5A20D11B" w14:textId="77777777" w:rsidR="00BD5D86" w:rsidRPr="00595B91" w:rsidRDefault="00BD5D86" w:rsidP="00BD5D86">
      <w:pPr>
        <w:shd w:val="clear" w:color="auto" w:fill="FFFFFF"/>
        <w:spacing w:before="120" w:after="0" w:line="240" w:lineRule="auto"/>
        <w:jc w:val="both"/>
        <w:rPr>
          <w:rFonts w:ascii="inherit" w:eastAsia="Times New Roman" w:hAnsi="inherit" w:cs="Times New Roman"/>
          <w:color w:val="000000"/>
          <w:sz w:val="24"/>
          <w:szCs w:val="24"/>
          <w:lang w:val="lv-LV"/>
        </w:rPr>
      </w:pPr>
      <w:r w:rsidRPr="00595B91">
        <w:rPr>
          <w:rFonts w:ascii="inherit" w:eastAsia="Times New Roman" w:hAnsi="inherit" w:cs="Times New Roman"/>
          <w:color w:val="000000"/>
          <w:sz w:val="24"/>
          <w:szCs w:val="24"/>
          <w:lang w:val="lv-LV"/>
        </w:rPr>
        <w:t>Pēc vairumtirdzniecības piekļuves pakalpojumu tarifu aprēķināšanas, kuru pamatā ir izmaksas, tie tiks vērtēti, ņemot vērā:</w:t>
      </w:r>
    </w:p>
    <w:p w14:paraId="3802EF7F" w14:textId="77777777" w:rsidR="00BD5D86" w:rsidRPr="00595B91" w:rsidRDefault="00BD5D86" w:rsidP="00BD5D86">
      <w:pPr>
        <w:shd w:val="clear" w:color="auto" w:fill="FFFFFF"/>
        <w:spacing w:before="120" w:after="0" w:line="240" w:lineRule="auto"/>
        <w:jc w:val="both"/>
        <w:rPr>
          <w:rFonts w:ascii="inherit" w:eastAsia="Times New Roman" w:hAnsi="inherit" w:cs="Times New Roman"/>
          <w:color w:val="000000"/>
          <w:sz w:val="24"/>
          <w:szCs w:val="24"/>
          <w:lang w:val="lv-LV"/>
        </w:rPr>
      </w:pPr>
      <w:r w:rsidRPr="00595B91">
        <w:rPr>
          <w:rFonts w:ascii="inherit" w:eastAsia="Times New Roman" w:hAnsi="inherit" w:cs="Times New Roman"/>
          <w:color w:val="000000"/>
          <w:sz w:val="24"/>
          <w:szCs w:val="24"/>
          <w:lang w:val="lv-LV"/>
        </w:rPr>
        <w:t>1) vidējo publicēto vairumcenu citā attiecīgās dalībvalsts vai Savienības salīdzināmā zonā, kurā konkurence ir aktīvāka, vai,</w:t>
      </w:r>
    </w:p>
    <w:p w14:paraId="63AAAA2F" w14:textId="5D75DF8E" w:rsidR="00BD5D86" w:rsidRPr="00595B91" w:rsidRDefault="00BD5D86" w:rsidP="00BD5D86">
      <w:pPr>
        <w:shd w:val="clear" w:color="auto" w:fill="FFFFFF"/>
        <w:spacing w:before="120" w:after="0" w:line="240" w:lineRule="auto"/>
        <w:jc w:val="both"/>
        <w:rPr>
          <w:rFonts w:ascii="inherit" w:eastAsia="Times New Roman" w:hAnsi="inherit" w:cs="Times New Roman"/>
          <w:color w:val="000000"/>
          <w:sz w:val="24"/>
          <w:szCs w:val="24"/>
          <w:lang w:val="lv-LV"/>
        </w:rPr>
      </w:pPr>
      <w:r w:rsidRPr="00595B91">
        <w:rPr>
          <w:rFonts w:ascii="inherit" w:eastAsia="Times New Roman" w:hAnsi="inherit" w:cs="Times New Roman"/>
          <w:color w:val="000000"/>
          <w:sz w:val="24"/>
          <w:szCs w:val="24"/>
          <w:lang w:val="lv-LV"/>
        </w:rPr>
        <w:t xml:space="preserve">2) ja tādas publicētas cenas nav, tad regulētās cenas, kuras Sabiedrisko pakalpojumu regulēšanas komisija jau ir noteikusi vai apstiprinājusi attiecīgajiem tirgiem un </w:t>
      </w:r>
      <w:r w:rsidR="00CF11CD" w:rsidRPr="00595B91">
        <w:rPr>
          <w:rFonts w:ascii="inherit" w:eastAsia="Times New Roman" w:hAnsi="inherit" w:cs="Times New Roman"/>
          <w:color w:val="000000"/>
          <w:sz w:val="24"/>
          <w:szCs w:val="24"/>
          <w:lang w:val="lv-LV"/>
        </w:rPr>
        <w:t>pakalpojumiem,</w:t>
      </w:r>
      <w:r w:rsidRPr="00595B91">
        <w:rPr>
          <w:rFonts w:ascii="inherit" w:eastAsia="Times New Roman" w:hAnsi="inherit" w:cs="Times New Roman"/>
          <w:color w:val="000000"/>
          <w:sz w:val="24"/>
          <w:szCs w:val="24"/>
          <w:lang w:val="lv-LV"/>
        </w:rPr>
        <w:t xml:space="preserve"> vai,</w:t>
      </w:r>
    </w:p>
    <w:p w14:paraId="20AEB6E7" w14:textId="20DBF682" w:rsidR="006C06DB" w:rsidRPr="00595B91" w:rsidRDefault="00BD5D86" w:rsidP="00BD5D86">
      <w:pPr>
        <w:shd w:val="clear" w:color="auto" w:fill="FFFFFF"/>
        <w:spacing w:before="120" w:after="0" w:line="240" w:lineRule="auto"/>
        <w:jc w:val="both"/>
        <w:rPr>
          <w:rFonts w:ascii="inherit" w:eastAsia="Times New Roman" w:hAnsi="inherit" w:cs="Times New Roman"/>
          <w:color w:val="000000"/>
          <w:sz w:val="24"/>
          <w:szCs w:val="24"/>
          <w:lang w:val="lv-LV"/>
        </w:rPr>
      </w:pPr>
      <w:r w:rsidRPr="00595B91">
        <w:rPr>
          <w:rFonts w:ascii="inherit" w:eastAsia="Times New Roman" w:hAnsi="inherit" w:cs="Times New Roman"/>
          <w:color w:val="000000"/>
          <w:sz w:val="24"/>
          <w:szCs w:val="24"/>
          <w:lang w:val="lv-LV"/>
        </w:rPr>
        <w:t>3) ja tādas publicētas vai regulētas cenas nav, tad cenu orientācija vai metodika, kas noteikta saskaņā ar nozares tiesisko regulējumu.</w:t>
      </w:r>
    </w:p>
    <w:p w14:paraId="79EB6745" w14:textId="57B78A80" w:rsidR="00FF5427" w:rsidRPr="00595B91" w:rsidRDefault="00FF5427" w:rsidP="00FF5427">
      <w:pPr>
        <w:shd w:val="clear" w:color="auto" w:fill="FFFFFF"/>
        <w:spacing w:before="120" w:after="0" w:line="240" w:lineRule="auto"/>
        <w:jc w:val="both"/>
        <w:rPr>
          <w:rFonts w:ascii="inherit" w:eastAsia="Times New Roman" w:hAnsi="inherit" w:cs="Times New Roman"/>
          <w:color w:val="000000"/>
          <w:sz w:val="24"/>
          <w:szCs w:val="24"/>
          <w:lang w:val="lv-LV"/>
        </w:rPr>
      </w:pPr>
      <w:r w:rsidRPr="00595B91">
        <w:rPr>
          <w:rFonts w:ascii="inherit" w:eastAsia="Times New Roman" w:hAnsi="inherit" w:cs="Times New Roman"/>
          <w:color w:val="000000"/>
          <w:sz w:val="24"/>
          <w:szCs w:val="24"/>
          <w:lang w:val="lv-LV"/>
        </w:rPr>
        <w:t xml:space="preserve">MKN noteikts: “46. Subsidēto elektronisko sakaru tīklu uzraudzības komiteja projekta īstenošanas rezultātā izveidotās infrastruktūras amortizācijas periodā nodrošina 2.4.1.2.i. investīcijas uzraudzību un:  </w:t>
      </w:r>
    </w:p>
    <w:p w14:paraId="56E5A964" w14:textId="77777777" w:rsidR="00FF5427" w:rsidRPr="00595B91" w:rsidRDefault="00FF5427" w:rsidP="00FF5427">
      <w:pPr>
        <w:shd w:val="clear" w:color="auto" w:fill="FFFFFF"/>
        <w:spacing w:before="120" w:after="0" w:line="240" w:lineRule="auto"/>
        <w:jc w:val="both"/>
        <w:rPr>
          <w:rFonts w:ascii="inherit" w:eastAsia="Times New Roman" w:hAnsi="inherit" w:cs="Times New Roman"/>
          <w:color w:val="000000"/>
          <w:sz w:val="24"/>
          <w:szCs w:val="24"/>
          <w:lang w:val="lv-LV"/>
        </w:rPr>
      </w:pPr>
      <w:r w:rsidRPr="00595B91">
        <w:rPr>
          <w:rFonts w:ascii="inherit" w:eastAsia="Times New Roman" w:hAnsi="inherit" w:cs="Times New Roman"/>
          <w:color w:val="000000"/>
          <w:sz w:val="24"/>
          <w:szCs w:val="24"/>
          <w:lang w:val="lv-LV"/>
        </w:rPr>
        <w:lastRenderedPageBreak/>
        <w:tab/>
        <w:t>46.1. apstiprina un vismaz reizi trīs gados pārskata vairumtirdzniecības piekļuves pakalpojumu tarifu projekta īstenošanas rezultātā izveidotajai infrastruktūrai un tā aprēķināšanas metodiku;</w:t>
      </w:r>
    </w:p>
    <w:p w14:paraId="0A800E53" w14:textId="19586190" w:rsidR="00FF5427" w:rsidRPr="00595B91" w:rsidRDefault="00FF5427" w:rsidP="00FF5427">
      <w:pPr>
        <w:shd w:val="clear" w:color="auto" w:fill="FFFFFF"/>
        <w:spacing w:before="120" w:after="0" w:line="240" w:lineRule="auto"/>
        <w:jc w:val="both"/>
        <w:rPr>
          <w:rFonts w:ascii="inherit" w:eastAsia="Times New Roman" w:hAnsi="inherit" w:cs="Times New Roman"/>
          <w:color w:val="000000"/>
          <w:sz w:val="24"/>
          <w:szCs w:val="24"/>
          <w:lang w:val="lv-LV"/>
        </w:rPr>
      </w:pPr>
      <w:r w:rsidRPr="00595B91">
        <w:rPr>
          <w:rFonts w:ascii="inherit" w:eastAsia="Times New Roman" w:hAnsi="inherit" w:cs="Times New Roman"/>
          <w:color w:val="000000"/>
          <w:sz w:val="24"/>
          <w:szCs w:val="24"/>
          <w:lang w:val="lv-LV"/>
        </w:rPr>
        <w:tab/>
        <w:t>46.2. apstiprina vairumtirdzniecības piekļuves pakalpojumu nosacījumus 2.4.1.2.i. investīcijas īstenošanas rezultātā izveidotajai infrastruktūrai.’’</w:t>
      </w:r>
    </w:p>
    <w:p w14:paraId="75C45686" w14:textId="77777777" w:rsidR="00723857" w:rsidRPr="00595B91" w:rsidRDefault="00723857" w:rsidP="00450358">
      <w:pPr>
        <w:shd w:val="clear" w:color="auto" w:fill="D9D9D9" w:themeFill="background1" w:themeFillShade="D9"/>
        <w:spacing w:before="120" w:after="0" w:line="240" w:lineRule="auto"/>
        <w:jc w:val="both"/>
        <w:rPr>
          <w:rFonts w:ascii="inherit" w:eastAsia="Times New Roman" w:hAnsi="inherit" w:cs="Times New Roman"/>
          <w:color w:val="000000"/>
          <w:sz w:val="24"/>
          <w:szCs w:val="24"/>
          <w:lang w:val="lv-LV"/>
        </w:rPr>
      </w:pPr>
      <w:r w:rsidRPr="00595B91">
        <w:rPr>
          <w:rFonts w:ascii="inherit" w:eastAsia="Times New Roman" w:hAnsi="inherit" w:cs="Times New Roman"/>
          <w:color w:val="000000"/>
          <w:sz w:val="24"/>
          <w:szCs w:val="24"/>
          <w:lang w:val="lv-LV"/>
        </w:rPr>
        <w:t>10.   Ja projektam piešķiramā atbalsta summa pārsniedz EUR 10 miljonus, dalībvalstis izveido uzraudzības un atgūšanas mehānismu.</w:t>
      </w:r>
    </w:p>
    <w:p w14:paraId="7049C47A" w14:textId="70CE4D9F" w:rsidR="00773907" w:rsidRPr="00595B91" w:rsidRDefault="00DF1832" w:rsidP="00723857">
      <w:pPr>
        <w:shd w:val="clear" w:color="auto" w:fill="FFFFFF"/>
        <w:spacing w:before="120" w:after="0" w:line="240" w:lineRule="auto"/>
        <w:jc w:val="both"/>
        <w:rPr>
          <w:rFonts w:ascii="inherit" w:eastAsia="Times New Roman" w:hAnsi="inherit" w:cs="Times New Roman"/>
          <w:color w:val="000000"/>
          <w:sz w:val="24"/>
          <w:szCs w:val="24"/>
          <w:lang w:val="lv-LV"/>
        </w:rPr>
      </w:pPr>
      <w:r w:rsidRPr="00595B91">
        <w:rPr>
          <w:rFonts w:ascii="inherit" w:eastAsia="Times New Roman" w:hAnsi="inherit" w:cs="Times New Roman"/>
          <w:color w:val="000000"/>
          <w:sz w:val="24"/>
          <w:szCs w:val="24"/>
          <w:lang w:val="lv-LV"/>
        </w:rPr>
        <w:t>Atbilst</w:t>
      </w:r>
      <w:r w:rsidR="00494823" w:rsidRPr="00595B91">
        <w:rPr>
          <w:rFonts w:ascii="inherit" w:eastAsia="Times New Roman" w:hAnsi="inherit" w:cs="Times New Roman"/>
          <w:color w:val="000000"/>
          <w:sz w:val="24"/>
          <w:szCs w:val="24"/>
          <w:lang w:val="lv-LV"/>
        </w:rPr>
        <w:t xml:space="preserve">: </w:t>
      </w:r>
      <w:r w:rsidR="00644D54" w:rsidRPr="00595B91">
        <w:rPr>
          <w:rFonts w:ascii="inherit" w:eastAsia="Times New Roman" w:hAnsi="inherit" w:cs="Times New Roman"/>
          <w:color w:val="000000"/>
          <w:sz w:val="24"/>
          <w:szCs w:val="24"/>
          <w:lang w:val="lv-LV"/>
        </w:rPr>
        <w:t xml:space="preserve">Ar mērķi uzraudzīt valsts atbalsta nosacījumus ir izveidota Subsidēto elektronisko sakaru tīklu uzraudzības komiteja. </w:t>
      </w:r>
      <w:r w:rsidR="00494823" w:rsidRPr="00595B91">
        <w:rPr>
          <w:rFonts w:ascii="inherit" w:eastAsia="Times New Roman" w:hAnsi="inherit" w:cs="Times New Roman"/>
          <w:color w:val="000000"/>
          <w:sz w:val="24"/>
          <w:szCs w:val="24"/>
          <w:lang w:val="lv-LV"/>
        </w:rPr>
        <w:t>P</w:t>
      </w:r>
      <w:r w:rsidR="00773907" w:rsidRPr="00595B91">
        <w:rPr>
          <w:rFonts w:ascii="inherit" w:eastAsia="Times New Roman" w:hAnsi="inherit" w:cs="Times New Roman"/>
          <w:color w:val="000000"/>
          <w:sz w:val="24"/>
          <w:szCs w:val="24"/>
          <w:lang w:val="lv-LV"/>
        </w:rPr>
        <w:t xml:space="preserve">ēc ikgadējo atskaišu izvērtēšanas Subsidēto elektronisko sakaru tīklu uzraudzības komitejā, tā pieņem lēmumu </w:t>
      </w:r>
      <w:r w:rsidR="00CF11CD" w:rsidRPr="00595B91">
        <w:rPr>
          <w:rFonts w:ascii="inherit" w:eastAsia="Times New Roman" w:hAnsi="inherit" w:cs="Times New Roman"/>
          <w:color w:val="000000"/>
          <w:sz w:val="24"/>
          <w:szCs w:val="24"/>
          <w:lang w:val="lv-LV"/>
        </w:rPr>
        <w:t>par summu</w:t>
      </w:r>
      <w:r w:rsidR="00773907" w:rsidRPr="00595B91">
        <w:rPr>
          <w:rFonts w:ascii="inherit" w:eastAsia="Times New Roman" w:hAnsi="inherit" w:cs="Times New Roman"/>
          <w:color w:val="000000"/>
          <w:sz w:val="24"/>
          <w:szCs w:val="24"/>
          <w:lang w:val="lv-LV"/>
        </w:rPr>
        <w:t xml:space="preserve"> atgūšanu, kas pārsniedz pamatotu peļņu, proti, kapitāla atdeves līmeni, kas būtu nepieciešams tipiskam uzņēmumam (10%), ņemot vērā platjoslas nozarei raksturīgo riska līmeni un sniegto pakalpojumu veidu, un stimula summu (3%) – kopā 13%. Peļņu, kas pārsniegs 13% slieksni, tiks sadalīta starp atbalsta saņēmēju un dalībvalsti, vadoties no atbalsta intensitātes, kas izrietēs no konkursa procedūras rezultātiem.</w:t>
      </w:r>
      <w:r w:rsidR="00644D54" w:rsidRPr="00595B91">
        <w:rPr>
          <w:rFonts w:ascii="inherit" w:eastAsia="Times New Roman" w:hAnsi="inherit" w:cs="Times New Roman"/>
          <w:color w:val="000000"/>
          <w:sz w:val="24"/>
          <w:szCs w:val="24"/>
          <w:lang w:val="lv-LV"/>
        </w:rPr>
        <w:t xml:space="preserve"> </w:t>
      </w:r>
    </w:p>
    <w:p w14:paraId="1B9281C8" w14:textId="6A0BC15A" w:rsidR="00FA5CFE" w:rsidRPr="00595B91" w:rsidRDefault="00723857" w:rsidP="00450358">
      <w:pPr>
        <w:shd w:val="clear" w:color="auto" w:fill="D9D9D9" w:themeFill="background1" w:themeFillShade="D9"/>
        <w:spacing w:before="120" w:after="0" w:line="240" w:lineRule="auto"/>
        <w:jc w:val="both"/>
        <w:rPr>
          <w:rFonts w:ascii="inherit" w:eastAsia="Times New Roman" w:hAnsi="inherit" w:cs="Times New Roman"/>
          <w:color w:val="000000"/>
          <w:sz w:val="24"/>
          <w:szCs w:val="24"/>
          <w:lang w:val="lv-LV"/>
        </w:rPr>
      </w:pPr>
      <w:r w:rsidRPr="00595B91">
        <w:rPr>
          <w:rFonts w:ascii="inherit" w:eastAsia="Times New Roman" w:hAnsi="inherit" w:cs="Times New Roman"/>
          <w:color w:val="000000"/>
          <w:sz w:val="24"/>
          <w:szCs w:val="24"/>
          <w:lang w:val="lv-LV"/>
        </w:rPr>
        <w:t>11.   Lai nodrošinātu, ka atbalsts saglabājas samērīgs un neizraisa neatbalstāmo darbību pārmērīgu kompensēšanu vai šķērssubsidēšanu, atbalsta saņēmējs nošķir valsts finansētā tīkla izvēršanai un ekspluatācijai izmantoto līdzekļu uzskaiti un citu tā rīcībā esošo līdzekļu uzskaiti.</w:t>
      </w:r>
    </w:p>
    <w:p w14:paraId="0ABC5E18" w14:textId="77777777" w:rsidR="00DD6ACE" w:rsidRPr="00595B91" w:rsidRDefault="0037241B" w:rsidP="00E10125">
      <w:pPr>
        <w:jc w:val="both"/>
        <w:rPr>
          <w:rFonts w:ascii="inherit" w:eastAsia="Times New Roman" w:hAnsi="inherit" w:cs="Times New Roman"/>
          <w:color w:val="000000"/>
          <w:sz w:val="24"/>
          <w:szCs w:val="24"/>
          <w:lang w:val="lv-LV"/>
        </w:rPr>
      </w:pPr>
      <w:r w:rsidRPr="00595B91">
        <w:rPr>
          <w:rFonts w:ascii="inherit" w:eastAsia="Times New Roman" w:hAnsi="inherit" w:cs="Times New Roman"/>
          <w:color w:val="000000"/>
          <w:sz w:val="24"/>
          <w:szCs w:val="24"/>
          <w:lang w:val="lv-LV"/>
        </w:rPr>
        <w:t xml:space="preserve">Atbilst: </w:t>
      </w:r>
    </w:p>
    <w:p w14:paraId="7B20EA84" w14:textId="77777777" w:rsidR="00DD6ACE" w:rsidRPr="00595B91" w:rsidRDefault="00786DFE" w:rsidP="00D54E61">
      <w:pPr>
        <w:pStyle w:val="ListParagraph"/>
        <w:numPr>
          <w:ilvl w:val="0"/>
          <w:numId w:val="2"/>
        </w:numPr>
        <w:jc w:val="both"/>
        <w:rPr>
          <w:rFonts w:ascii="inherit" w:eastAsia="Times New Roman" w:hAnsi="inherit" w:cs="Times New Roman"/>
          <w:color w:val="000000"/>
          <w:sz w:val="24"/>
          <w:szCs w:val="24"/>
          <w:lang w:val="lv-LV"/>
        </w:rPr>
      </w:pPr>
      <w:r w:rsidRPr="00595B91">
        <w:rPr>
          <w:rFonts w:ascii="inherit" w:eastAsia="Times New Roman" w:hAnsi="inherit" w:cs="Times New Roman"/>
          <w:color w:val="000000"/>
          <w:sz w:val="24"/>
          <w:szCs w:val="24"/>
          <w:lang w:val="lv-LV"/>
        </w:rPr>
        <w:t xml:space="preserve">MKN </w:t>
      </w:r>
      <w:r w:rsidR="00F55CFC" w:rsidRPr="00595B91">
        <w:rPr>
          <w:rFonts w:ascii="inherit" w:eastAsia="Times New Roman" w:hAnsi="inherit" w:cs="Times New Roman"/>
          <w:color w:val="000000"/>
          <w:sz w:val="24"/>
          <w:szCs w:val="24"/>
          <w:lang w:val="lv-LV"/>
        </w:rPr>
        <w:t>22.14. apakšpunkt</w:t>
      </w:r>
      <w:r w:rsidR="00193B14" w:rsidRPr="00595B91">
        <w:rPr>
          <w:rFonts w:ascii="inherit" w:eastAsia="Times New Roman" w:hAnsi="inherit" w:cs="Times New Roman"/>
          <w:color w:val="000000"/>
          <w:sz w:val="24"/>
          <w:szCs w:val="24"/>
          <w:lang w:val="lv-LV"/>
        </w:rPr>
        <w:t>ā noteikts, ka finansējuma saņēmējs nodrošina “</w:t>
      </w:r>
      <w:r w:rsidR="00F55CFC" w:rsidRPr="00595B91">
        <w:rPr>
          <w:rFonts w:ascii="inherit" w:eastAsia="Times New Roman" w:hAnsi="inherit" w:cs="Times New Roman"/>
          <w:color w:val="000000"/>
          <w:sz w:val="24"/>
          <w:szCs w:val="24"/>
          <w:lang w:val="lv-LV"/>
        </w:rPr>
        <w:t>atsevišķu grāmatvedības uzskaiti par finansējuma izlietojumu projektā, nodalot tā ietvaros veiktās darbības no citas saimnieciskās darbības”</w:t>
      </w:r>
      <w:r w:rsidR="00193B14" w:rsidRPr="00595B91">
        <w:rPr>
          <w:rFonts w:ascii="inherit" w:eastAsia="Times New Roman" w:hAnsi="inherit" w:cs="Times New Roman"/>
          <w:color w:val="000000"/>
          <w:sz w:val="24"/>
          <w:szCs w:val="24"/>
          <w:lang w:val="lv-LV"/>
        </w:rPr>
        <w:t>.</w:t>
      </w:r>
      <w:r w:rsidR="001E6E93" w:rsidRPr="00595B91">
        <w:rPr>
          <w:rFonts w:ascii="inherit" w:eastAsia="Times New Roman" w:hAnsi="inherit" w:cs="Times New Roman"/>
          <w:color w:val="000000"/>
          <w:sz w:val="24"/>
          <w:szCs w:val="24"/>
          <w:lang w:val="lv-LV"/>
        </w:rPr>
        <w:t xml:space="preserve"> </w:t>
      </w:r>
    </w:p>
    <w:p w14:paraId="6264FC5D" w14:textId="77777777" w:rsidR="00DD6ACE" w:rsidRPr="00595B91" w:rsidRDefault="001E6E93" w:rsidP="00D54E61">
      <w:pPr>
        <w:pStyle w:val="ListParagraph"/>
        <w:numPr>
          <w:ilvl w:val="0"/>
          <w:numId w:val="2"/>
        </w:numPr>
        <w:jc w:val="both"/>
        <w:rPr>
          <w:rFonts w:ascii="inherit" w:eastAsia="Times New Roman" w:hAnsi="inherit" w:cs="Times New Roman"/>
          <w:color w:val="000000"/>
          <w:sz w:val="24"/>
          <w:szCs w:val="24"/>
          <w:lang w:val="lv-LV"/>
        </w:rPr>
      </w:pPr>
      <w:r w:rsidRPr="00595B91">
        <w:rPr>
          <w:rFonts w:ascii="inherit" w:eastAsia="Times New Roman" w:hAnsi="inherit" w:cs="Times New Roman"/>
          <w:color w:val="000000"/>
          <w:sz w:val="24"/>
          <w:szCs w:val="24"/>
          <w:lang w:val="lv-LV"/>
        </w:rPr>
        <w:t>MKN 22.15. apakšpunkts nosaka, ka finansējuma saņēm</w:t>
      </w:r>
      <w:r w:rsidR="00962F71" w:rsidRPr="00595B91">
        <w:rPr>
          <w:rFonts w:ascii="inherit" w:eastAsia="Times New Roman" w:hAnsi="inherit" w:cs="Times New Roman"/>
          <w:color w:val="000000"/>
          <w:sz w:val="24"/>
          <w:szCs w:val="24"/>
          <w:lang w:val="lv-LV"/>
        </w:rPr>
        <w:t>ējs nodrošina “</w:t>
      </w:r>
      <w:r w:rsidRPr="00595B91">
        <w:rPr>
          <w:rFonts w:ascii="inherit" w:eastAsia="Times New Roman" w:hAnsi="inherit" w:cs="Times New Roman"/>
          <w:color w:val="000000"/>
          <w:sz w:val="24"/>
          <w:szCs w:val="24"/>
          <w:lang w:val="lv-LV"/>
        </w:rPr>
        <w:t>peļņas un zaudējumu aprēķinu iesniegšanu reizi gadā saistībā ar 2.4.1.2.i. investīcijas atbalsta finansēto tīklu un atmaksāt peļņu, kas pārsniedz 13% slieksni, atbalsta sniedzējam</w:t>
      </w:r>
      <w:r w:rsidR="00962F71" w:rsidRPr="00595B91">
        <w:rPr>
          <w:rFonts w:ascii="inherit" w:eastAsia="Times New Roman" w:hAnsi="inherit" w:cs="Times New Roman"/>
          <w:color w:val="000000"/>
          <w:sz w:val="24"/>
          <w:szCs w:val="24"/>
          <w:lang w:val="lv-LV"/>
        </w:rPr>
        <w:t>”.</w:t>
      </w:r>
      <w:r w:rsidR="00A4527D" w:rsidRPr="00595B91">
        <w:rPr>
          <w:rFonts w:ascii="inherit" w:eastAsia="Times New Roman" w:hAnsi="inherit" w:cs="Times New Roman"/>
          <w:color w:val="000000"/>
          <w:sz w:val="24"/>
          <w:szCs w:val="24"/>
          <w:lang w:val="lv-LV"/>
        </w:rPr>
        <w:t xml:space="preserve"> </w:t>
      </w:r>
    </w:p>
    <w:p w14:paraId="6AC4C22E" w14:textId="38D1C450" w:rsidR="00E10125" w:rsidRPr="00595B91" w:rsidRDefault="0096193D" w:rsidP="00D54E61">
      <w:pPr>
        <w:pStyle w:val="ListParagraph"/>
        <w:numPr>
          <w:ilvl w:val="0"/>
          <w:numId w:val="2"/>
        </w:numPr>
        <w:jc w:val="both"/>
        <w:rPr>
          <w:rFonts w:ascii="inherit" w:eastAsia="Times New Roman" w:hAnsi="inherit" w:cs="Times New Roman"/>
          <w:color w:val="000000"/>
          <w:sz w:val="24"/>
          <w:szCs w:val="24"/>
          <w:lang w:val="lv-LV"/>
        </w:rPr>
      </w:pPr>
      <w:r w:rsidRPr="00595B91">
        <w:rPr>
          <w:rFonts w:ascii="inherit" w:eastAsia="Times New Roman" w:hAnsi="inherit" w:cs="Times New Roman"/>
          <w:color w:val="000000"/>
          <w:sz w:val="24"/>
          <w:szCs w:val="24"/>
          <w:lang w:val="lv-LV"/>
        </w:rPr>
        <w:t>MKN 22.16. apakšpunkts nosaka, ka</w:t>
      </w:r>
      <w:r w:rsidR="0037241B" w:rsidRPr="00595B91">
        <w:rPr>
          <w:rFonts w:ascii="inherit" w:eastAsia="Times New Roman" w:hAnsi="inherit" w:cs="Times New Roman"/>
          <w:color w:val="000000"/>
          <w:sz w:val="24"/>
          <w:szCs w:val="24"/>
          <w:lang w:val="lv-LV"/>
        </w:rPr>
        <w:t xml:space="preserve"> finansējuma saņēmējs nodrošina</w:t>
      </w:r>
      <w:r w:rsidRPr="00595B91">
        <w:rPr>
          <w:rFonts w:ascii="inherit" w:eastAsia="Times New Roman" w:hAnsi="inherit" w:cs="Times New Roman"/>
          <w:color w:val="000000"/>
          <w:sz w:val="24"/>
          <w:szCs w:val="24"/>
          <w:lang w:val="lv-LV"/>
        </w:rPr>
        <w:t xml:space="preserve"> “vairumtirdzniecības piekļuves pakalpojumu tarifu projekta un tā aprēķināšanas metodikas projekta iesniegšanu nozares ministrijai vismaz reizi trijos gados”</w:t>
      </w:r>
      <w:r w:rsidR="00505684" w:rsidRPr="00595B91">
        <w:rPr>
          <w:rFonts w:ascii="inherit" w:eastAsia="Times New Roman" w:hAnsi="inherit" w:cs="Times New Roman"/>
          <w:color w:val="000000"/>
          <w:sz w:val="24"/>
          <w:szCs w:val="24"/>
          <w:lang w:val="lv-LV"/>
        </w:rPr>
        <w:t>.</w:t>
      </w:r>
    </w:p>
    <w:sectPr w:rsidR="00E10125" w:rsidRPr="00595B91" w:rsidSect="001124D7">
      <w:headerReference w:type="default" r:id="rId16"/>
      <w:pgSz w:w="12240" w:h="15840"/>
      <w:pgMar w:top="709"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28F3A" w14:textId="77777777" w:rsidR="000E5F41" w:rsidRDefault="000E5F41" w:rsidP="00592389">
      <w:pPr>
        <w:spacing w:after="0" w:line="240" w:lineRule="auto"/>
      </w:pPr>
      <w:r>
        <w:separator/>
      </w:r>
    </w:p>
  </w:endnote>
  <w:endnote w:type="continuationSeparator" w:id="0">
    <w:p w14:paraId="7A284ECF" w14:textId="77777777" w:rsidR="000E5F41" w:rsidRDefault="000E5F41" w:rsidP="00592389">
      <w:pPr>
        <w:spacing w:after="0" w:line="240" w:lineRule="auto"/>
      </w:pPr>
      <w:r>
        <w:continuationSeparator/>
      </w:r>
    </w:p>
  </w:endnote>
  <w:endnote w:type="continuationNotice" w:id="1">
    <w:p w14:paraId="61C83C81" w14:textId="77777777" w:rsidR="000E5F41" w:rsidRDefault="000E5F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B608B" w14:textId="77777777" w:rsidR="000E5F41" w:rsidRDefault="000E5F41" w:rsidP="00592389">
      <w:pPr>
        <w:spacing w:after="0" w:line="240" w:lineRule="auto"/>
      </w:pPr>
      <w:r>
        <w:separator/>
      </w:r>
    </w:p>
  </w:footnote>
  <w:footnote w:type="continuationSeparator" w:id="0">
    <w:p w14:paraId="54D63A31" w14:textId="77777777" w:rsidR="000E5F41" w:rsidRDefault="000E5F41" w:rsidP="00592389">
      <w:pPr>
        <w:spacing w:after="0" w:line="240" w:lineRule="auto"/>
      </w:pPr>
      <w:r>
        <w:continuationSeparator/>
      </w:r>
    </w:p>
  </w:footnote>
  <w:footnote w:type="continuationNotice" w:id="1">
    <w:p w14:paraId="7C916317" w14:textId="77777777" w:rsidR="000E5F41" w:rsidRDefault="000E5F41">
      <w:pPr>
        <w:spacing w:after="0" w:line="240" w:lineRule="auto"/>
      </w:pPr>
    </w:p>
  </w:footnote>
  <w:footnote w:id="2">
    <w:p w14:paraId="16D5BD26" w14:textId="5871FC12" w:rsidR="00214BEA" w:rsidRDefault="00214BEA">
      <w:pPr>
        <w:pStyle w:val="FootnoteText"/>
      </w:pPr>
      <w:r>
        <w:rPr>
          <w:rStyle w:val="FootnoteReference"/>
        </w:rPr>
        <w:footnoteRef/>
      </w:r>
      <w:r>
        <w:t xml:space="preserve"> </w:t>
      </w:r>
      <w:r w:rsidR="00523109">
        <w:t xml:space="preserve">Pieejams </w:t>
      </w:r>
      <w:r w:rsidR="00523109">
        <w:rPr>
          <w:lang w:val="lv-LV"/>
        </w:rPr>
        <w:t xml:space="preserve">šeit: </w:t>
      </w:r>
      <w:hyperlink r:id="rId1" w:history="1">
        <w:r w:rsidR="00E35A78" w:rsidRPr="00E35A78">
          <w:rPr>
            <w:rStyle w:val="Hyperlink"/>
            <w:color w:val="000000" w:themeColor="text1"/>
          </w:rPr>
          <w:t>https://likumi.lv/ta/id/335708-piekluves-pamatpiedavajuma-noteikumi</w:t>
        </w:r>
      </w:hyperlink>
      <w:r w:rsidR="00E35A78" w:rsidRPr="00E35A78">
        <w:rPr>
          <w:color w:val="000000" w:themeColor="text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4373282"/>
      <w:docPartObj>
        <w:docPartGallery w:val="Page Numbers (Top of Page)"/>
        <w:docPartUnique/>
      </w:docPartObj>
    </w:sdtPr>
    <w:sdtEndPr>
      <w:rPr>
        <w:rFonts w:ascii="Times New Roman" w:hAnsi="Times New Roman" w:cs="Times New Roman"/>
        <w:noProof/>
      </w:rPr>
    </w:sdtEndPr>
    <w:sdtContent>
      <w:p w14:paraId="30F09ABD" w14:textId="18F22C83" w:rsidR="001124D7" w:rsidRPr="001124D7" w:rsidRDefault="001124D7">
        <w:pPr>
          <w:pStyle w:val="Header"/>
          <w:jc w:val="center"/>
          <w:rPr>
            <w:rFonts w:ascii="Times New Roman" w:hAnsi="Times New Roman" w:cs="Times New Roman"/>
          </w:rPr>
        </w:pPr>
        <w:r w:rsidRPr="001124D7">
          <w:rPr>
            <w:rFonts w:ascii="Times New Roman" w:hAnsi="Times New Roman" w:cs="Times New Roman"/>
          </w:rPr>
          <w:fldChar w:fldCharType="begin"/>
        </w:r>
        <w:r w:rsidRPr="001124D7">
          <w:rPr>
            <w:rFonts w:ascii="Times New Roman" w:hAnsi="Times New Roman" w:cs="Times New Roman"/>
          </w:rPr>
          <w:instrText xml:space="preserve"> PAGE   \* MERGEFORMAT </w:instrText>
        </w:r>
        <w:r w:rsidRPr="001124D7">
          <w:rPr>
            <w:rFonts w:ascii="Times New Roman" w:hAnsi="Times New Roman" w:cs="Times New Roman"/>
          </w:rPr>
          <w:fldChar w:fldCharType="separate"/>
        </w:r>
        <w:r w:rsidRPr="001124D7">
          <w:rPr>
            <w:rFonts w:ascii="Times New Roman" w:hAnsi="Times New Roman" w:cs="Times New Roman"/>
            <w:noProof/>
          </w:rPr>
          <w:t>2</w:t>
        </w:r>
        <w:r w:rsidRPr="001124D7">
          <w:rPr>
            <w:rFonts w:ascii="Times New Roman" w:hAnsi="Times New Roman" w:cs="Times New Roman"/>
            <w:noProof/>
          </w:rPr>
          <w:fldChar w:fldCharType="end"/>
        </w:r>
      </w:p>
    </w:sdtContent>
  </w:sdt>
  <w:p w14:paraId="7153685E" w14:textId="77777777" w:rsidR="001124D7" w:rsidRDefault="001124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22864"/>
    <w:multiLevelType w:val="multilevel"/>
    <w:tmpl w:val="7AB027B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8055BE3"/>
    <w:multiLevelType w:val="hybridMultilevel"/>
    <w:tmpl w:val="A6EAF6D6"/>
    <w:lvl w:ilvl="0" w:tplc="BFBAB40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1523344">
    <w:abstractNumId w:val="0"/>
  </w:num>
  <w:num w:numId="2" w16cid:durableId="12866977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CE5EF15"/>
    <w:rsid w:val="00012125"/>
    <w:rsid w:val="000171D3"/>
    <w:rsid w:val="00030F39"/>
    <w:rsid w:val="00045D86"/>
    <w:rsid w:val="00060889"/>
    <w:rsid w:val="00070FD5"/>
    <w:rsid w:val="00084394"/>
    <w:rsid w:val="00097580"/>
    <w:rsid w:val="000A5536"/>
    <w:rsid w:val="000A7AC6"/>
    <w:rsid w:val="000B261A"/>
    <w:rsid w:val="000B44B5"/>
    <w:rsid w:val="000B7D8B"/>
    <w:rsid w:val="000C171C"/>
    <w:rsid w:val="000C4E54"/>
    <w:rsid w:val="000D0ACA"/>
    <w:rsid w:val="000E391A"/>
    <w:rsid w:val="000E5F41"/>
    <w:rsid w:val="000F0FEC"/>
    <w:rsid w:val="00103FA6"/>
    <w:rsid w:val="001124D7"/>
    <w:rsid w:val="00112BFF"/>
    <w:rsid w:val="00112C88"/>
    <w:rsid w:val="00123BA9"/>
    <w:rsid w:val="001247BF"/>
    <w:rsid w:val="00131637"/>
    <w:rsid w:val="00134FA6"/>
    <w:rsid w:val="001422CE"/>
    <w:rsid w:val="00142C0B"/>
    <w:rsid w:val="00162FA2"/>
    <w:rsid w:val="00174C5B"/>
    <w:rsid w:val="0018639C"/>
    <w:rsid w:val="00193B14"/>
    <w:rsid w:val="001A222C"/>
    <w:rsid w:val="001A2FDD"/>
    <w:rsid w:val="001A3D8D"/>
    <w:rsid w:val="001A628B"/>
    <w:rsid w:val="001B6574"/>
    <w:rsid w:val="001C0AC4"/>
    <w:rsid w:val="001C12F8"/>
    <w:rsid w:val="001D6C11"/>
    <w:rsid w:val="001E32E9"/>
    <w:rsid w:val="001E6E93"/>
    <w:rsid w:val="001F7BE3"/>
    <w:rsid w:val="00203362"/>
    <w:rsid w:val="00214BEA"/>
    <w:rsid w:val="002175BB"/>
    <w:rsid w:val="002212EF"/>
    <w:rsid w:val="00221933"/>
    <w:rsid w:val="00236670"/>
    <w:rsid w:val="002456CF"/>
    <w:rsid w:val="00246077"/>
    <w:rsid w:val="00257ACA"/>
    <w:rsid w:val="00266547"/>
    <w:rsid w:val="00275CA0"/>
    <w:rsid w:val="00294ED9"/>
    <w:rsid w:val="002A1EF9"/>
    <w:rsid w:val="002A76A4"/>
    <w:rsid w:val="002B4CD4"/>
    <w:rsid w:val="002B5100"/>
    <w:rsid w:val="002B7440"/>
    <w:rsid w:val="002D6219"/>
    <w:rsid w:val="002D68EA"/>
    <w:rsid w:val="002F2087"/>
    <w:rsid w:val="002F2DD9"/>
    <w:rsid w:val="00304139"/>
    <w:rsid w:val="00310F82"/>
    <w:rsid w:val="00311D78"/>
    <w:rsid w:val="00313297"/>
    <w:rsid w:val="00353066"/>
    <w:rsid w:val="0037241B"/>
    <w:rsid w:val="003815B6"/>
    <w:rsid w:val="003939C0"/>
    <w:rsid w:val="00397761"/>
    <w:rsid w:val="00397E92"/>
    <w:rsid w:val="003A7C6E"/>
    <w:rsid w:val="003B20E0"/>
    <w:rsid w:val="003B40DC"/>
    <w:rsid w:val="003C0343"/>
    <w:rsid w:val="003C7BAB"/>
    <w:rsid w:val="003D42C2"/>
    <w:rsid w:val="003D4DAD"/>
    <w:rsid w:val="003F3B25"/>
    <w:rsid w:val="003F67F1"/>
    <w:rsid w:val="003F7EA0"/>
    <w:rsid w:val="0040027B"/>
    <w:rsid w:val="004056E1"/>
    <w:rsid w:val="0041054F"/>
    <w:rsid w:val="00415010"/>
    <w:rsid w:val="00416AA6"/>
    <w:rsid w:val="00440274"/>
    <w:rsid w:val="00450358"/>
    <w:rsid w:val="004524F8"/>
    <w:rsid w:val="00461B33"/>
    <w:rsid w:val="0048218D"/>
    <w:rsid w:val="004873F3"/>
    <w:rsid w:val="00494823"/>
    <w:rsid w:val="00494D62"/>
    <w:rsid w:val="004D5DB9"/>
    <w:rsid w:val="004E515A"/>
    <w:rsid w:val="00505684"/>
    <w:rsid w:val="0051403E"/>
    <w:rsid w:val="0052111F"/>
    <w:rsid w:val="00522FDF"/>
    <w:rsid w:val="00523109"/>
    <w:rsid w:val="00524E8F"/>
    <w:rsid w:val="00530EEA"/>
    <w:rsid w:val="005432AA"/>
    <w:rsid w:val="00554DD0"/>
    <w:rsid w:val="0057124C"/>
    <w:rsid w:val="00587107"/>
    <w:rsid w:val="00592389"/>
    <w:rsid w:val="00595B91"/>
    <w:rsid w:val="005B1BD5"/>
    <w:rsid w:val="005B3AB9"/>
    <w:rsid w:val="005C3311"/>
    <w:rsid w:val="005E0ECA"/>
    <w:rsid w:val="005E1788"/>
    <w:rsid w:val="005F00C2"/>
    <w:rsid w:val="005F175F"/>
    <w:rsid w:val="00634376"/>
    <w:rsid w:val="00644D54"/>
    <w:rsid w:val="00651508"/>
    <w:rsid w:val="00656D94"/>
    <w:rsid w:val="006577F8"/>
    <w:rsid w:val="006661C5"/>
    <w:rsid w:val="00695695"/>
    <w:rsid w:val="006A0D05"/>
    <w:rsid w:val="006B77A6"/>
    <w:rsid w:val="006C06DB"/>
    <w:rsid w:val="006C31C5"/>
    <w:rsid w:val="006D6921"/>
    <w:rsid w:val="006E3871"/>
    <w:rsid w:val="006F319D"/>
    <w:rsid w:val="006F55F0"/>
    <w:rsid w:val="006F5745"/>
    <w:rsid w:val="006F58B7"/>
    <w:rsid w:val="0070330D"/>
    <w:rsid w:val="00706D65"/>
    <w:rsid w:val="007209B4"/>
    <w:rsid w:val="0072106B"/>
    <w:rsid w:val="00723857"/>
    <w:rsid w:val="007412C1"/>
    <w:rsid w:val="00754A86"/>
    <w:rsid w:val="00761409"/>
    <w:rsid w:val="007673BC"/>
    <w:rsid w:val="00771B39"/>
    <w:rsid w:val="00773907"/>
    <w:rsid w:val="00773AC8"/>
    <w:rsid w:val="007806C8"/>
    <w:rsid w:val="00786DFE"/>
    <w:rsid w:val="007908DD"/>
    <w:rsid w:val="00791403"/>
    <w:rsid w:val="0079415E"/>
    <w:rsid w:val="007B7EEC"/>
    <w:rsid w:val="007D0992"/>
    <w:rsid w:val="007D0F5A"/>
    <w:rsid w:val="007E6CCA"/>
    <w:rsid w:val="007F1C28"/>
    <w:rsid w:val="0080345A"/>
    <w:rsid w:val="008128B8"/>
    <w:rsid w:val="008142EA"/>
    <w:rsid w:val="0082450A"/>
    <w:rsid w:val="00830062"/>
    <w:rsid w:val="0083058F"/>
    <w:rsid w:val="00833774"/>
    <w:rsid w:val="00841FA4"/>
    <w:rsid w:val="00843C6E"/>
    <w:rsid w:val="0085153F"/>
    <w:rsid w:val="00855DCD"/>
    <w:rsid w:val="00880F90"/>
    <w:rsid w:val="00881544"/>
    <w:rsid w:val="008B0594"/>
    <w:rsid w:val="008D32F7"/>
    <w:rsid w:val="008F40D6"/>
    <w:rsid w:val="00906B4A"/>
    <w:rsid w:val="009175A1"/>
    <w:rsid w:val="009273B5"/>
    <w:rsid w:val="00951541"/>
    <w:rsid w:val="0096013D"/>
    <w:rsid w:val="009608E6"/>
    <w:rsid w:val="00961930"/>
    <w:rsid w:val="0096193D"/>
    <w:rsid w:val="00962F71"/>
    <w:rsid w:val="00975F67"/>
    <w:rsid w:val="00977867"/>
    <w:rsid w:val="009968FF"/>
    <w:rsid w:val="009B63D3"/>
    <w:rsid w:val="009D6057"/>
    <w:rsid w:val="009E0C1B"/>
    <w:rsid w:val="009E52C5"/>
    <w:rsid w:val="009F5EC1"/>
    <w:rsid w:val="00A16A67"/>
    <w:rsid w:val="00A22D15"/>
    <w:rsid w:val="00A30FAE"/>
    <w:rsid w:val="00A3778B"/>
    <w:rsid w:val="00A41CB4"/>
    <w:rsid w:val="00A4527D"/>
    <w:rsid w:val="00A46305"/>
    <w:rsid w:val="00A47E1B"/>
    <w:rsid w:val="00A53438"/>
    <w:rsid w:val="00A55388"/>
    <w:rsid w:val="00A67864"/>
    <w:rsid w:val="00A81E29"/>
    <w:rsid w:val="00A84F32"/>
    <w:rsid w:val="00A92191"/>
    <w:rsid w:val="00A92A6A"/>
    <w:rsid w:val="00A9604C"/>
    <w:rsid w:val="00AA06F9"/>
    <w:rsid w:val="00AA0846"/>
    <w:rsid w:val="00AA44C5"/>
    <w:rsid w:val="00AB117B"/>
    <w:rsid w:val="00AD4651"/>
    <w:rsid w:val="00B01373"/>
    <w:rsid w:val="00B06E1A"/>
    <w:rsid w:val="00B203CC"/>
    <w:rsid w:val="00B23CC0"/>
    <w:rsid w:val="00B247A9"/>
    <w:rsid w:val="00B33B2C"/>
    <w:rsid w:val="00B406AA"/>
    <w:rsid w:val="00B43601"/>
    <w:rsid w:val="00B44D6D"/>
    <w:rsid w:val="00B46F34"/>
    <w:rsid w:val="00B50887"/>
    <w:rsid w:val="00B60B4D"/>
    <w:rsid w:val="00B641C0"/>
    <w:rsid w:val="00B70719"/>
    <w:rsid w:val="00B721E9"/>
    <w:rsid w:val="00B756B3"/>
    <w:rsid w:val="00B773EE"/>
    <w:rsid w:val="00B87575"/>
    <w:rsid w:val="00B964CB"/>
    <w:rsid w:val="00BA2FF8"/>
    <w:rsid w:val="00BA5BD3"/>
    <w:rsid w:val="00BA5D28"/>
    <w:rsid w:val="00BB3823"/>
    <w:rsid w:val="00BB6719"/>
    <w:rsid w:val="00BD5D86"/>
    <w:rsid w:val="00BD61F0"/>
    <w:rsid w:val="00C062D1"/>
    <w:rsid w:val="00C16BBE"/>
    <w:rsid w:val="00C218DD"/>
    <w:rsid w:val="00C33178"/>
    <w:rsid w:val="00C331E4"/>
    <w:rsid w:val="00C34A07"/>
    <w:rsid w:val="00C34F8A"/>
    <w:rsid w:val="00C61804"/>
    <w:rsid w:val="00C754A6"/>
    <w:rsid w:val="00C943B2"/>
    <w:rsid w:val="00CD1696"/>
    <w:rsid w:val="00CD5012"/>
    <w:rsid w:val="00CF11CD"/>
    <w:rsid w:val="00D03921"/>
    <w:rsid w:val="00D06CDC"/>
    <w:rsid w:val="00D157E5"/>
    <w:rsid w:val="00D341D4"/>
    <w:rsid w:val="00D3691A"/>
    <w:rsid w:val="00D469EF"/>
    <w:rsid w:val="00D5287B"/>
    <w:rsid w:val="00D54E61"/>
    <w:rsid w:val="00D56E96"/>
    <w:rsid w:val="00D57964"/>
    <w:rsid w:val="00D57FCD"/>
    <w:rsid w:val="00D601BD"/>
    <w:rsid w:val="00D60CB1"/>
    <w:rsid w:val="00D64282"/>
    <w:rsid w:val="00D64B6C"/>
    <w:rsid w:val="00D73EBE"/>
    <w:rsid w:val="00D80FD3"/>
    <w:rsid w:val="00D8772E"/>
    <w:rsid w:val="00D92B4F"/>
    <w:rsid w:val="00D95C79"/>
    <w:rsid w:val="00DA7D28"/>
    <w:rsid w:val="00DC5F14"/>
    <w:rsid w:val="00DC7152"/>
    <w:rsid w:val="00DD0BBA"/>
    <w:rsid w:val="00DD6ACE"/>
    <w:rsid w:val="00DD72B2"/>
    <w:rsid w:val="00DF0AE7"/>
    <w:rsid w:val="00DF1832"/>
    <w:rsid w:val="00DF6B5C"/>
    <w:rsid w:val="00E012F6"/>
    <w:rsid w:val="00E021D0"/>
    <w:rsid w:val="00E10125"/>
    <w:rsid w:val="00E2428C"/>
    <w:rsid w:val="00E270FD"/>
    <w:rsid w:val="00E35A78"/>
    <w:rsid w:val="00E365BA"/>
    <w:rsid w:val="00E460CA"/>
    <w:rsid w:val="00E6139D"/>
    <w:rsid w:val="00E6472F"/>
    <w:rsid w:val="00E74048"/>
    <w:rsid w:val="00E74A35"/>
    <w:rsid w:val="00E864D6"/>
    <w:rsid w:val="00E87C6C"/>
    <w:rsid w:val="00E90D4F"/>
    <w:rsid w:val="00EA3E62"/>
    <w:rsid w:val="00EA41E2"/>
    <w:rsid w:val="00EA70DA"/>
    <w:rsid w:val="00EC4D12"/>
    <w:rsid w:val="00ED1CBD"/>
    <w:rsid w:val="00ED2116"/>
    <w:rsid w:val="00ED329B"/>
    <w:rsid w:val="00ED5F79"/>
    <w:rsid w:val="00ED750D"/>
    <w:rsid w:val="00EE57A3"/>
    <w:rsid w:val="00EF5F51"/>
    <w:rsid w:val="00F2017A"/>
    <w:rsid w:val="00F20769"/>
    <w:rsid w:val="00F23ECE"/>
    <w:rsid w:val="00F42DFD"/>
    <w:rsid w:val="00F46E77"/>
    <w:rsid w:val="00F55CFC"/>
    <w:rsid w:val="00F747CB"/>
    <w:rsid w:val="00F842BC"/>
    <w:rsid w:val="00F9195F"/>
    <w:rsid w:val="00FA5CFE"/>
    <w:rsid w:val="00FA6125"/>
    <w:rsid w:val="00FA7D24"/>
    <w:rsid w:val="00FB117B"/>
    <w:rsid w:val="00FC180F"/>
    <w:rsid w:val="00FC6DF5"/>
    <w:rsid w:val="00FD7123"/>
    <w:rsid w:val="00FE1A89"/>
    <w:rsid w:val="00FE7EE1"/>
    <w:rsid w:val="00FF4423"/>
    <w:rsid w:val="00FF5427"/>
    <w:rsid w:val="3CE5E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5EF15"/>
  <w15:chartTrackingRefBased/>
  <w15:docId w15:val="{7B2B078F-A6E7-4EF6-8DA5-5B97296BF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j-ti-art">
    <w:name w:val="oj-ti-art"/>
    <w:basedOn w:val="Normal"/>
    <w:rsid w:val="00723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j-sti-art">
    <w:name w:val="oj-sti-art"/>
    <w:basedOn w:val="Normal"/>
    <w:rsid w:val="007238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j-normal">
    <w:name w:val="oj-normal"/>
    <w:basedOn w:val="Normal"/>
    <w:rsid w:val="007238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j-italic">
    <w:name w:val="oj-italic"/>
    <w:basedOn w:val="DefaultParagraphFont"/>
    <w:rsid w:val="00723857"/>
  </w:style>
  <w:style w:type="paragraph" w:styleId="ListParagraph">
    <w:name w:val="List Paragraph"/>
    <w:basedOn w:val="Normal"/>
    <w:uiPriority w:val="34"/>
    <w:qFormat/>
    <w:rsid w:val="000E391A"/>
    <w:pPr>
      <w:ind w:left="720"/>
      <w:contextualSpacing/>
    </w:pPr>
  </w:style>
  <w:style w:type="character" w:styleId="Hyperlink">
    <w:name w:val="Hyperlink"/>
    <w:basedOn w:val="DefaultParagraphFont"/>
    <w:uiPriority w:val="99"/>
    <w:unhideWhenUsed/>
    <w:rsid w:val="00D8772E"/>
    <w:rPr>
      <w:color w:val="0563C1" w:themeColor="hyperlink"/>
      <w:u w:val="single"/>
    </w:rPr>
  </w:style>
  <w:style w:type="character" w:styleId="UnresolvedMention">
    <w:name w:val="Unresolved Mention"/>
    <w:basedOn w:val="DefaultParagraphFont"/>
    <w:uiPriority w:val="99"/>
    <w:semiHidden/>
    <w:unhideWhenUsed/>
    <w:rsid w:val="00D8772E"/>
    <w:rPr>
      <w:color w:val="605E5C"/>
      <w:shd w:val="clear" w:color="auto" w:fill="E1DFDD"/>
    </w:rPr>
  </w:style>
  <w:style w:type="character" w:styleId="CommentReference">
    <w:name w:val="annotation reference"/>
    <w:basedOn w:val="DefaultParagraphFont"/>
    <w:uiPriority w:val="99"/>
    <w:semiHidden/>
    <w:unhideWhenUsed/>
    <w:rsid w:val="00D8772E"/>
    <w:rPr>
      <w:sz w:val="16"/>
      <w:szCs w:val="16"/>
    </w:rPr>
  </w:style>
  <w:style w:type="paragraph" w:styleId="CommentText">
    <w:name w:val="annotation text"/>
    <w:basedOn w:val="Normal"/>
    <w:link w:val="CommentTextChar"/>
    <w:uiPriority w:val="99"/>
    <w:unhideWhenUsed/>
    <w:rsid w:val="00D8772E"/>
    <w:pPr>
      <w:spacing w:line="240" w:lineRule="auto"/>
    </w:pPr>
    <w:rPr>
      <w:sz w:val="20"/>
      <w:szCs w:val="20"/>
    </w:rPr>
  </w:style>
  <w:style w:type="character" w:customStyle="1" w:styleId="CommentTextChar">
    <w:name w:val="Comment Text Char"/>
    <w:basedOn w:val="DefaultParagraphFont"/>
    <w:link w:val="CommentText"/>
    <w:uiPriority w:val="99"/>
    <w:rsid w:val="00D8772E"/>
    <w:rPr>
      <w:sz w:val="20"/>
      <w:szCs w:val="20"/>
    </w:rPr>
  </w:style>
  <w:style w:type="paragraph" w:styleId="CommentSubject">
    <w:name w:val="annotation subject"/>
    <w:basedOn w:val="CommentText"/>
    <w:next w:val="CommentText"/>
    <w:link w:val="CommentSubjectChar"/>
    <w:uiPriority w:val="99"/>
    <w:semiHidden/>
    <w:unhideWhenUsed/>
    <w:rsid w:val="00D8772E"/>
    <w:rPr>
      <w:b/>
      <w:bCs/>
    </w:rPr>
  </w:style>
  <w:style w:type="character" w:customStyle="1" w:styleId="CommentSubjectChar">
    <w:name w:val="Comment Subject Char"/>
    <w:basedOn w:val="CommentTextChar"/>
    <w:link w:val="CommentSubject"/>
    <w:uiPriority w:val="99"/>
    <w:semiHidden/>
    <w:rsid w:val="00D8772E"/>
    <w:rPr>
      <w:b/>
      <w:bCs/>
      <w:sz w:val="20"/>
      <w:szCs w:val="20"/>
    </w:rPr>
  </w:style>
  <w:style w:type="character" w:styleId="FollowedHyperlink">
    <w:name w:val="FollowedHyperlink"/>
    <w:basedOn w:val="DefaultParagraphFont"/>
    <w:uiPriority w:val="99"/>
    <w:semiHidden/>
    <w:unhideWhenUsed/>
    <w:rsid w:val="00F42DFD"/>
    <w:rPr>
      <w:color w:val="954F72" w:themeColor="followedHyperlink"/>
      <w:u w:val="single"/>
    </w:rPr>
  </w:style>
  <w:style w:type="paragraph" w:styleId="Header">
    <w:name w:val="header"/>
    <w:basedOn w:val="Normal"/>
    <w:link w:val="HeaderChar"/>
    <w:uiPriority w:val="99"/>
    <w:unhideWhenUsed/>
    <w:rsid w:val="005923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2389"/>
  </w:style>
  <w:style w:type="paragraph" w:styleId="Footer">
    <w:name w:val="footer"/>
    <w:basedOn w:val="Normal"/>
    <w:link w:val="FooterChar"/>
    <w:uiPriority w:val="99"/>
    <w:unhideWhenUsed/>
    <w:rsid w:val="005923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2389"/>
  </w:style>
  <w:style w:type="paragraph" w:styleId="FootnoteText">
    <w:name w:val="footnote text"/>
    <w:basedOn w:val="Normal"/>
    <w:link w:val="FootnoteTextChar"/>
    <w:uiPriority w:val="99"/>
    <w:semiHidden/>
    <w:unhideWhenUsed/>
    <w:rsid w:val="00214B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4BEA"/>
    <w:rPr>
      <w:sz w:val="20"/>
      <w:szCs w:val="20"/>
    </w:rPr>
  </w:style>
  <w:style w:type="character" w:styleId="FootnoteReference">
    <w:name w:val="footnote reference"/>
    <w:basedOn w:val="DefaultParagraphFont"/>
    <w:uiPriority w:val="99"/>
    <w:semiHidden/>
    <w:unhideWhenUsed/>
    <w:rsid w:val="00214B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216158">
      <w:bodyDiv w:val="1"/>
      <w:marLeft w:val="0"/>
      <w:marRight w:val="0"/>
      <w:marTop w:val="0"/>
      <w:marBottom w:val="0"/>
      <w:divBdr>
        <w:top w:val="none" w:sz="0" w:space="0" w:color="auto"/>
        <w:left w:val="none" w:sz="0" w:space="0" w:color="auto"/>
        <w:bottom w:val="none" w:sz="0" w:space="0" w:color="auto"/>
        <w:right w:val="none" w:sz="0" w:space="0" w:color="auto"/>
      </w:divBdr>
      <w:divsChild>
        <w:div w:id="1616860478">
          <w:marLeft w:val="0"/>
          <w:marRight w:val="0"/>
          <w:marTop w:val="0"/>
          <w:marBottom w:val="0"/>
          <w:divBdr>
            <w:top w:val="none" w:sz="0" w:space="0" w:color="auto"/>
            <w:left w:val="none" w:sz="0" w:space="0" w:color="auto"/>
            <w:bottom w:val="none" w:sz="0" w:space="0" w:color="auto"/>
            <w:right w:val="none" w:sz="0" w:space="0" w:color="auto"/>
          </w:divBdr>
          <w:divsChild>
            <w:div w:id="1969123757">
              <w:marLeft w:val="0"/>
              <w:marRight w:val="0"/>
              <w:marTop w:val="0"/>
              <w:marBottom w:val="0"/>
              <w:divBdr>
                <w:top w:val="none" w:sz="0" w:space="0" w:color="auto"/>
                <w:left w:val="none" w:sz="0" w:space="0" w:color="auto"/>
                <w:bottom w:val="none" w:sz="0" w:space="0" w:color="auto"/>
                <w:right w:val="none" w:sz="0" w:space="0" w:color="auto"/>
              </w:divBdr>
              <w:divsChild>
                <w:div w:id="1779371878">
                  <w:marLeft w:val="0"/>
                  <w:marRight w:val="0"/>
                  <w:marTop w:val="120"/>
                  <w:marBottom w:val="0"/>
                  <w:divBdr>
                    <w:top w:val="none" w:sz="0" w:space="0" w:color="auto"/>
                    <w:left w:val="none" w:sz="0" w:space="0" w:color="auto"/>
                    <w:bottom w:val="none" w:sz="0" w:space="0" w:color="auto"/>
                    <w:right w:val="none" w:sz="0" w:space="0" w:color="auto"/>
                  </w:divBdr>
                </w:div>
                <w:div w:id="965962132">
                  <w:marLeft w:val="0"/>
                  <w:marRight w:val="0"/>
                  <w:marTop w:val="0"/>
                  <w:marBottom w:val="0"/>
                  <w:divBdr>
                    <w:top w:val="none" w:sz="0" w:space="0" w:color="auto"/>
                    <w:left w:val="none" w:sz="0" w:space="0" w:color="auto"/>
                    <w:bottom w:val="none" w:sz="0" w:space="0" w:color="auto"/>
                    <w:right w:val="none" w:sz="0" w:space="0" w:color="auto"/>
                  </w:divBdr>
                </w:div>
              </w:divsChild>
            </w:div>
            <w:div w:id="1366634305">
              <w:marLeft w:val="0"/>
              <w:marRight w:val="0"/>
              <w:marTop w:val="0"/>
              <w:marBottom w:val="0"/>
              <w:divBdr>
                <w:top w:val="none" w:sz="0" w:space="0" w:color="auto"/>
                <w:left w:val="none" w:sz="0" w:space="0" w:color="auto"/>
                <w:bottom w:val="none" w:sz="0" w:space="0" w:color="auto"/>
                <w:right w:val="none" w:sz="0" w:space="0" w:color="auto"/>
              </w:divBdr>
              <w:divsChild>
                <w:div w:id="371852840">
                  <w:marLeft w:val="0"/>
                  <w:marRight w:val="0"/>
                  <w:marTop w:val="120"/>
                  <w:marBottom w:val="0"/>
                  <w:divBdr>
                    <w:top w:val="none" w:sz="0" w:space="0" w:color="auto"/>
                    <w:left w:val="none" w:sz="0" w:space="0" w:color="auto"/>
                    <w:bottom w:val="none" w:sz="0" w:space="0" w:color="auto"/>
                    <w:right w:val="none" w:sz="0" w:space="0" w:color="auto"/>
                  </w:divBdr>
                </w:div>
                <w:div w:id="63322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638466">
      <w:bodyDiv w:val="1"/>
      <w:marLeft w:val="0"/>
      <w:marRight w:val="0"/>
      <w:marTop w:val="0"/>
      <w:marBottom w:val="0"/>
      <w:divBdr>
        <w:top w:val="none" w:sz="0" w:space="0" w:color="auto"/>
        <w:left w:val="none" w:sz="0" w:space="0" w:color="auto"/>
        <w:bottom w:val="none" w:sz="0" w:space="0" w:color="auto"/>
        <w:right w:val="none" w:sz="0" w:space="0" w:color="auto"/>
      </w:divBdr>
      <w:divsChild>
        <w:div w:id="349189739">
          <w:marLeft w:val="0"/>
          <w:marRight w:val="0"/>
          <w:marTop w:val="0"/>
          <w:marBottom w:val="0"/>
          <w:divBdr>
            <w:top w:val="none" w:sz="0" w:space="0" w:color="auto"/>
            <w:left w:val="none" w:sz="0" w:space="0" w:color="auto"/>
            <w:bottom w:val="none" w:sz="0" w:space="0" w:color="auto"/>
            <w:right w:val="none" w:sz="0" w:space="0" w:color="auto"/>
          </w:divBdr>
        </w:div>
        <w:div w:id="435491558">
          <w:marLeft w:val="0"/>
          <w:marRight w:val="0"/>
          <w:marTop w:val="0"/>
          <w:marBottom w:val="0"/>
          <w:divBdr>
            <w:top w:val="none" w:sz="0" w:space="0" w:color="auto"/>
            <w:left w:val="none" w:sz="0" w:space="0" w:color="auto"/>
            <w:bottom w:val="none" w:sz="0" w:space="0" w:color="auto"/>
            <w:right w:val="none" w:sz="0" w:space="0" w:color="auto"/>
          </w:divBdr>
        </w:div>
        <w:div w:id="478889217">
          <w:marLeft w:val="0"/>
          <w:marRight w:val="0"/>
          <w:marTop w:val="0"/>
          <w:marBottom w:val="0"/>
          <w:divBdr>
            <w:top w:val="none" w:sz="0" w:space="0" w:color="auto"/>
            <w:left w:val="none" w:sz="0" w:space="0" w:color="auto"/>
            <w:bottom w:val="none" w:sz="0" w:space="0" w:color="auto"/>
            <w:right w:val="none" w:sz="0" w:space="0" w:color="auto"/>
          </w:divBdr>
        </w:div>
        <w:div w:id="618683012">
          <w:marLeft w:val="0"/>
          <w:marRight w:val="0"/>
          <w:marTop w:val="0"/>
          <w:marBottom w:val="0"/>
          <w:divBdr>
            <w:top w:val="none" w:sz="0" w:space="0" w:color="auto"/>
            <w:left w:val="none" w:sz="0" w:space="0" w:color="auto"/>
            <w:bottom w:val="none" w:sz="0" w:space="0" w:color="auto"/>
            <w:right w:val="none" w:sz="0" w:space="0" w:color="auto"/>
          </w:divBdr>
        </w:div>
        <w:div w:id="1043015374">
          <w:marLeft w:val="0"/>
          <w:marRight w:val="0"/>
          <w:marTop w:val="0"/>
          <w:marBottom w:val="0"/>
          <w:divBdr>
            <w:top w:val="none" w:sz="0" w:space="0" w:color="auto"/>
            <w:left w:val="none" w:sz="0" w:space="0" w:color="auto"/>
            <w:bottom w:val="none" w:sz="0" w:space="0" w:color="auto"/>
            <w:right w:val="none" w:sz="0" w:space="0" w:color="auto"/>
          </w:divBdr>
        </w:div>
        <w:div w:id="1100225778">
          <w:marLeft w:val="0"/>
          <w:marRight w:val="0"/>
          <w:marTop w:val="0"/>
          <w:marBottom w:val="0"/>
          <w:divBdr>
            <w:top w:val="none" w:sz="0" w:space="0" w:color="auto"/>
            <w:left w:val="none" w:sz="0" w:space="0" w:color="auto"/>
            <w:bottom w:val="none" w:sz="0" w:space="0" w:color="auto"/>
            <w:right w:val="none" w:sz="0" w:space="0" w:color="auto"/>
          </w:divBdr>
        </w:div>
        <w:div w:id="1150168565">
          <w:marLeft w:val="0"/>
          <w:marRight w:val="0"/>
          <w:marTop w:val="0"/>
          <w:marBottom w:val="0"/>
          <w:divBdr>
            <w:top w:val="none" w:sz="0" w:space="0" w:color="auto"/>
            <w:left w:val="none" w:sz="0" w:space="0" w:color="auto"/>
            <w:bottom w:val="none" w:sz="0" w:space="0" w:color="auto"/>
            <w:right w:val="none" w:sz="0" w:space="0" w:color="auto"/>
          </w:divBdr>
        </w:div>
        <w:div w:id="1213037070">
          <w:marLeft w:val="0"/>
          <w:marRight w:val="0"/>
          <w:marTop w:val="0"/>
          <w:marBottom w:val="0"/>
          <w:divBdr>
            <w:top w:val="none" w:sz="0" w:space="0" w:color="auto"/>
            <w:left w:val="none" w:sz="0" w:space="0" w:color="auto"/>
            <w:bottom w:val="none" w:sz="0" w:space="0" w:color="auto"/>
            <w:right w:val="none" w:sz="0" w:space="0" w:color="auto"/>
          </w:divBdr>
        </w:div>
        <w:div w:id="1258756350">
          <w:marLeft w:val="0"/>
          <w:marRight w:val="0"/>
          <w:marTop w:val="0"/>
          <w:marBottom w:val="0"/>
          <w:divBdr>
            <w:top w:val="none" w:sz="0" w:space="0" w:color="auto"/>
            <w:left w:val="none" w:sz="0" w:space="0" w:color="auto"/>
            <w:bottom w:val="none" w:sz="0" w:space="0" w:color="auto"/>
            <w:right w:val="none" w:sz="0" w:space="0" w:color="auto"/>
          </w:divBdr>
        </w:div>
        <w:div w:id="1261648213">
          <w:marLeft w:val="0"/>
          <w:marRight w:val="0"/>
          <w:marTop w:val="0"/>
          <w:marBottom w:val="0"/>
          <w:divBdr>
            <w:top w:val="none" w:sz="0" w:space="0" w:color="auto"/>
            <w:left w:val="none" w:sz="0" w:space="0" w:color="auto"/>
            <w:bottom w:val="none" w:sz="0" w:space="0" w:color="auto"/>
            <w:right w:val="none" w:sz="0" w:space="0" w:color="auto"/>
          </w:divBdr>
        </w:div>
        <w:div w:id="1262646659">
          <w:marLeft w:val="0"/>
          <w:marRight w:val="0"/>
          <w:marTop w:val="0"/>
          <w:marBottom w:val="0"/>
          <w:divBdr>
            <w:top w:val="none" w:sz="0" w:space="0" w:color="auto"/>
            <w:left w:val="none" w:sz="0" w:space="0" w:color="auto"/>
            <w:bottom w:val="none" w:sz="0" w:space="0" w:color="auto"/>
            <w:right w:val="none" w:sz="0" w:space="0" w:color="auto"/>
          </w:divBdr>
        </w:div>
      </w:divsChild>
    </w:div>
    <w:div w:id="1454905010">
      <w:bodyDiv w:val="1"/>
      <w:marLeft w:val="0"/>
      <w:marRight w:val="0"/>
      <w:marTop w:val="0"/>
      <w:marBottom w:val="0"/>
      <w:divBdr>
        <w:top w:val="none" w:sz="0" w:space="0" w:color="auto"/>
        <w:left w:val="none" w:sz="0" w:space="0" w:color="auto"/>
        <w:bottom w:val="none" w:sz="0" w:space="0" w:color="auto"/>
        <w:right w:val="none" w:sz="0" w:space="0" w:color="auto"/>
      </w:divBdr>
    </w:div>
    <w:div w:id="1507284905">
      <w:bodyDiv w:val="1"/>
      <w:marLeft w:val="0"/>
      <w:marRight w:val="0"/>
      <w:marTop w:val="0"/>
      <w:marBottom w:val="0"/>
      <w:divBdr>
        <w:top w:val="none" w:sz="0" w:space="0" w:color="auto"/>
        <w:left w:val="none" w:sz="0" w:space="0" w:color="auto"/>
        <w:bottom w:val="none" w:sz="0" w:space="0" w:color="auto"/>
        <w:right w:val="none" w:sz="0" w:space="0" w:color="auto"/>
      </w:divBdr>
      <w:divsChild>
        <w:div w:id="474763328">
          <w:marLeft w:val="0"/>
          <w:marRight w:val="0"/>
          <w:marTop w:val="0"/>
          <w:marBottom w:val="0"/>
          <w:divBdr>
            <w:top w:val="none" w:sz="0" w:space="0" w:color="auto"/>
            <w:left w:val="none" w:sz="0" w:space="0" w:color="auto"/>
            <w:bottom w:val="none" w:sz="0" w:space="0" w:color="auto"/>
            <w:right w:val="none" w:sz="0" w:space="0" w:color="auto"/>
          </w:divBdr>
          <w:divsChild>
            <w:div w:id="1668097079">
              <w:marLeft w:val="0"/>
              <w:marRight w:val="0"/>
              <w:marTop w:val="120"/>
              <w:marBottom w:val="0"/>
              <w:divBdr>
                <w:top w:val="none" w:sz="0" w:space="0" w:color="auto"/>
                <w:left w:val="none" w:sz="0" w:space="0" w:color="auto"/>
                <w:bottom w:val="none" w:sz="0" w:space="0" w:color="auto"/>
                <w:right w:val="none" w:sz="0" w:space="0" w:color="auto"/>
              </w:divBdr>
            </w:div>
            <w:div w:id="887255722">
              <w:marLeft w:val="0"/>
              <w:marRight w:val="0"/>
              <w:marTop w:val="0"/>
              <w:marBottom w:val="0"/>
              <w:divBdr>
                <w:top w:val="none" w:sz="0" w:space="0" w:color="auto"/>
                <w:left w:val="none" w:sz="0" w:space="0" w:color="auto"/>
                <w:bottom w:val="none" w:sz="0" w:space="0" w:color="auto"/>
                <w:right w:val="none" w:sz="0" w:space="0" w:color="auto"/>
              </w:divBdr>
              <w:divsChild>
                <w:div w:id="1628582508">
                  <w:marLeft w:val="0"/>
                  <w:marRight w:val="0"/>
                  <w:marTop w:val="0"/>
                  <w:marBottom w:val="0"/>
                  <w:divBdr>
                    <w:top w:val="none" w:sz="0" w:space="0" w:color="auto"/>
                    <w:left w:val="none" w:sz="0" w:space="0" w:color="auto"/>
                    <w:bottom w:val="none" w:sz="0" w:space="0" w:color="auto"/>
                    <w:right w:val="none" w:sz="0" w:space="0" w:color="auto"/>
                  </w:divBdr>
                  <w:divsChild>
                    <w:div w:id="1969357439">
                      <w:marLeft w:val="0"/>
                      <w:marRight w:val="0"/>
                      <w:marTop w:val="120"/>
                      <w:marBottom w:val="0"/>
                      <w:divBdr>
                        <w:top w:val="none" w:sz="0" w:space="0" w:color="auto"/>
                        <w:left w:val="none" w:sz="0" w:space="0" w:color="auto"/>
                        <w:bottom w:val="none" w:sz="0" w:space="0" w:color="auto"/>
                        <w:right w:val="none" w:sz="0" w:space="0" w:color="auto"/>
                      </w:divBdr>
                    </w:div>
                    <w:div w:id="1140195400">
                      <w:marLeft w:val="0"/>
                      <w:marRight w:val="0"/>
                      <w:marTop w:val="0"/>
                      <w:marBottom w:val="0"/>
                      <w:divBdr>
                        <w:top w:val="none" w:sz="0" w:space="0" w:color="auto"/>
                        <w:left w:val="none" w:sz="0" w:space="0" w:color="auto"/>
                        <w:bottom w:val="none" w:sz="0" w:space="0" w:color="auto"/>
                        <w:right w:val="none" w:sz="0" w:space="0" w:color="auto"/>
                      </w:divBdr>
                    </w:div>
                  </w:divsChild>
                </w:div>
                <w:div w:id="1735660226">
                  <w:marLeft w:val="0"/>
                  <w:marRight w:val="0"/>
                  <w:marTop w:val="0"/>
                  <w:marBottom w:val="0"/>
                  <w:divBdr>
                    <w:top w:val="none" w:sz="0" w:space="0" w:color="auto"/>
                    <w:left w:val="none" w:sz="0" w:space="0" w:color="auto"/>
                    <w:bottom w:val="none" w:sz="0" w:space="0" w:color="auto"/>
                    <w:right w:val="none" w:sz="0" w:space="0" w:color="auto"/>
                  </w:divBdr>
                  <w:divsChild>
                    <w:div w:id="1966884362">
                      <w:marLeft w:val="0"/>
                      <w:marRight w:val="0"/>
                      <w:marTop w:val="120"/>
                      <w:marBottom w:val="0"/>
                      <w:divBdr>
                        <w:top w:val="none" w:sz="0" w:space="0" w:color="auto"/>
                        <w:left w:val="none" w:sz="0" w:space="0" w:color="auto"/>
                        <w:bottom w:val="none" w:sz="0" w:space="0" w:color="auto"/>
                        <w:right w:val="none" w:sz="0" w:space="0" w:color="auto"/>
                      </w:divBdr>
                    </w:div>
                    <w:div w:id="35982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077275">
          <w:marLeft w:val="0"/>
          <w:marRight w:val="0"/>
          <w:marTop w:val="0"/>
          <w:marBottom w:val="0"/>
          <w:divBdr>
            <w:top w:val="none" w:sz="0" w:space="0" w:color="auto"/>
            <w:left w:val="none" w:sz="0" w:space="0" w:color="auto"/>
            <w:bottom w:val="none" w:sz="0" w:space="0" w:color="auto"/>
            <w:right w:val="none" w:sz="0" w:space="0" w:color="auto"/>
          </w:divBdr>
          <w:divsChild>
            <w:div w:id="956570244">
              <w:marLeft w:val="0"/>
              <w:marRight w:val="0"/>
              <w:marTop w:val="120"/>
              <w:marBottom w:val="0"/>
              <w:divBdr>
                <w:top w:val="none" w:sz="0" w:space="0" w:color="auto"/>
                <w:left w:val="none" w:sz="0" w:space="0" w:color="auto"/>
                <w:bottom w:val="none" w:sz="0" w:space="0" w:color="auto"/>
                <w:right w:val="none" w:sz="0" w:space="0" w:color="auto"/>
              </w:divBdr>
            </w:div>
            <w:div w:id="92650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971424">
      <w:bodyDiv w:val="1"/>
      <w:marLeft w:val="0"/>
      <w:marRight w:val="0"/>
      <w:marTop w:val="0"/>
      <w:marBottom w:val="0"/>
      <w:divBdr>
        <w:top w:val="none" w:sz="0" w:space="0" w:color="auto"/>
        <w:left w:val="none" w:sz="0" w:space="0" w:color="auto"/>
        <w:bottom w:val="none" w:sz="0" w:space="0" w:color="auto"/>
        <w:right w:val="none" w:sz="0" w:space="0" w:color="auto"/>
      </w:divBdr>
      <w:divsChild>
        <w:div w:id="765611227">
          <w:marLeft w:val="0"/>
          <w:marRight w:val="0"/>
          <w:marTop w:val="0"/>
          <w:marBottom w:val="0"/>
          <w:divBdr>
            <w:top w:val="none" w:sz="0" w:space="0" w:color="auto"/>
            <w:left w:val="none" w:sz="0" w:space="0" w:color="auto"/>
            <w:bottom w:val="none" w:sz="0" w:space="0" w:color="auto"/>
            <w:right w:val="none" w:sz="0" w:space="0" w:color="auto"/>
          </w:divBdr>
          <w:divsChild>
            <w:div w:id="420952645">
              <w:marLeft w:val="0"/>
              <w:marRight w:val="0"/>
              <w:marTop w:val="120"/>
              <w:marBottom w:val="0"/>
              <w:divBdr>
                <w:top w:val="none" w:sz="0" w:space="0" w:color="auto"/>
                <w:left w:val="none" w:sz="0" w:space="0" w:color="auto"/>
                <w:bottom w:val="none" w:sz="0" w:space="0" w:color="auto"/>
                <w:right w:val="none" w:sz="0" w:space="0" w:color="auto"/>
              </w:divBdr>
            </w:div>
            <w:div w:id="2034916216">
              <w:marLeft w:val="0"/>
              <w:marRight w:val="0"/>
              <w:marTop w:val="0"/>
              <w:marBottom w:val="0"/>
              <w:divBdr>
                <w:top w:val="none" w:sz="0" w:space="0" w:color="auto"/>
                <w:left w:val="none" w:sz="0" w:space="0" w:color="auto"/>
                <w:bottom w:val="none" w:sz="0" w:space="0" w:color="auto"/>
                <w:right w:val="none" w:sz="0" w:space="0" w:color="auto"/>
              </w:divBdr>
            </w:div>
          </w:divsChild>
        </w:div>
        <w:div w:id="987127421">
          <w:marLeft w:val="0"/>
          <w:marRight w:val="0"/>
          <w:marTop w:val="0"/>
          <w:marBottom w:val="0"/>
          <w:divBdr>
            <w:top w:val="none" w:sz="0" w:space="0" w:color="auto"/>
            <w:left w:val="none" w:sz="0" w:space="0" w:color="auto"/>
            <w:bottom w:val="none" w:sz="0" w:space="0" w:color="auto"/>
            <w:right w:val="none" w:sz="0" w:space="0" w:color="auto"/>
          </w:divBdr>
          <w:divsChild>
            <w:div w:id="237593082">
              <w:marLeft w:val="0"/>
              <w:marRight w:val="0"/>
              <w:marTop w:val="120"/>
              <w:marBottom w:val="0"/>
              <w:divBdr>
                <w:top w:val="none" w:sz="0" w:space="0" w:color="auto"/>
                <w:left w:val="none" w:sz="0" w:space="0" w:color="auto"/>
                <w:bottom w:val="none" w:sz="0" w:space="0" w:color="auto"/>
                <w:right w:val="none" w:sz="0" w:space="0" w:color="auto"/>
              </w:divBdr>
            </w:div>
            <w:div w:id="144041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8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m.gov.lv/lv/jaunums/sabiedriska-apspriesana-par-valsts-valsts-atbalsta-programmu-pedejas-judzes-elektronisko-sakaru-tiklu-infrastrukturas-attistisan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am.gov.lv/lv/jaunums/sabiedriska-apspriesana-par-valsts-valsts-atbalsta-programmu-pedejas-judzes-elektronisko-sakaru-tiklu-infrastrukturas-attistisan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EN/TXT/?uri=CELEX%3A02014R0651-20230525" TargetMode="External"/><Relationship Id="rId5" Type="http://schemas.openxmlformats.org/officeDocument/2006/relationships/numbering" Target="numbering.xml"/><Relationship Id="rId15" Type="http://schemas.openxmlformats.org/officeDocument/2006/relationships/hyperlink" Target="https://www.sam.gov.lv/lv/petijumi"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m.gov.lv/lv/petijum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335708-piekluves-pamatpiedavajuma-noteik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34d7ab5-03dc-45f6-95d1-23cbee68e2dd">
      <Terms xmlns="http://schemas.microsoft.com/office/infopath/2007/PartnerControls"/>
    </lcf76f155ced4ddcb4097134ff3c332f>
    <TaxCatchAll xmlns="6c47ccd5-4335-469d-87b9-ea97c45db51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FBA752C5F47664409693584D3715C8B7" ma:contentTypeVersion="17" ma:contentTypeDescription="Izveidot jaunu dokumentu." ma:contentTypeScope="" ma:versionID="329094af80b68fa6977a539e4a9b61c5">
  <xsd:schema xmlns:xsd="http://www.w3.org/2001/XMLSchema" xmlns:xs="http://www.w3.org/2001/XMLSchema" xmlns:p="http://schemas.microsoft.com/office/2006/metadata/properties" xmlns:ns2="234d7ab5-03dc-45f6-95d1-23cbee68e2dd" xmlns:ns3="6c47ccd5-4335-469d-87b9-ea97c45db517" targetNamespace="http://schemas.microsoft.com/office/2006/metadata/properties" ma:root="true" ma:fieldsID="218d41b2e5cc209ec796714cf07cad4e" ns2:_="" ns3:_="">
    <xsd:import namespace="234d7ab5-03dc-45f6-95d1-23cbee68e2dd"/>
    <xsd:import namespace="6c47ccd5-4335-469d-87b9-ea97c45db5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d7ab5-03dc-45f6-95d1-23cbee68e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ttēlu atzīmes" ma:readOnly="false" ma:fieldId="{5cf76f15-5ced-4ddc-b409-7134ff3c332f}" ma:taxonomyMulti="true" ma:sspId="a02c859b-0546-4206-9cae-cfa997077b6a"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47ccd5-4335-469d-87b9-ea97c45db517"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element name="TaxCatchAll" ma:index="21" nillable="true" ma:displayName="Taxonomy Catch All Column" ma:hidden="true" ma:list="{33b148fa-f351-49ef-b4be-bd3c85aef955}" ma:internalName="TaxCatchAll" ma:showField="CatchAllData" ma:web="6c47ccd5-4335-469d-87b9-ea97c45db5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B46BCF-B986-4935-B72B-F45B86645677}">
  <ds:schemaRefs>
    <ds:schemaRef ds:uri="http://schemas.microsoft.com/office/2006/metadata/properties"/>
    <ds:schemaRef ds:uri="http://schemas.microsoft.com/office/infopath/2007/PartnerControls"/>
    <ds:schemaRef ds:uri="234d7ab5-03dc-45f6-95d1-23cbee68e2dd"/>
    <ds:schemaRef ds:uri="6c47ccd5-4335-469d-87b9-ea97c45db517"/>
  </ds:schemaRefs>
</ds:datastoreItem>
</file>

<file path=customXml/itemProps2.xml><?xml version="1.0" encoding="utf-8"?>
<ds:datastoreItem xmlns:ds="http://schemas.openxmlformats.org/officeDocument/2006/customXml" ds:itemID="{7CF89FE9-432A-4CFA-80F8-BC5CFA44E402}">
  <ds:schemaRefs>
    <ds:schemaRef ds:uri="http://schemas.openxmlformats.org/officeDocument/2006/bibliography"/>
  </ds:schemaRefs>
</ds:datastoreItem>
</file>

<file path=customXml/itemProps3.xml><?xml version="1.0" encoding="utf-8"?>
<ds:datastoreItem xmlns:ds="http://schemas.openxmlformats.org/officeDocument/2006/customXml" ds:itemID="{116ACC83-C518-4AB3-BD69-74A014FA24EC}">
  <ds:schemaRefs>
    <ds:schemaRef ds:uri="http://schemas.microsoft.com/sharepoint/v3/contenttype/forms"/>
  </ds:schemaRefs>
</ds:datastoreItem>
</file>

<file path=customXml/itemProps4.xml><?xml version="1.0" encoding="utf-8"?>
<ds:datastoreItem xmlns:ds="http://schemas.openxmlformats.org/officeDocument/2006/customXml" ds:itemID="{C175EAB7-4DF1-40BB-A50B-3D2D4E903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d7ab5-03dc-45f6-95d1-23cbee68e2dd"/>
    <ds:schemaRef ds:uri="6c47ccd5-4335-469d-87b9-ea97c45db5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16140</Words>
  <Characters>9200</Characters>
  <Application>Microsoft Office Word</Application>
  <DocSecurity>0</DocSecurity>
  <Lines>76</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25290</CharactersWithSpaces>
  <SharedDoc>false</SharedDoc>
  <HLinks>
    <vt:vector size="36" baseType="variant">
      <vt:variant>
        <vt:i4>6488185</vt:i4>
      </vt:variant>
      <vt:variant>
        <vt:i4>12</vt:i4>
      </vt:variant>
      <vt:variant>
        <vt:i4>0</vt:i4>
      </vt:variant>
      <vt:variant>
        <vt:i4>5</vt:i4>
      </vt:variant>
      <vt:variant>
        <vt:lpwstr>https://www.sam.gov.lv/lv/petijumi</vt:lpwstr>
      </vt:variant>
      <vt:variant>
        <vt:lpwstr/>
      </vt:variant>
      <vt:variant>
        <vt:i4>6488185</vt:i4>
      </vt:variant>
      <vt:variant>
        <vt:i4>9</vt:i4>
      </vt:variant>
      <vt:variant>
        <vt:i4>0</vt:i4>
      </vt:variant>
      <vt:variant>
        <vt:i4>5</vt:i4>
      </vt:variant>
      <vt:variant>
        <vt:lpwstr>https://www.sam.gov.lv/lv/petijumi</vt:lpwstr>
      </vt:variant>
      <vt:variant>
        <vt:lpwstr/>
      </vt:variant>
      <vt:variant>
        <vt:i4>2097215</vt:i4>
      </vt:variant>
      <vt:variant>
        <vt:i4>6</vt:i4>
      </vt:variant>
      <vt:variant>
        <vt:i4>0</vt:i4>
      </vt:variant>
      <vt:variant>
        <vt:i4>5</vt:i4>
      </vt:variant>
      <vt:variant>
        <vt:lpwstr>https://www.sam.gov.lv/lv/jaunums/sabiedriska-apspriesana-par-valsts-valsts-atbalsta-programmu-pedejas-judzes-elektronisko-sakaru-tiklu-infrastrukturas-attistisana</vt:lpwstr>
      </vt:variant>
      <vt:variant>
        <vt:lpwstr/>
      </vt:variant>
      <vt:variant>
        <vt:i4>2097215</vt:i4>
      </vt:variant>
      <vt:variant>
        <vt:i4>3</vt:i4>
      </vt:variant>
      <vt:variant>
        <vt:i4>0</vt:i4>
      </vt:variant>
      <vt:variant>
        <vt:i4>5</vt:i4>
      </vt:variant>
      <vt:variant>
        <vt:lpwstr>https://www.sam.gov.lv/lv/jaunums/sabiedriska-apspriesana-par-valsts-valsts-atbalsta-programmu-pedejas-judzes-elektronisko-sakaru-tiklu-infrastrukturas-attistisana</vt:lpwstr>
      </vt:variant>
      <vt:variant>
        <vt:lpwstr/>
      </vt:variant>
      <vt:variant>
        <vt:i4>7209067</vt:i4>
      </vt:variant>
      <vt:variant>
        <vt:i4>0</vt:i4>
      </vt:variant>
      <vt:variant>
        <vt:i4>0</vt:i4>
      </vt:variant>
      <vt:variant>
        <vt:i4>5</vt:i4>
      </vt:variant>
      <vt:variant>
        <vt:lpwstr>https://eur-lex.europa.eu/legal-content/EN/TXT/?uri=CELEX%3A02014R0651-20230525</vt:lpwstr>
      </vt:variant>
      <vt:variant>
        <vt:lpwstr/>
      </vt:variant>
      <vt:variant>
        <vt:i4>7602286</vt:i4>
      </vt:variant>
      <vt:variant>
        <vt:i4>0</vt:i4>
      </vt:variant>
      <vt:variant>
        <vt:i4>0</vt:i4>
      </vt:variant>
      <vt:variant>
        <vt:i4>5</vt:i4>
      </vt:variant>
      <vt:variant>
        <vt:lpwstr>https://likumi.lv/ta/id/335708-piekluves-pamatpiedavajuma-noteikumi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Kārlis Roberts Hauks</dc:creator>
  <cp:keywords/>
  <dc:description/>
  <cp:lastModifiedBy>Indra Vilde</cp:lastModifiedBy>
  <cp:revision>2</cp:revision>
  <dcterms:created xsi:type="dcterms:W3CDTF">2023-08-07T11:30:00Z</dcterms:created>
  <dcterms:modified xsi:type="dcterms:W3CDTF">2023-08-07T11:30:00Z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0x010100FBA752C5F47664409693584D3715C8B7</vt:lpwstr>
  </property>
  <property fmtid="{D5CDD505-2E9C-101B-9397-08002B2CF9AE}" pid="3" name="MediaServiceImageTags">
    <vt:lpwstr/>
  </property>
</Properties>
</file>